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A17D2" w14:textId="0AF6BA48" w:rsidR="00D628DA" w:rsidRPr="00133DFE" w:rsidRDefault="001E0A1D" w:rsidP="00D628DA">
      <w:pPr>
        <w:pStyle w:val="BodySingle"/>
      </w:pPr>
      <w:bookmarkStart w:id="0" w:name="_Toc133658281"/>
      <w:r>
        <w:t xml:space="preserve"> </w:t>
      </w:r>
      <w:r>
        <w:tab/>
      </w:r>
      <w:r>
        <w:tab/>
      </w:r>
      <w:r>
        <w:tab/>
      </w:r>
    </w:p>
    <w:p w14:paraId="53D0815E" w14:textId="77777777" w:rsidR="00D628DA" w:rsidRPr="00133DFE" w:rsidRDefault="00D628DA" w:rsidP="00D628DA">
      <w:pPr>
        <w:pStyle w:val="ACSectionTOCHeading"/>
        <w:ind w:left="360"/>
        <w:rPr>
          <w:noProof/>
          <w:lang w:eastAsia="en-GB"/>
        </w:rPr>
      </w:pPr>
    </w:p>
    <w:p w14:paraId="00FFE831" w14:textId="77777777" w:rsidR="00D628DA" w:rsidRPr="00133DFE" w:rsidRDefault="00D628DA" w:rsidP="00133DFE">
      <w:pPr>
        <w:pStyle w:val="ACSectionTOCHeading"/>
        <w:ind w:left="360"/>
        <w:rPr>
          <w:noProof/>
          <w:lang w:eastAsia="en-GB"/>
        </w:rPr>
      </w:pPr>
    </w:p>
    <w:p w14:paraId="747B48A2" w14:textId="77777777" w:rsidR="00D628DA" w:rsidRPr="00133DFE" w:rsidRDefault="00D628DA" w:rsidP="00D628DA">
      <w:pPr>
        <w:pStyle w:val="ACSectionTOCHeading"/>
        <w:ind w:left="360"/>
        <w:rPr>
          <w:sz w:val="24"/>
          <w:szCs w:val="24"/>
        </w:rPr>
      </w:pPr>
    </w:p>
    <w:p w14:paraId="389E6ED5" w14:textId="11CB8554" w:rsidR="00D628DA" w:rsidRPr="00133DFE" w:rsidRDefault="00D628DA" w:rsidP="003600B9">
      <w:pPr>
        <w:jc w:val="center"/>
      </w:pPr>
    </w:p>
    <w:p w14:paraId="310EA9B0" w14:textId="647A9488" w:rsidR="00D628DA" w:rsidRPr="00133DFE" w:rsidRDefault="00D628DA" w:rsidP="00D628DA">
      <w:pPr>
        <w:jc w:val="center"/>
      </w:pPr>
    </w:p>
    <w:p w14:paraId="1A908348" w14:textId="7A80BAE1" w:rsidR="00D628DA" w:rsidRPr="00133DFE" w:rsidRDefault="00D628DA" w:rsidP="00D628DA">
      <w:pPr>
        <w:jc w:val="center"/>
      </w:pPr>
    </w:p>
    <w:p w14:paraId="3509196E" w14:textId="0F897440" w:rsidR="00D628DA" w:rsidRPr="00133DFE" w:rsidRDefault="00902E09" w:rsidP="00902E09">
      <w:pPr>
        <w:jc w:val="center"/>
      </w:pPr>
      <w:r>
        <w:rPr>
          <w:noProof/>
        </w:rPr>
        <w:drawing>
          <wp:inline distT="0" distB="0" distL="0" distR="0" wp14:anchorId="273D85BB" wp14:editId="210D4EC3">
            <wp:extent cx="4991100" cy="1473750"/>
            <wp:effectExtent l="0" t="0" r="0" b="0"/>
            <wp:docPr id="1950513231" name="Picture 1950513231" descr="A picture containing font, tex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13231" name="Picture 2" descr="A picture containing font, text, graphics, screensho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023587" cy="1483343"/>
                    </a:xfrm>
                    <a:prstGeom prst="rect">
                      <a:avLst/>
                    </a:prstGeom>
                    <a:noFill/>
                    <a:ln>
                      <a:noFill/>
                    </a:ln>
                  </pic:spPr>
                </pic:pic>
              </a:graphicData>
            </a:graphic>
          </wp:inline>
        </w:drawing>
      </w:r>
    </w:p>
    <w:p w14:paraId="3921543F" w14:textId="1AD37A41" w:rsidR="00D628DA" w:rsidRPr="00133DFE" w:rsidRDefault="00133DFE" w:rsidP="00D628DA">
      <w:pPr>
        <w:jc w:val="center"/>
      </w:pPr>
      <w:r w:rsidRPr="00133DFE">
        <w:t> </w:t>
      </w:r>
    </w:p>
    <w:p w14:paraId="4EA9D312" w14:textId="77777777" w:rsidR="00D628DA" w:rsidRDefault="00D628DA" w:rsidP="00133DFE">
      <w:pPr>
        <w:rPr>
          <w:sz w:val="40"/>
          <w:szCs w:val="40"/>
        </w:rPr>
      </w:pPr>
    </w:p>
    <w:p w14:paraId="64133FBD" w14:textId="77777777" w:rsidR="00D628DA" w:rsidRDefault="00D628DA" w:rsidP="00D628DA">
      <w:pPr>
        <w:jc w:val="center"/>
        <w:rPr>
          <w:sz w:val="40"/>
          <w:szCs w:val="40"/>
        </w:rPr>
      </w:pPr>
    </w:p>
    <w:p w14:paraId="51812C92" w14:textId="42C0FC0E" w:rsidR="00D628DA" w:rsidRPr="009C62BB" w:rsidRDefault="00D628DA" w:rsidP="00902E09">
      <w:pPr>
        <w:jc w:val="center"/>
        <w:rPr>
          <w:sz w:val="40"/>
          <w:szCs w:val="40"/>
        </w:rPr>
      </w:pPr>
      <w:r>
        <w:rPr>
          <w:sz w:val="40"/>
          <w:szCs w:val="40"/>
        </w:rPr>
        <w:t xml:space="preserve">ANNUAL </w:t>
      </w:r>
      <w:r w:rsidRPr="008807EA">
        <w:rPr>
          <w:sz w:val="40"/>
          <w:szCs w:val="40"/>
        </w:rPr>
        <w:t>REPORT</w:t>
      </w:r>
      <w:r>
        <w:rPr>
          <w:sz w:val="40"/>
          <w:szCs w:val="40"/>
        </w:rPr>
        <w:t xml:space="preserve"> </w:t>
      </w:r>
      <w:r w:rsidRPr="009C62BB">
        <w:rPr>
          <w:sz w:val="40"/>
          <w:szCs w:val="40"/>
        </w:rPr>
        <w:t>AND FINANCIAL STATEMENTS</w:t>
      </w:r>
    </w:p>
    <w:p w14:paraId="6397C0FE" w14:textId="77777777" w:rsidR="00D628DA" w:rsidRPr="009C62BB" w:rsidRDefault="00D628DA" w:rsidP="00D628DA">
      <w:pPr>
        <w:rPr>
          <w:sz w:val="28"/>
          <w:szCs w:val="28"/>
        </w:rPr>
      </w:pPr>
    </w:p>
    <w:p w14:paraId="4FD3B5F3" w14:textId="77777777" w:rsidR="00D628DA" w:rsidRPr="009C62BB" w:rsidRDefault="00D628DA" w:rsidP="00D628DA">
      <w:pPr>
        <w:rPr>
          <w:sz w:val="28"/>
          <w:szCs w:val="28"/>
        </w:rPr>
      </w:pPr>
    </w:p>
    <w:p w14:paraId="07F817C7" w14:textId="77777777" w:rsidR="00D628DA" w:rsidRPr="009C62BB" w:rsidRDefault="00D628DA" w:rsidP="00D628DA">
      <w:pPr>
        <w:rPr>
          <w:sz w:val="28"/>
          <w:szCs w:val="28"/>
        </w:rPr>
      </w:pPr>
    </w:p>
    <w:p w14:paraId="53B4E15E" w14:textId="77777777" w:rsidR="00D628DA" w:rsidRPr="009C62BB" w:rsidRDefault="00D628DA" w:rsidP="00D628DA">
      <w:pPr>
        <w:jc w:val="center"/>
        <w:rPr>
          <w:sz w:val="28"/>
          <w:szCs w:val="28"/>
        </w:rPr>
      </w:pPr>
      <w:r w:rsidRPr="009C62BB">
        <w:rPr>
          <w:sz w:val="28"/>
          <w:szCs w:val="28"/>
        </w:rPr>
        <w:t>For the Year Ended</w:t>
      </w:r>
    </w:p>
    <w:p w14:paraId="5D36B634" w14:textId="77777777" w:rsidR="00D628DA" w:rsidRPr="009C62BB" w:rsidRDefault="00D628DA" w:rsidP="00D628DA">
      <w:pPr>
        <w:jc w:val="center"/>
        <w:rPr>
          <w:sz w:val="28"/>
          <w:szCs w:val="28"/>
        </w:rPr>
      </w:pPr>
    </w:p>
    <w:p w14:paraId="16F8C7AE" w14:textId="0895A7DF" w:rsidR="00D628DA" w:rsidRPr="009C62BB" w:rsidRDefault="00331468" w:rsidP="00D628DA">
      <w:pPr>
        <w:jc w:val="center"/>
        <w:rPr>
          <w:sz w:val="28"/>
          <w:szCs w:val="28"/>
        </w:rPr>
      </w:pPr>
      <w:r>
        <w:rPr>
          <w:sz w:val="28"/>
          <w:szCs w:val="28"/>
        </w:rPr>
        <w:t>31 March 202</w:t>
      </w:r>
      <w:r w:rsidR="0091732E">
        <w:rPr>
          <w:sz w:val="28"/>
          <w:szCs w:val="28"/>
        </w:rPr>
        <w:t>4</w:t>
      </w:r>
    </w:p>
    <w:p w14:paraId="61110911" w14:textId="77777777" w:rsidR="00D628DA" w:rsidRPr="009C62BB" w:rsidRDefault="00D628DA" w:rsidP="00D628DA">
      <w:pPr>
        <w:jc w:val="center"/>
      </w:pPr>
    </w:p>
    <w:p w14:paraId="6595CD7B" w14:textId="731D9AAE" w:rsidR="00D628DA" w:rsidRDefault="00DB0787" w:rsidP="00D628DA">
      <w:pPr>
        <w:jc w:val="center"/>
        <w:rPr>
          <w:b/>
        </w:rPr>
      </w:pPr>
      <w:r>
        <w:rPr>
          <w:b/>
        </w:rPr>
        <w:t>Wheatley Homes South</w:t>
      </w:r>
      <w:r w:rsidR="00133DFE">
        <w:rPr>
          <w:b/>
        </w:rPr>
        <w:t xml:space="preserve"> L</w:t>
      </w:r>
      <w:r w:rsidR="00D628DA">
        <w:rPr>
          <w:b/>
        </w:rPr>
        <w:t xml:space="preserve">imited </w:t>
      </w:r>
    </w:p>
    <w:p w14:paraId="30049EF1" w14:textId="77777777" w:rsidR="00656C07" w:rsidRDefault="00656C07" w:rsidP="00D628DA">
      <w:pPr>
        <w:jc w:val="center"/>
        <w:rPr>
          <w:b/>
        </w:rPr>
      </w:pPr>
    </w:p>
    <w:p w14:paraId="3EF8CEA3" w14:textId="77777777" w:rsidR="00D628DA" w:rsidRDefault="00133DFE" w:rsidP="00D628DA">
      <w:pPr>
        <w:jc w:val="center"/>
      </w:pPr>
      <w:r>
        <w:t>(A Charitable Company Limited by Guarantee)</w:t>
      </w:r>
    </w:p>
    <w:p w14:paraId="6A1C0CB8" w14:textId="77777777" w:rsidR="00133DFE" w:rsidRPr="009C62BB" w:rsidRDefault="00133DFE" w:rsidP="00D628DA">
      <w:pPr>
        <w:jc w:val="center"/>
      </w:pPr>
    </w:p>
    <w:p w14:paraId="5120CFF3" w14:textId="77777777" w:rsidR="00D628DA" w:rsidRPr="00570850" w:rsidRDefault="00D628DA" w:rsidP="00D628DA">
      <w:pPr>
        <w:jc w:val="center"/>
        <w:rPr>
          <w:sz w:val="22"/>
          <w:szCs w:val="22"/>
        </w:rPr>
      </w:pPr>
      <w:r w:rsidRPr="00570850">
        <w:rPr>
          <w:sz w:val="22"/>
          <w:szCs w:val="22"/>
        </w:rPr>
        <w:t>(</w:t>
      </w:r>
      <w:r w:rsidR="00525140">
        <w:rPr>
          <w:sz w:val="22"/>
          <w:szCs w:val="22"/>
        </w:rPr>
        <w:t>Company No. SC220297</w:t>
      </w:r>
      <w:r w:rsidRPr="00570850">
        <w:rPr>
          <w:sz w:val="22"/>
          <w:szCs w:val="22"/>
        </w:rPr>
        <w:t>)</w:t>
      </w:r>
    </w:p>
    <w:p w14:paraId="72D686B3" w14:textId="77777777" w:rsidR="00D628DA" w:rsidRPr="00570850" w:rsidRDefault="00D628DA" w:rsidP="00D628DA">
      <w:pPr>
        <w:jc w:val="center"/>
        <w:rPr>
          <w:sz w:val="22"/>
          <w:szCs w:val="22"/>
        </w:rPr>
      </w:pPr>
      <w:r w:rsidRPr="00570850">
        <w:rPr>
          <w:sz w:val="22"/>
          <w:szCs w:val="22"/>
        </w:rPr>
        <w:t>(Scottish Housing Regulator Registration No</w:t>
      </w:r>
      <w:r w:rsidRPr="00525140">
        <w:rPr>
          <w:sz w:val="22"/>
          <w:szCs w:val="22"/>
        </w:rPr>
        <w:t>.</w:t>
      </w:r>
      <w:r w:rsidR="00525140" w:rsidRPr="00525140">
        <w:rPr>
          <w:sz w:val="22"/>
          <w:szCs w:val="22"/>
        </w:rPr>
        <w:t>315</w:t>
      </w:r>
      <w:r w:rsidRPr="00525140">
        <w:rPr>
          <w:sz w:val="22"/>
          <w:szCs w:val="22"/>
        </w:rPr>
        <w:t>)</w:t>
      </w:r>
    </w:p>
    <w:p w14:paraId="2AFA70AC" w14:textId="77777777" w:rsidR="00D628DA" w:rsidRPr="00570850" w:rsidRDefault="00D628DA" w:rsidP="00D628DA">
      <w:pPr>
        <w:jc w:val="center"/>
        <w:rPr>
          <w:sz w:val="22"/>
          <w:szCs w:val="22"/>
        </w:rPr>
      </w:pPr>
      <w:r w:rsidRPr="00570850">
        <w:rPr>
          <w:sz w:val="22"/>
          <w:szCs w:val="22"/>
        </w:rPr>
        <w:t>(Scottish Charity No</w:t>
      </w:r>
      <w:r w:rsidRPr="00525140">
        <w:rPr>
          <w:sz w:val="22"/>
          <w:szCs w:val="22"/>
        </w:rPr>
        <w:t xml:space="preserve">. </w:t>
      </w:r>
      <w:r w:rsidR="00525140" w:rsidRPr="00525140">
        <w:rPr>
          <w:sz w:val="22"/>
          <w:szCs w:val="22"/>
        </w:rPr>
        <w:t>SC039896</w:t>
      </w:r>
      <w:r w:rsidRPr="00525140">
        <w:rPr>
          <w:sz w:val="22"/>
          <w:szCs w:val="22"/>
        </w:rPr>
        <w:t>)</w:t>
      </w:r>
    </w:p>
    <w:p w14:paraId="64C142D6" w14:textId="77777777" w:rsidR="00D628DA" w:rsidRPr="00570850" w:rsidRDefault="00D628DA" w:rsidP="00D628DA">
      <w:pPr>
        <w:jc w:val="center"/>
        <w:rPr>
          <w:sz w:val="22"/>
          <w:szCs w:val="22"/>
        </w:rPr>
      </w:pPr>
    </w:p>
    <w:p w14:paraId="652DE91A" w14:textId="77777777" w:rsidR="00D628DA" w:rsidRPr="009C62BB" w:rsidRDefault="00D628DA" w:rsidP="00D628DA"/>
    <w:p w14:paraId="2D5470B9" w14:textId="77777777" w:rsidR="00D628DA" w:rsidRPr="009C62BB" w:rsidRDefault="00133DFE" w:rsidP="00D628DA">
      <w:r>
        <w:t> </w:t>
      </w:r>
    </w:p>
    <w:p w14:paraId="1B7540BA" w14:textId="77777777" w:rsidR="00D628DA" w:rsidRPr="009C62BB" w:rsidRDefault="00D628DA" w:rsidP="00D628DA"/>
    <w:p w14:paraId="7C40D909" w14:textId="77777777" w:rsidR="00D628DA" w:rsidRPr="009C62BB" w:rsidRDefault="00D628DA" w:rsidP="00D628DA"/>
    <w:p w14:paraId="5ED33AAF" w14:textId="77777777" w:rsidR="00D628DA" w:rsidRPr="009C62BB" w:rsidRDefault="00D628DA" w:rsidP="00D628DA"/>
    <w:p w14:paraId="687F34B2" w14:textId="77777777" w:rsidR="00D628DA" w:rsidRPr="009C62BB" w:rsidRDefault="00D628DA" w:rsidP="00D628DA"/>
    <w:p w14:paraId="73158ACB" w14:textId="77777777" w:rsidR="00D628DA" w:rsidRPr="009C62BB" w:rsidRDefault="00D628DA" w:rsidP="00D628DA">
      <w:pPr>
        <w:sectPr w:rsidR="00D628DA" w:rsidRPr="009C62BB" w:rsidSect="00100191">
          <w:headerReference w:type="default" r:id="rId14"/>
          <w:footerReference w:type="even" r:id="rId15"/>
          <w:footerReference w:type="default" r:id="rId16"/>
          <w:footerReference w:type="first" r:id="rId17"/>
          <w:pgSz w:w="11906" w:h="16838" w:code="9"/>
          <w:pgMar w:top="1440" w:right="1466" w:bottom="899" w:left="1797" w:header="709" w:footer="709" w:gutter="0"/>
          <w:pgNumType w:start="1"/>
          <w:cols w:space="708"/>
          <w:titlePg/>
          <w:docGrid w:linePitch="360"/>
        </w:sectPr>
      </w:pPr>
    </w:p>
    <w:p w14:paraId="2511B01D" w14:textId="77777777" w:rsidR="00064466" w:rsidRDefault="00064466" w:rsidP="00064466">
      <w:pPr>
        <w:jc w:val="both"/>
        <w:rPr>
          <w:b/>
        </w:rPr>
      </w:pPr>
      <w:bookmarkStart w:id="1" w:name="_Toc269978054"/>
      <w:r w:rsidRPr="00A05B7E">
        <w:rPr>
          <w:b/>
        </w:rPr>
        <w:lastRenderedPageBreak/>
        <w:t xml:space="preserve">STRATEGIC REPORT </w:t>
      </w:r>
    </w:p>
    <w:p w14:paraId="329DFF62" w14:textId="77777777" w:rsidR="00482A96" w:rsidRDefault="00482A96" w:rsidP="00D628DA">
      <w:pPr>
        <w:rPr>
          <w:sz w:val="22"/>
          <w:szCs w:val="22"/>
        </w:rPr>
      </w:pPr>
    </w:p>
    <w:p w14:paraId="725B2AF0" w14:textId="284BF290" w:rsidR="00D628DA" w:rsidRPr="00961EB1" w:rsidRDefault="006018C3" w:rsidP="00B5167A">
      <w:pPr>
        <w:spacing w:line="276" w:lineRule="auto"/>
        <w:jc w:val="both"/>
        <w:rPr>
          <w:sz w:val="22"/>
          <w:szCs w:val="22"/>
        </w:rPr>
      </w:pPr>
      <w:r>
        <w:rPr>
          <w:sz w:val="22"/>
          <w:szCs w:val="22"/>
        </w:rPr>
        <w:t>The D</w:t>
      </w:r>
      <w:r w:rsidR="00D628DA" w:rsidRPr="00961EB1">
        <w:rPr>
          <w:sz w:val="22"/>
          <w:szCs w:val="22"/>
        </w:rPr>
        <w:t>irectors present their annual report and the audited</w:t>
      </w:r>
      <w:r w:rsidR="001E6CB4">
        <w:rPr>
          <w:sz w:val="22"/>
          <w:szCs w:val="22"/>
        </w:rPr>
        <w:t xml:space="preserve"> </w:t>
      </w:r>
      <w:r w:rsidR="00D628DA" w:rsidRPr="00961EB1">
        <w:rPr>
          <w:sz w:val="22"/>
          <w:szCs w:val="22"/>
        </w:rPr>
        <w:t>fina</w:t>
      </w:r>
      <w:r w:rsidR="00D628DA">
        <w:rPr>
          <w:sz w:val="22"/>
          <w:szCs w:val="22"/>
        </w:rPr>
        <w:t>ncial statements for the year ended</w:t>
      </w:r>
      <w:r w:rsidR="00D628DA" w:rsidRPr="00961EB1">
        <w:rPr>
          <w:sz w:val="22"/>
          <w:szCs w:val="22"/>
        </w:rPr>
        <w:t xml:space="preserve"> 31</w:t>
      </w:r>
      <w:r w:rsidR="00331468">
        <w:rPr>
          <w:sz w:val="22"/>
          <w:szCs w:val="22"/>
        </w:rPr>
        <w:t> March 202</w:t>
      </w:r>
      <w:r w:rsidR="0091732E">
        <w:rPr>
          <w:sz w:val="22"/>
          <w:szCs w:val="22"/>
        </w:rPr>
        <w:t>4</w:t>
      </w:r>
      <w:r w:rsidR="00D628DA" w:rsidRPr="00961EB1">
        <w:rPr>
          <w:sz w:val="22"/>
          <w:szCs w:val="22"/>
        </w:rPr>
        <w:t>.</w:t>
      </w:r>
    </w:p>
    <w:p w14:paraId="2E8B3F4F" w14:textId="77777777" w:rsidR="00D628DA" w:rsidRDefault="00D628DA" w:rsidP="00B5167A">
      <w:pPr>
        <w:spacing w:line="276" w:lineRule="auto"/>
        <w:rPr>
          <w:sz w:val="22"/>
          <w:szCs w:val="22"/>
        </w:rPr>
      </w:pPr>
    </w:p>
    <w:p w14:paraId="2F0898EF" w14:textId="77777777" w:rsidR="00D628DA" w:rsidRPr="00961EB1" w:rsidRDefault="00D628DA" w:rsidP="00B5167A">
      <w:pPr>
        <w:spacing w:line="276" w:lineRule="auto"/>
        <w:rPr>
          <w:b/>
          <w:sz w:val="22"/>
          <w:szCs w:val="22"/>
        </w:rPr>
      </w:pPr>
      <w:r w:rsidRPr="00961EB1">
        <w:rPr>
          <w:b/>
          <w:sz w:val="22"/>
          <w:szCs w:val="22"/>
        </w:rPr>
        <w:t>Principal activities</w:t>
      </w:r>
    </w:p>
    <w:p w14:paraId="77DFDD7D" w14:textId="56715571" w:rsidR="00A30744" w:rsidRDefault="00A30744" w:rsidP="00304785">
      <w:pPr>
        <w:jc w:val="both"/>
        <w:rPr>
          <w:sz w:val="22"/>
          <w:szCs w:val="22"/>
        </w:rPr>
      </w:pPr>
      <w:r w:rsidRPr="00A30744">
        <w:rPr>
          <w:sz w:val="22"/>
          <w:szCs w:val="22"/>
        </w:rPr>
        <w:t>The pr</w:t>
      </w:r>
      <w:r>
        <w:rPr>
          <w:sz w:val="22"/>
          <w:szCs w:val="22"/>
        </w:rPr>
        <w:t xml:space="preserve">incipal activity of </w:t>
      </w:r>
      <w:r w:rsidR="004D09E4">
        <w:rPr>
          <w:sz w:val="22"/>
          <w:szCs w:val="22"/>
        </w:rPr>
        <w:t>the Association</w:t>
      </w:r>
      <w:r w:rsidRPr="00A30744">
        <w:rPr>
          <w:sz w:val="22"/>
          <w:szCs w:val="22"/>
        </w:rPr>
        <w:t xml:space="preserve"> i</w:t>
      </w:r>
      <w:r>
        <w:rPr>
          <w:sz w:val="22"/>
          <w:szCs w:val="22"/>
        </w:rPr>
        <w:t>s the provision and management o</w:t>
      </w:r>
      <w:r w:rsidRPr="00A30744">
        <w:rPr>
          <w:sz w:val="22"/>
          <w:szCs w:val="22"/>
        </w:rPr>
        <w:t xml:space="preserve">f affordable rented accommodation. </w:t>
      </w:r>
      <w:r w:rsidR="0062139C">
        <w:rPr>
          <w:sz w:val="22"/>
          <w:szCs w:val="22"/>
        </w:rPr>
        <w:t>Wheatley Homes South</w:t>
      </w:r>
      <w:r w:rsidR="00A520CB">
        <w:rPr>
          <w:sz w:val="22"/>
          <w:szCs w:val="22"/>
        </w:rPr>
        <w:t xml:space="preserve"> Limited</w:t>
      </w:r>
      <w:r w:rsidR="0062139C">
        <w:rPr>
          <w:sz w:val="22"/>
          <w:szCs w:val="22"/>
        </w:rPr>
        <w:t xml:space="preserve"> (“</w:t>
      </w:r>
      <w:r w:rsidR="00801EB9">
        <w:rPr>
          <w:sz w:val="22"/>
          <w:szCs w:val="22"/>
        </w:rPr>
        <w:t>WHS</w:t>
      </w:r>
      <w:r w:rsidR="0062139C">
        <w:rPr>
          <w:sz w:val="22"/>
          <w:szCs w:val="22"/>
        </w:rPr>
        <w:t>”</w:t>
      </w:r>
      <w:r w:rsidR="00784917">
        <w:rPr>
          <w:sz w:val="22"/>
          <w:szCs w:val="22"/>
        </w:rPr>
        <w:t xml:space="preserve"> or “WH South</w:t>
      </w:r>
      <w:r w:rsidR="0062139C">
        <w:rPr>
          <w:sz w:val="22"/>
          <w:szCs w:val="22"/>
        </w:rPr>
        <w:t>”)</w:t>
      </w:r>
      <w:r w:rsidRPr="00A30744">
        <w:rPr>
          <w:sz w:val="22"/>
          <w:szCs w:val="22"/>
        </w:rPr>
        <w:t xml:space="preserve"> has a significant role in many of</w:t>
      </w:r>
      <w:r>
        <w:rPr>
          <w:sz w:val="22"/>
          <w:szCs w:val="22"/>
        </w:rPr>
        <w:t xml:space="preserve"> the</w:t>
      </w:r>
      <w:r w:rsidRPr="00A30744">
        <w:rPr>
          <w:sz w:val="22"/>
          <w:szCs w:val="22"/>
        </w:rPr>
        <w:t xml:space="preserve"> towns and villages in Dumfries and Galloway, owning and maintaining </w:t>
      </w:r>
      <w:r w:rsidR="007E029B">
        <w:rPr>
          <w:sz w:val="22"/>
          <w:szCs w:val="22"/>
        </w:rPr>
        <w:t>over</w:t>
      </w:r>
      <w:r w:rsidRPr="00A30744">
        <w:rPr>
          <w:sz w:val="22"/>
          <w:szCs w:val="22"/>
        </w:rPr>
        <w:t xml:space="preserve"> 10,</w:t>
      </w:r>
      <w:r w:rsidR="00862CE1">
        <w:rPr>
          <w:sz w:val="22"/>
          <w:szCs w:val="22"/>
        </w:rPr>
        <w:t>3</w:t>
      </w:r>
      <w:r w:rsidRPr="00A30744">
        <w:rPr>
          <w:sz w:val="22"/>
          <w:szCs w:val="22"/>
        </w:rPr>
        <w:t xml:space="preserve">00 homes in Scotland’s third largest region </w:t>
      </w:r>
      <w:r w:rsidRPr="00B851B1">
        <w:rPr>
          <w:sz w:val="22"/>
          <w:szCs w:val="22"/>
        </w:rPr>
        <w:t>covering some 2,380 square miles.</w:t>
      </w:r>
      <w:r w:rsidR="00A76B2D" w:rsidRPr="00B851B1">
        <w:rPr>
          <w:sz w:val="22"/>
          <w:szCs w:val="22"/>
        </w:rPr>
        <w:t xml:space="preserve"> </w:t>
      </w:r>
    </w:p>
    <w:p w14:paraId="7D30BACC" w14:textId="77777777" w:rsidR="00F24144" w:rsidRDefault="00F24144" w:rsidP="0B4D71F4">
      <w:pPr>
        <w:pStyle w:val="ACText"/>
        <w:spacing w:before="0"/>
        <w:rPr>
          <w:sz w:val="22"/>
          <w:szCs w:val="22"/>
        </w:rPr>
      </w:pPr>
    </w:p>
    <w:p w14:paraId="517B1EEB" w14:textId="77777777" w:rsidR="00D628DA" w:rsidRDefault="00482A96" w:rsidP="00D628DA">
      <w:pPr>
        <w:pStyle w:val="ACText"/>
        <w:spacing w:before="0"/>
        <w:outlineLvl w:val="0"/>
        <w:rPr>
          <w:b/>
          <w:sz w:val="22"/>
          <w:szCs w:val="22"/>
        </w:rPr>
      </w:pPr>
      <w:r>
        <w:rPr>
          <w:b/>
          <w:sz w:val="22"/>
          <w:szCs w:val="22"/>
        </w:rPr>
        <w:t>OPERATING REVIEW</w:t>
      </w:r>
    </w:p>
    <w:p w14:paraId="50B5F42A" w14:textId="77777777" w:rsidR="00DB728C" w:rsidRDefault="00DB728C" w:rsidP="00D628DA">
      <w:pPr>
        <w:pStyle w:val="ACText"/>
        <w:spacing w:before="0"/>
        <w:outlineLvl w:val="0"/>
        <w:rPr>
          <w:b/>
          <w:sz w:val="22"/>
          <w:szCs w:val="22"/>
        </w:rPr>
      </w:pPr>
    </w:p>
    <w:p w14:paraId="4F355300" w14:textId="773B3BB8" w:rsidR="005404DA" w:rsidRPr="005404DA" w:rsidRDefault="005404DA" w:rsidP="00E1249E">
      <w:pPr>
        <w:jc w:val="both"/>
        <w:rPr>
          <w:rFonts w:eastAsia="Aptos"/>
          <w:sz w:val="22"/>
          <w:szCs w:val="22"/>
        </w:rPr>
      </w:pPr>
      <w:bookmarkStart w:id="2" w:name="_Hlk45788401"/>
      <w:r w:rsidRPr="005404DA">
        <w:rPr>
          <w:rFonts w:eastAsia="Aptos"/>
          <w:sz w:val="22"/>
          <w:szCs w:val="22"/>
        </w:rPr>
        <w:t>The year 2023/24</w:t>
      </w:r>
      <w:r w:rsidR="000977B1">
        <w:rPr>
          <w:rFonts w:eastAsia="Aptos"/>
          <w:sz w:val="22"/>
          <w:szCs w:val="22"/>
        </w:rPr>
        <w:t>,</w:t>
      </w:r>
      <w:r w:rsidRPr="005404DA">
        <w:rPr>
          <w:rFonts w:eastAsia="Aptos"/>
          <w:sz w:val="22"/>
          <w:szCs w:val="22"/>
        </w:rPr>
        <w:t xml:space="preserve"> the mid-way point of five-year strategy, ‘Your Home, Your Community, Your Future’</w:t>
      </w:r>
      <w:r w:rsidR="000977B1">
        <w:rPr>
          <w:rFonts w:eastAsia="Aptos"/>
          <w:sz w:val="22"/>
          <w:szCs w:val="22"/>
        </w:rPr>
        <w:t>,</w:t>
      </w:r>
      <w:r w:rsidRPr="005404DA">
        <w:rPr>
          <w:rFonts w:eastAsia="Aptos"/>
          <w:sz w:val="22"/>
          <w:szCs w:val="22"/>
        </w:rPr>
        <w:t xml:space="preserve"> saw us continue to support our customers and place them at the heart of our services</w:t>
      </w:r>
      <w:r w:rsidR="000977B1">
        <w:rPr>
          <w:rFonts w:eastAsia="Aptos"/>
          <w:sz w:val="22"/>
          <w:szCs w:val="22"/>
        </w:rPr>
        <w:t>.</w:t>
      </w:r>
      <w:r w:rsidR="000A7086">
        <w:rPr>
          <w:rFonts w:eastAsia="Aptos"/>
          <w:sz w:val="22"/>
          <w:szCs w:val="22"/>
        </w:rPr>
        <w:t xml:space="preserve"> </w:t>
      </w:r>
      <w:r w:rsidRPr="005404DA">
        <w:rPr>
          <w:rFonts w:eastAsia="Aptos"/>
          <w:sz w:val="22"/>
          <w:szCs w:val="22"/>
        </w:rPr>
        <w:t xml:space="preserve">The </w:t>
      </w:r>
      <w:r w:rsidR="00224F08" w:rsidRPr="00224F08">
        <w:rPr>
          <w:rFonts w:eastAsia="Aptos"/>
          <w:sz w:val="22"/>
          <w:szCs w:val="22"/>
        </w:rPr>
        <w:t>difficult</w:t>
      </w:r>
      <w:r w:rsidRPr="005404DA">
        <w:rPr>
          <w:rFonts w:eastAsia="Aptos"/>
          <w:sz w:val="22"/>
          <w:szCs w:val="22"/>
        </w:rPr>
        <w:t xml:space="preserve"> economic climate</w:t>
      </w:r>
      <w:r w:rsidR="00224F08" w:rsidRPr="00224F08">
        <w:rPr>
          <w:rFonts w:eastAsia="Aptos"/>
          <w:sz w:val="22"/>
          <w:szCs w:val="22"/>
        </w:rPr>
        <w:t xml:space="preserve"> and</w:t>
      </w:r>
      <w:r w:rsidRPr="005404DA">
        <w:rPr>
          <w:rFonts w:eastAsia="Aptos"/>
          <w:sz w:val="22"/>
          <w:szCs w:val="22"/>
        </w:rPr>
        <w:t xml:space="preserve"> the cost-of-living crisis had a</w:t>
      </w:r>
      <w:r w:rsidR="00EF610F">
        <w:rPr>
          <w:rFonts w:eastAsia="Aptos"/>
          <w:sz w:val="22"/>
          <w:szCs w:val="22"/>
        </w:rPr>
        <w:t>n</w:t>
      </w:r>
      <w:r w:rsidRPr="005404DA">
        <w:rPr>
          <w:rFonts w:eastAsia="Aptos"/>
          <w:sz w:val="22"/>
          <w:szCs w:val="22"/>
        </w:rPr>
        <w:t xml:space="preserve"> impact on </w:t>
      </w:r>
      <w:r w:rsidR="00EF610F">
        <w:rPr>
          <w:rFonts w:eastAsia="Aptos"/>
          <w:sz w:val="22"/>
          <w:szCs w:val="22"/>
        </w:rPr>
        <w:t>many of</w:t>
      </w:r>
      <w:r w:rsidRPr="005404DA">
        <w:rPr>
          <w:rFonts w:eastAsia="Aptos"/>
          <w:sz w:val="22"/>
          <w:szCs w:val="22"/>
        </w:rPr>
        <w:t xml:space="preserve"> our customers’ lives. Our wraparound services were a lifeline, and support</w:t>
      </w:r>
      <w:r w:rsidR="00294269">
        <w:rPr>
          <w:rFonts w:eastAsia="Aptos"/>
          <w:sz w:val="22"/>
          <w:szCs w:val="22"/>
        </w:rPr>
        <w:t>ing</w:t>
      </w:r>
      <w:r w:rsidRPr="005404DA">
        <w:rPr>
          <w:rFonts w:eastAsia="Aptos"/>
          <w:sz w:val="22"/>
          <w:szCs w:val="22"/>
        </w:rPr>
        <w:t xml:space="preserve"> our customers including their mental health, confidence and resilience remained </w:t>
      </w:r>
      <w:r w:rsidR="00224F08" w:rsidRPr="00224F08">
        <w:rPr>
          <w:rFonts w:eastAsia="Aptos"/>
          <w:sz w:val="22"/>
          <w:szCs w:val="22"/>
        </w:rPr>
        <w:t xml:space="preserve">one of </w:t>
      </w:r>
      <w:r w:rsidRPr="005404DA">
        <w:rPr>
          <w:rFonts w:eastAsia="Aptos"/>
          <w:sz w:val="22"/>
          <w:szCs w:val="22"/>
        </w:rPr>
        <w:t xml:space="preserve">our top </w:t>
      </w:r>
      <w:r w:rsidR="00224F08" w:rsidRPr="00224F08">
        <w:rPr>
          <w:rFonts w:eastAsia="Aptos"/>
          <w:sz w:val="22"/>
          <w:szCs w:val="22"/>
        </w:rPr>
        <w:t xml:space="preserve">priorities.  As always, our strong focus on customers and the close relationships we have developed helped us respond to their needs.   </w:t>
      </w:r>
    </w:p>
    <w:p w14:paraId="6792A2FE" w14:textId="77777777" w:rsidR="005404DA" w:rsidRPr="005404DA" w:rsidRDefault="005404DA" w:rsidP="00E1249E">
      <w:pPr>
        <w:jc w:val="both"/>
        <w:rPr>
          <w:rFonts w:eastAsia="Aptos"/>
          <w:sz w:val="22"/>
          <w:szCs w:val="22"/>
        </w:rPr>
      </w:pPr>
    </w:p>
    <w:p w14:paraId="38919F92" w14:textId="77777777" w:rsidR="00452F5C" w:rsidRDefault="00452F5C" w:rsidP="00452F5C">
      <w:pPr>
        <w:jc w:val="both"/>
        <w:rPr>
          <w:rFonts w:eastAsia="Aptos"/>
          <w:sz w:val="22"/>
          <w:szCs w:val="22"/>
        </w:rPr>
      </w:pPr>
      <w:r w:rsidRPr="005404DA">
        <w:rPr>
          <w:rFonts w:eastAsia="Aptos"/>
          <w:sz w:val="22"/>
          <w:szCs w:val="22"/>
        </w:rPr>
        <w:t xml:space="preserve">One of the biggest challenges across the sector has been the increase in demand for local authorities to tackle homelessness. Wheatley Homes South provided </w:t>
      </w:r>
      <w:r>
        <w:rPr>
          <w:rFonts w:eastAsia="Aptos"/>
          <w:sz w:val="22"/>
          <w:szCs w:val="22"/>
        </w:rPr>
        <w:t>404</w:t>
      </w:r>
      <w:r w:rsidRPr="005404DA">
        <w:rPr>
          <w:rFonts w:eastAsia="Aptos"/>
          <w:sz w:val="22"/>
          <w:szCs w:val="22"/>
        </w:rPr>
        <w:t xml:space="preserve"> homes for homeless people over the year</w:t>
      </w:r>
      <w:r>
        <w:rPr>
          <w:rFonts w:eastAsia="Aptos"/>
          <w:sz w:val="22"/>
          <w:szCs w:val="22"/>
        </w:rPr>
        <w:t xml:space="preserve"> which represented almost half of relevant lets this year working together with our partners in Dumfries &amp; Galloway Council to help tackle this serious issue.</w:t>
      </w:r>
    </w:p>
    <w:p w14:paraId="2ACAE1CD" w14:textId="77777777" w:rsidR="00452F5C" w:rsidRPr="005404DA" w:rsidRDefault="00452F5C" w:rsidP="00452F5C">
      <w:pPr>
        <w:jc w:val="both"/>
        <w:rPr>
          <w:rFonts w:eastAsia="Aptos"/>
          <w:sz w:val="22"/>
          <w:szCs w:val="22"/>
        </w:rPr>
      </w:pPr>
    </w:p>
    <w:p w14:paraId="544B5967" w14:textId="1F7BB31A" w:rsidR="005404DA" w:rsidRPr="005404DA" w:rsidRDefault="005404DA" w:rsidP="00E1249E">
      <w:pPr>
        <w:jc w:val="both"/>
        <w:rPr>
          <w:rFonts w:eastAsia="Aptos"/>
          <w:sz w:val="22"/>
          <w:szCs w:val="22"/>
        </w:rPr>
      </w:pPr>
      <w:r w:rsidRPr="005404DA">
        <w:rPr>
          <w:rFonts w:eastAsia="Aptos"/>
          <w:sz w:val="22"/>
          <w:szCs w:val="22"/>
        </w:rPr>
        <w:t>Wheatley Foundation, our charitable trust, supported 1</w:t>
      </w:r>
      <w:r w:rsidR="00EC067F">
        <w:rPr>
          <w:rFonts w:eastAsia="Aptos"/>
          <w:sz w:val="22"/>
          <w:szCs w:val="22"/>
        </w:rPr>
        <w:t>,</w:t>
      </w:r>
      <w:r w:rsidRPr="005404DA">
        <w:rPr>
          <w:rFonts w:eastAsia="Aptos"/>
          <w:sz w:val="22"/>
          <w:szCs w:val="22"/>
        </w:rPr>
        <w:t>514 households a total of 3</w:t>
      </w:r>
      <w:r w:rsidR="00EC067F">
        <w:rPr>
          <w:rFonts w:eastAsia="Aptos"/>
          <w:sz w:val="22"/>
          <w:szCs w:val="22"/>
        </w:rPr>
        <w:t>,</w:t>
      </w:r>
      <w:r w:rsidRPr="005404DA">
        <w:rPr>
          <w:rFonts w:eastAsia="Aptos"/>
          <w:sz w:val="22"/>
          <w:szCs w:val="22"/>
        </w:rPr>
        <w:t>784 times over the year to help ease the financial pressures they were facing, creating 117 jobs and training opportunities, helping 1</w:t>
      </w:r>
      <w:r w:rsidR="00EC067F">
        <w:rPr>
          <w:rFonts w:eastAsia="Aptos"/>
          <w:sz w:val="22"/>
          <w:szCs w:val="22"/>
        </w:rPr>
        <w:t>,</w:t>
      </w:r>
      <w:r w:rsidRPr="005404DA">
        <w:rPr>
          <w:rFonts w:eastAsia="Aptos"/>
          <w:sz w:val="22"/>
          <w:szCs w:val="22"/>
        </w:rPr>
        <w:t xml:space="preserve">041 people with benefit claims, providing free furniture to 163 households and much more. </w:t>
      </w:r>
    </w:p>
    <w:p w14:paraId="69B19DE1" w14:textId="77777777" w:rsidR="005404DA" w:rsidRPr="005404DA" w:rsidRDefault="005404DA" w:rsidP="00E1249E">
      <w:pPr>
        <w:jc w:val="both"/>
        <w:rPr>
          <w:rFonts w:eastAsia="Aptos"/>
          <w:sz w:val="22"/>
          <w:szCs w:val="22"/>
        </w:rPr>
      </w:pPr>
    </w:p>
    <w:p w14:paraId="474F3190" w14:textId="5CB7AF44" w:rsidR="0005033C" w:rsidRDefault="005404DA" w:rsidP="00E1249E">
      <w:pPr>
        <w:jc w:val="both"/>
        <w:rPr>
          <w:rStyle w:val="eop"/>
          <w:color w:val="000000"/>
          <w:sz w:val="22"/>
          <w:szCs w:val="22"/>
          <w:shd w:val="clear" w:color="auto" w:fill="FFFFFF"/>
        </w:rPr>
      </w:pPr>
      <w:r w:rsidRPr="005404DA">
        <w:rPr>
          <w:rFonts w:eastAsia="Aptos"/>
          <w:sz w:val="22"/>
          <w:szCs w:val="22"/>
        </w:rPr>
        <w:t>This was also a year our updated, innovative operating model made a real difference. Our Customer First Centre continued to provide round-the-clock, expert support to customers</w:t>
      </w:r>
      <w:r w:rsidR="00C1494A">
        <w:rPr>
          <w:rFonts w:eastAsia="Aptos"/>
          <w:sz w:val="22"/>
          <w:szCs w:val="22"/>
        </w:rPr>
        <w:t>.</w:t>
      </w:r>
      <w:r w:rsidR="00113903" w:rsidRPr="00113903">
        <w:rPr>
          <w:color w:val="000000"/>
          <w:sz w:val="22"/>
          <w:szCs w:val="22"/>
          <w:shd w:val="clear" w:color="auto" w:fill="FFFFFF"/>
        </w:rPr>
        <w:t xml:space="preserve"> </w:t>
      </w:r>
      <w:r w:rsidR="00113903">
        <w:rPr>
          <w:rStyle w:val="normaltextrun"/>
          <w:color w:val="000000"/>
          <w:sz w:val="22"/>
          <w:szCs w:val="22"/>
          <w:shd w:val="clear" w:color="auto" w:fill="FFFFFF"/>
        </w:rPr>
        <w:t xml:space="preserve">This also allowed housing officers to spend more time helping people in our communities which was borne out in the results of our recent independent tenant satisfaction survey which saw </w:t>
      </w:r>
      <w:r w:rsidR="00784917">
        <w:rPr>
          <w:rStyle w:val="normaltextrun"/>
          <w:color w:val="000000"/>
          <w:sz w:val="22"/>
          <w:szCs w:val="22"/>
          <w:shd w:val="clear" w:color="auto" w:fill="FFFFFF"/>
        </w:rPr>
        <w:t>us</w:t>
      </w:r>
      <w:r w:rsidR="00113903">
        <w:rPr>
          <w:rStyle w:val="normaltextrun"/>
          <w:color w:val="000000"/>
          <w:sz w:val="22"/>
          <w:szCs w:val="22"/>
          <w:shd w:val="clear" w:color="auto" w:fill="FFFFFF"/>
        </w:rPr>
        <w:t xml:space="preserve"> achieve an overall satisfaction score of 8</w:t>
      </w:r>
      <w:r w:rsidR="0005033C">
        <w:rPr>
          <w:rStyle w:val="normaltextrun"/>
          <w:color w:val="000000"/>
          <w:sz w:val="22"/>
          <w:szCs w:val="22"/>
          <w:shd w:val="clear" w:color="auto" w:fill="FFFFFF"/>
        </w:rPr>
        <w:t>8</w:t>
      </w:r>
      <w:r w:rsidR="00113903">
        <w:rPr>
          <w:rStyle w:val="normaltextrun"/>
          <w:color w:val="000000"/>
          <w:sz w:val="22"/>
          <w:szCs w:val="22"/>
          <w:shd w:val="clear" w:color="auto" w:fill="FFFFFF"/>
        </w:rPr>
        <w:t>% above the Scottish average of 86% placing us well to meet our strategic target of 90% by 2026. Our performance in our other key indicators was close to or above 90% and also above the Scottish average when compared against figures from Scotland’s Housing Network members as shown in the chart below:</w:t>
      </w:r>
      <w:r w:rsidR="00113903">
        <w:rPr>
          <w:rStyle w:val="eop"/>
          <w:color w:val="000000"/>
          <w:sz w:val="22"/>
          <w:szCs w:val="22"/>
          <w:shd w:val="clear" w:color="auto" w:fill="FFFFFF"/>
        </w:rPr>
        <w:t> </w:t>
      </w:r>
    </w:p>
    <w:p w14:paraId="5AA5E401" w14:textId="77777777" w:rsidR="000A7086" w:rsidRPr="005404DA" w:rsidRDefault="000A7086" w:rsidP="00E1249E">
      <w:pPr>
        <w:jc w:val="both"/>
        <w:rPr>
          <w:rFonts w:eastAsia="Aptos"/>
          <w:sz w:val="22"/>
          <w:szCs w:val="22"/>
        </w:rPr>
      </w:pPr>
    </w:p>
    <w:p w14:paraId="424FA3DA" w14:textId="5CC2CD99" w:rsidR="0005033C" w:rsidRDefault="0005033C" w:rsidP="00E1249E">
      <w:pPr>
        <w:jc w:val="both"/>
        <w:rPr>
          <w:rFonts w:eastAsia="Aptos"/>
          <w:sz w:val="22"/>
          <w:szCs w:val="22"/>
        </w:rPr>
      </w:pPr>
      <w:r>
        <w:rPr>
          <w:noProof/>
        </w:rPr>
        <w:drawing>
          <wp:inline distT="0" distB="0" distL="0" distR="0" wp14:anchorId="385654E1" wp14:editId="0D2234E0">
            <wp:extent cx="5488305" cy="2124075"/>
            <wp:effectExtent l="0" t="0" r="17145" b="9525"/>
            <wp:docPr id="862311407" name="Chart 1">
              <a:extLst xmlns:a="http://schemas.openxmlformats.org/drawingml/2006/main">
                <a:ext uri="{FF2B5EF4-FFF2-40B4-BE49-F238E27FC236}">
                  <a16:creationId xmlns:a16="http://schemas.microsoft.com/office/drawing/2014/main" id="{8FB10F0B-5492-45A6-830A-347A0AC57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C6675E" w14:textId="04C46A05" w:rsidR="0005033C" w:rsidRPr="00390E17" w:rsidRDefault="000A7086" w:rsidP="00E1249E">
      <w:pPr>
        <w:jc w:val="both"/>
        <w:rPr>
          <w:rFonts w:eastAsia="Aptos"/>
          <w:sz w:val="16"/>
          <w:szCs w:val="16"/>
        </w:rPr>
      </w:pPr>
      <w:r w:rsidRPr="00390E17">
        <w:rPr>
          <w:rFonts w:eastAsia="Aptos"/>
          <w:sz w:val="16"/>
          <w:szCs w:val="16"/>
        </w:rPr>
        <w:t xml:space="preserve">Based on </w:t>
      </w:r>
      <w:r w:rsidR="00390E17" w:rsidRPr="00390E17">
        <w:rPr>
          <w:rFonts w:eastAsia="Aptos"/>
          <w:sz w:val="16"/>
          <w:szCs w:val="16"/>
        </w:rPr>
        <w:t>370 tenant surveys carried out between September and October 2023</w:t>
      </w:r>
    </w:p>
    <w:p w14:paraId="1A5FE2BA" w14:textId="77777777" w:rsidR="00C1494A" w:rsidRDefault="00C1494A" w:rsidP="00390E17">
      <w:pPr>
        <w:jc w:val="both"/>
        <w:rPr>
          <w:b/>
        </w:rPr>
      </w:pPr>
    </w:p>
    <w:p w14:paraId="7E0190CF" w14:textId="2E6601CD" w:rsidR="00390E17" w:rsidRDefault="00390E17" w:rsidP="00390E17">
      <w:pPr>
        <w:jc w:val="both"/>
        <w:rPr>
          <w:b/>
        </w:rPr>
      </w:pPr>
      <w:r w:rsidRPr="00A05B7E">
        <w:rPr>
          <w:b/>
        </w:rPr>
        <w:lastRenderedPageBreak/>
        <w:t xml:space="preserve">STRATEGIC REPORT </w:t>
      </w:r>
      <w:r>
        <w:rPr>
          <w:b/>
        </w:rPr>
        <w:t>(Continued)</w:t>
      </w:r>
    </w:p>
    <w:p w14:paraId="1D1D612B" w14:textId="77777777" w:rsidR="00390E17" w:rsidRDefault="00390E17" w:rsidP="00390E17">
      <w:pPr>
        <w:jc w:val="both"/>
        <w:rPr>
          <w:b/>
        </w:rPr>
      </w:pPr>
    </w:p>
    <w:p w14:paraId="0B256DCA" w14:textId="77777777" w:rsidR="00390E17" w:rsidRPr="000A0CA8" w:rsidRDefault="00390E17" w:rsidP="00390E17">
      <w:pPr>
        <w:pStyle w:val="ACText"/>
        <w:spacing w:before="0"/>
        <w:outlineLvl w:val="0"/>
        <w:rPr>
          <w:b/>
          <w:sz w:val="22"/>
          <w:szCs w:val="22"/>
        </w:rPr>
      </w:pPr>
      <w:r>
        <w:rPr>
          <w:b/>
          <w:sz w:val="22"/>
          <w:szCs w:val="22"/>
        </w:rPr>
        <w:t>OPERATING REVIEW (Continued)</w:t>
      </w:r>
    </w:p>
    <w:p w14:paraId="26939F62" w14:textId="77777777" w:rsidR="005404DA" w:rsidRPr="005404DA" w:rsidRDefault="005404DA" w:rsidP="00E1249E">
      <w:pPr>
        <w:jc w:val="both"/>
        <w:rPr>
          <w:rFonts w:eastAsia="Aptos"/>
          <w:sz w:val="22"/>
          <w:szCs w:val="22"/>
        </w:rPr>
      </w:pPr>
    </w:p>
    <w:p w14:paraId="0FE0A194" w14:textId="6AA066C6" w:rsidR="005404DA" w:rsidRPr="005404DA" w:rsidRDefault="005404DA" w:rsidP="00E1249E">
      <w:pPr>
        <w:jc w:val="both"/>
        <w:rPr>
          <w:rFonts w:eastAsia="Aptos"/>
          <w:sz w:val="22"/>
          <w:szCs w:val="22"/>
        </w:rPr>
      </w:pPr>
      <w:r w:rsidRPr="005404DA">
        <w:rPr>
          <w:rFonts w:eastAsia="Aptos"/>
          <w:sz w:val="22"/>
          <w:szCs w:val="22"/>
        </w:rPr>
        <w:t xml:space="preserve">Our Customer Voices programme improved tenant engagement, with </w:t>
      </w:r>
      <w:r w:rsidR="00091CA8">
        <w:rPr>
          <w:rFonts w:eastAsia="Aptos"/>
          <w:sz w:val="22"/>
          <w:szCs w:val="22"/>
        </w:rPr>
        <w:t xml:space="preserve">over </w:t>
      </w:r>
      <w:r w:rsidR="0086284F">
        <w:rPr>
          <w:rFonts w:eastAsia="Aptos"/>
          <w:sz w:val="22"/>
          <w:szCs w:val="22"/>
        </w:rPr>
        <w:t>300</w:t>
      </w:r>
      <w:r w:rsidRPr="005404DA">
        <w:rPr>
          <w:rFonts w:eastAsia="Aptos"/>
          <w:sz w:val="22"/>
          <w:szCs w:val="22"/>
        </w:rPr>
        <w:t xml:space="preserve"> customers </w:t>
      </w:r>
      <w:r w:rsidR="00DB4B89">
        <w:rPr>
          <w:rFonts w:eastAsia="Aptos"/>
          <w:sz w:val="22"/>
          <w:szCs w:val="22"/>
        </w:rPr>
        <w:t xml:space="preserve">involved in </w:t>
      </w:r>
      <w:r w:rsidRPr="005404DA">
        <w:rPr>
          <w:rFonts w:eastAsia="Aptos"/>
          <w:sz w:val="22"/>
          <w:szCs w:val="22"/>
        </w:rPr>
        <w:t xml:space="preserve">helping shape </w:t>
      </w:r>
      <w:r w:rsidR="00531278">
        <w:rPr>
          <w:rFonts w:eastAsia="Aptos"/>
          <w:sz w:val="22"/>
          <w:szCs w:val="22"/>
        </w:rPr>
        <w:t>our</w:t>
      </w:r>
      <w:r w:rsidRPr="005404DA">
        <w:rPr>
          <w:rFonts w:eastAsia="Aptos"/>
          <w:sz w:val="22"/>
          <w:szCs w:val="22"/>
        </w:rPr>
        <w:t xml:space="preserve"> services.</w:t>
      </w:r>
      <w:r w:rsidR="00A904F7">
        <w:rPr>
          <w:rFonts w:eastAsia="Aptos"/>
          <w:sz w:val="22"/>
          <w:szCs w:val="22"/>
        </w:rPr>
        <w:t xml:space="preserve"> </w:t>
      </w:r>
      <w:r w:rsidRPr="005404DA">
        <w:rPr>
          <w:rFonts w:eastAsia="Aptos"/>
          <w:sz w:val="22"/>
          <w:szCs w:val="22"/>
        </w:rPr>
        <w:t>Our latest tenant survey revealed high levels of customer satisfaction</w:t>
      </w:r>
      <w:r w:rsidR="0086284F">
        <w:rPr>
          <w:rFonts w:eastAsia="Aptos"/>
          <w:sz w:val="22"/>
          <w:szCs w:val="22"/>
        </w:rPr>
        <w:t>,</w:t>
      </w:r>
      <w:r w:rsidRPr="005404DA">
        <w:rPr>
          <w:rFonts w:eastAsia="Aptos"/>
          <w:sz w:val="22"/>
          <w:szCs w:val="22"/>
        </w:rPr>
        <w:t xml:space="preserve"> some of the highest in the country and </w:t>
      </w:r>
      <w:r w:rsidR="00A904F7">
        <w:rPr>
          <w:rFonts w:eastAsia="Aptos"/>
          <w:sz w:val="22"/>
          <w:szCs w:val="22"/>
        </w:rPr>
        <w:t>provided feedback around</w:t>
      </w:r>
      <w:r w:rsidRPr="005404DA">
        <w:rPr>
          <w:rFonts w:eastAsia="Aptos"/>
          <w:sz w:val="22"/>
          <w:szCs w:val="22"/>
        </w:rPr>
        <w:t xml:space="preserve"> increased opportunities to take part in decision-making, showing we are getting it right for customers. </w:t>
      </w:r>
    </w:p>
    <w:p w14:paraId="37A35BEB" w14:textId="77777777" w:rsidR="005404DA" w:rsidRPr="005404DA" w:rsidRDefault="005404DA" w:rsidP="00E1249E">
      <w:pPr>
        <w:jc w:val="both"/>
        <w:rPr>
          <w:rFonts w:eastAsia="Aptos"/>
          <w:sz w:val="22"/>
          <w:szCs w:val="22"/>
        </w:rPr>
      </w:pPr>
    </w:p>
    <w:p w14:paraId="110A2635" w14:textId="7EAF2AE3" w:rsidR="005404DA" w:rsidRPr="005404DA" w:rsidRDefault="00E6662A" w:rsidP="00E1249E">
      <w:pPr>
        <w:jc w:val="both"/>
        <w:rPr>
          <w:rFonts w:eastAsia="Aptos"/>
          <w:sz w:val="22"/>
          <w:szCs w:val="22"/>
        </w:rPr>
      </w:pPr>
      <w:r>
        <w:rPr>
          <w:rFonts w:eastAsia="Aptos"/>
          <w:sz w:val="22"/>
          <w:szCs w:val="22"/>
        </w:rPr>
        <w:t>We</w:t>
      </w:r>
      <w:r w:rsidR="005404DA" w:rsidRPr="005404DA">
        <w:rPr>
          <w:rFonts w:eastAsia="Aptos"/>
          <w:sz w:val="22"/>
          <w:szCs w:val="22"/>
        </w:rPr>
        <w:t xml:space="preserve"> built 35 new homes </w:t>
      </w:r>
      <w:r w:rsidR="009179CF">
        <w:rPr>
          <w:rFonts w:eastAsia="Aptos"/>
          <w:sz w:val="22"/>
          <w:szCs w:val="22"/>
        </w:rPr>
        <w:t xml:space="preserve">for social rent </w:t>
      </w:r>
      <w:r w:rsidR="005404DA" w:rsidRPr="005404DA">
        <w:rPr>
          <w:rFonts w:eastAsia="Aptos"/>
          <w:sz w:val="22"/>
          <w:szCs w:val="22"/>
        </w:rPr>
        <w:t>in 2023</w:t>
      </w:r>
      <w:r w:rsidR="0064720F">
        <w:rPr>
          <w:rFonts w:eastAsia="Aptos"/>
          <w:sz w:val="22"/>
          <w:szCs w:val="22"/>
        </w:rPr>
        <w:t>/</w:t>
      </w:r>
      <w:r w:rsidR="005404DA" w:rsidRPr="005404DA">
        <w:rPr>
          <w:rFonts w:eastAsia="Aptos"/>
          <w:sz w:val="22"/>
          <w:szCs w:val="22"/>
        </w:rPr>
        <w:t xml:space="preserve">24 and </w:t>
      </w:r>
      <w:r w:rsidR="005404DA" w:rsidRPr="004A34BC">
        <w:rPr>
          <w:rFonts w:eastAsia="Aptos"/>
          <w:sz w:val="22"/>
          <w:szCs w:val="22"/>
        </w:rPr>
        <w:t>invested £1</w:t>
      </w:r>
      <w:r w:rsidR="004A34BC" w:rsidRPr="004A34BC">
        <w:rPr>
          <w:rFonts w:eastAsia="Aptos"/>
          <w:sz w:val="22"/>
          <w:szCs w:val="22"/>
        </w:rPr>
        <w:t>7.2</w:t>
      </w:r>
      <w:r w:rsidR="005404DA" w:rsidRPr="004A34BC">
        <w:rPr>
          <w:rFonts w:eastAsia="Aptos"/>
          <w:sz w:val="22"/>
          <w:szCs w:val="22"/>
        </w:rPr>
        <w:t>m in planned</w:t>
      </w:r>
      <w:r w:rsidR="005404DA" w:rsidRPr="005404DA">
        <w:rPr>
          <w:rFonts w:eastAsia="Aptos"/>
          <w:sz w:val="22"/>
          <w:szCs w:val="22"/>
        </w:rPr>
        <w:t xml:space="preserve"> improvements to our homes and communities.</w:t>
      </w:r>
      <w:r w:rsidR="00CD2CCE">
        <w:rPr>
          <w:rFonts w:eastAsia="Aptos"/>
          <w:sz w:val="22"/>
          <w:szCs w:val="22"/>
        </w:rPr>
        <w:t xml:space="preserve"> </w:t>
      </w:r>
      <w:r w:rsidR="00CD2CCE" w:rsidRPr="00CD2CCE">
        <w:rPr>
          <w:rFonts w:eastAsia="Aptos"/>
          <w:sz w:val="22"/>
          <w:szCs w:val="22"/>
        </w:rPr>
        <w:t>We also spent a further £</w:t>
      </w:r>
      <w:r w:rsidR="00530D1B">
        <w:rPr>
          <w:rFonts w:eastAsia="Aptos"/>
          <w:sz w:val="22"/>
          <w:szCs w:val="22"/>
        </w:rPr>
        <w:t>14.</w:t>
      </w:r>
      <w:r w:rsidR="00B94668">
        <w:rPr>
          <w:rFonts w:eastAsia="Aptos"/>
          <w:sz w:val="22"/>
          <w:szCs w:val="22"/>
        </w:rPr>
        <w:t>6</w:t>
      </w:r>
      <w:r w:rsidR="00CD2CCE" w:rsidRPr="00CD2CCE">
        <w:rPr>
          <w:rFonts w:eastAsia="Aptos"/>
          <w:sz w:val="22"/>
          <w:szCs w:val="22"/>
        </w:rPr>
        <w:t>m on repairs and maintenance</w:t>
      </w:r>
      <w:r w:rsidR="0084143A">
        <w:rPr>
          <w:rFonts w:eastAsia="Aptos"/>
          <w:sz w:val="22"/>
          <w:szCs w:val="22"/>
        </w:rPr>
        <w:t>.</w:t>
      </w:r>
    </w:p>
    <w:p w14:paraId="30E51CE1" w14:textId="77777777" w:rsidR="005404DA" w:rsidRPr="005404DA" w:rsidRDefault="005404DA" w:rsidP="00E1249E">
      <w:pPr>
        <w:jc w:val="both"/>
        <w:rPr>
          <w:rFonts w:eastAsia="Aptos"/>
          <w:sz w:val="22"/>
          <w:szCs w:val="22"/>
        </w:rPr>
      </w:pPr>
    </w:p>
    <w:p w14:paraId="4E0C5783" w14:textId="3A68409F" w:rsidR="005404DA" w:rsidRDefault="00511843" w:rsidP="00E1249E">
      <w:pPr>
        <w:jc w:val="both"/>
        <w:rPr>
          <w:sz w:val="22"/>
          <w:szCs w:val="22"/>
        </w:rPr>
      </w:pPr>
      <w:r w:rsidRPr="00E81FD4">
        <w:rPr>
          <w:sz w:val="22"/>
          <w:szCs w:val="22"/>
        </w:rPr>
        <w:t xml:space="preserve">As we move into the final years of our strategy, we will continue to engage with our customers to adapt what we do to meet their changing needs and circumstances and provide the support they need.  </w:t>
      </w:r>
      <w:r w:rsidRPr="00E0533C">
        <w:rPr>
          <w:sz w:val="22"/>
          <w:szCs w:val="22"/>
        </w:rPr>
        <w:t xml:space="preserve">  </w:t>
      </w:r>
    </w:p>
    <w:p w14:paraId="6A982E38" w14:textId="77777777" w:rsidR="00511843" w:rsidRPr="005404DA" w:rsidRDefault="00511843" w:rsidP="00E1249E">
      <w:pPr>
        <w:jc w:val="both"/>
        <w:rPr>
          <w:rFonts w:eastAsia="Aptos"/>
          <w:sz w:val="22"/>
          <w:szCs w:val="22"/>
        </w:rPr>
      </w:pPr>
    </w:p>
    <w:p w14:paraId="4A8619E0" w14:textId="458DD844" w:rsidR="005404DA" w:rsidRPr="005404DA" w:rsidRDefault="005404DA" w:rsidP="00E1249E">
      <w:pPr>
        <w:jc w:val="both"/>
        <w:rPr>
          <w:rFonts w:eastAsia="Aptos"/>
          <w:sz w:val="22"/>
          <w:szCs w:val="22"/>
        </w:rPr>
      </w:pPr>
      <w:r w:rsidRPr="005404DA">
        <w:rPr>
          <w:rFonts w:eastAsia="Aptos"/>
          <w:sz w:val="22"/>
          <w:szCs w:val="22"/>
        </w:rPr>
        <w:t>Here are some of the highlights of the year</w:t>
      </w:r>
      <w:r w:rsidR="00C442B4">
        <w:rPr>
          <w:rFonts w:eastAsia="Aptos"/>
          <w:sz w:val="22"/>
          <w:szCs w:val="22"/>
        </w:rPr>
        <w:t>:</w:t>
      </w:r>
      <w:r w:rsidRPr="005404DA">
        <w:rPr>
          <w:rFonts w:eastAsia="Aptos"/>
          <w:sz w:val="22"/>
          <w:szCs w:val="22"/>
        </w:rPr>
        <w:t xml:space="preserve"> </w:t>
      </w:r>
    </w:p>
    <w:p w14:paraId="5F941126" w14:textId="77777777" w:rsidR="005404DA" w:rsidRDefault="005404DA" w:rsidP="00F438DD">
      <w:pPr>
        <w:pStyle w:val="paragraph"/>
        <w:spacing w:before="0" w:beforeAutospacing="0" w:after="0" w:afterAutospacing="0"/>
        <w:jc w:val="both"/>
        <w:textAlignment w:val="baseline"/>
        <w:rPr>
          <w:color w:val="FF0000"/>
          <w:sz w:val="22"/>
          <w:szCs w:val="22"/>
        </w:rPr>
      </w:pPr>
    </w:p>
    <w:p w14:paraId="21F8C845" w14:textId="0BEEB4A0" w:rsidR="007D086B" w:rsidRDefault="00B5167A" w:rsidP="00F438DD">
      <w:pPr>
        <w:pStyle w:val="paragraph"/>
        <w:spacing w:before="0" w:beforeAutospacing="0" w:after="0" w:afterAutospacing="0"/>
        <w:jc w:val="both"/>
        <w:textAlignment w:val="baseline"/>
        <w:rPr>
          <w:rStyle w:val="eop"/>
          <w:sz w:val="22"/>
          <w:szCs w:val="22"/>
        </w:rPr>
      </w:pPr>
      <w:r w:rsidRPr="004576A6">
        <w:rPr>
          <w:rStyle w:val="normaltextrun"/>
          <w:b/>
          <w:bCs/>
          <w:sz w:val="22"/>
          <w:szCs w:val="22"/>
        </w:rPr>
        <w:t>Building new homes</w:t>
      </w:r>
      <w:r w:rsidRPr="004576A6">
        <w:rPr>
          <w:rStyle w:val="eop"/>
          <w:sz w:val="22"/>
          <w:szCs w:val="22"/>
        </w:rPr>
        <w:t> </w:t>
      </w:r>
    </w:p>
    <w:p w14:paraId="1FE8A240" w14:textId="5EFB8488" w:rsidR="002C5F4B" w:rsidRPr="002C5F4B" w:rsidRDefault="002C5F4B" w:rsidP="00E1249E">
      <w:pPr>
        <w:jc w:val="both"/>
        <w:rPr>
          <w:rFonts w:eastAsia="Aptos"/>
          <w:sz w:val="22"/>
          <w:szCs w:val="22"/>
        </w:rPr>
      </w:pPr>
      <w:r w:rsidRPr="002C5F4B">
        <w:rPr>
          <w:rFonts w:eastAsia="Aptos"/>
          <w:sz w:val="22"/>
          <w:szCs w:val="22"/>
        </w:rPr>
        <w:t>Wheatley Homes South built 35 new homes for social rent at Curries Yard in Dumfries in 2023</w:t>
      </w:r>
      <w:r>
        <w:rPr>
          <w:rFonts w:eastAsia="Aptos"/>
          <w:sz w:val="22"/>
          <w:szCs w:val="22"/>
        </w:rPr>
        <w:t>/</w:t>
      </w:r>
      <w:r w:rsidRPr="002C5F4B">
        <w:rPr>
          <w:rFonts w:eastAsia="Aptos"/>
          <w:sz w:val="22"/>
          <w:szCs w:val="22"/>
        </w:rPr>
        <w:t xml:space="preserve">24. Work is continuing on another 54 social rent homes at Curries Yard and on 47 homes for social rent at Ewart Place, Springholm. </w:t>
      </w:r>
    </w:p>
    <w:p w14:paraId="3AA538A8" w14:textId="77777777" w:rsidR="002C5F4B" w:rsidRPr="002C5F4B" w:rsidRDefault="002C5F4B" w:rsidP="00E1249E">
      <w:pPr>
        <w:jc w:val="both"/>
        <w:rPr>
          <w:rFonts w:eastAsia="Aptos"/>
          <w:b/>
          <w:bCs/>
          <w:sz w:val="22"/>
          <w:szCs w:val="22"/>
        </w:rPr>
      </w:pPr>
    </w:p>
    <w:p w14:paraId="6F7B62D7" w14:textId="428E82BA" w:rsidR="002C5F4B" w:rsidRPr="002C5F4B" w:rsidRDefault="002C5F4B" w:rsidP="00E1249E">
      <w:pPr>
        <w:spacing w:after="160" w:line="257" w:lineRule="auto"/>
        <w:jc w:val="both"/>
        <w:rPr>
          <w:rFonts w:eastAsia="Arial"/>
          <w:sz w:val="22"/>
          <w:szCs w:val="22"/>
        </w:rPr>
      </w:pPr>
      <w:r w:rsidRPr="002C5F4B">
        <w:rPr>
          <w:rFonts w:eastAsia="Arial"/>
          <w:sz w:val="22"/>
          <w:szCs w:val="22"/>
        </w:rPr>
        <w:t xml:space="preserve">Wheatley Homes South, like all social landlords, faces a challenging economic environment, with </w:t>
      </w:r>
      <w:r w:rsidR="00740351">
        <w:rPr>
          <w:rFonts w:eastAsia="Arial"/>
          <w:sz w:val="22"/>
          <w:szCs w:val="22"/>
        </w:rPr>
        <w:t>the Scottish Government budget reductions to the</w:t>
      </w:r>
      <w:r w:rsidRPr="002C5F4B">
        <w:rPr>
          <w:rFonts w:eastAsia="Arial"/>
          <w:sz w:val="22"/>
          <w:szCs w:val="22"/>
        </w:rPr>
        <w:t xml:space="preserve"> affordable housing supply programme likely to have an impact on how many homes we can build. Our future pipeline relies on the availability of Government grant for new projects to start on site over the coming year. We are working with our local authority partners and the Scottish Government to consider options to </w:t>
      </w:r>
      <w:r w:rsidR="00F7611D">
        <w:rPr>
          <w:rFonts w:eastAsia="Arial"/>
          <w:sz w:val="22"/>
          <w:szCs w:val="22"/>
        </w:rPr>
        <w:t>grow</w:t>
      </w:r>
      <w:r w:rsidR="00BF5BAE">
        <w:rPr>
          <w:rFonts w:eastAsia="Arial"/>
          <w:sz w:val="22"/>
          <w:szCs w:val="22"/>
        </w:rPr>
        <w:t xml:space="preserve"> </w:t>
      </w:r>
      <w:r w:rsidRPr="002C5F4B">
        <w:rPr>
          <w:rFonts w:eastAsia="Arial"/>
          <w:sz w:val="22"/>
          <w:szCs w:val="22"/>
        </w:rPr>
        <w:t>the supply of much-needed affordable housing.</w:t>
      </w:r>
    </w:p>
    <w:p w14:paraId="48DDEA56" w14:textId="77777777" w:rsidR="00BA11B4" w:rsidRDefault="00BA11B4" w:rsidP="00E1249E">
      <w:pPr>
        <w:pStyle w:val="paragraph"/>
        <w:spacing w:before="0" w:beforeAutospacing="0" w:after="0" w:afterAutospacing="0"/>
        <w:jc w:val="both"/>
        <w:textAlignment w:val="baseline"/>
        <w:rPr>
          <w:rStyle w:val="normaltextrun"/>
          <w:b/>
          <w:bCs/>
          <w:sz w:val="22"/>
          <w:szCs w:val="22"/>
        </w:rPr>
      </w:pPr>
    </w:p>
    <w:p w14:paraId="6697A755" w14:textId="02830CEC" w:rsidR="00507228" w:rsidRPr="00507228" w:rsidRDefault="00B5167A" w:rsidP="00507228">
      <w:pPr>
        <w:rPr>
          <w:sz w:val="22"/>
          <w:szCs w:val="22"/>
        </w:rPr>
      </w:pPr>
      <w:r w:rsidRPr="001C0B74">
        <w:rPr>
          <w:rStyle w:val="normaltextrun"/>
          <w:b/>
          <w:bCs/>
          <w:sz w:val="22"/>
          <w:szCs w:val="22"/>
        </w:rPr>
        <w:t>Investing in our homes</w:t>
      </w:r>
      <w:r w:rsidRPr="001C0B74">
        <w:rPr>
          <w:rStyle w:val="eop"/>
          <w:sz w:val="22"/>
          <w:szCs w:val="22"/>
        </w:rPr>
        <w:t> </w:t>
      </w:r>
      <w:r w:rsidR="00594B0A">
        <w:rPr>
          <w:sz w:val="22"/>
          <w:szCs w:val="22"/>
        </w:rPr>
        <w:br/>
      </w:r>
      <w:r w:rsidR="00507228" w:rsidRPr="00507228">
        <w:rPr>
          <w:sz w:val="22"/>
          <w:szCs w:val="22"/>
        </w:rPr>
        <w:t xml:space="preserve">We </w:t>
      </w:r>
      <w:r w:rsidR="00507228" w:rsidRPr="004B0843">
        <w:rPr>
          <w:sz w:val="22"/>
          <w:szCs w:val="22"/>
        </w:rPr>
        <w:t>delivered £1</w:t>
      </w:r>
      <w:r w:rsidR="004B0843" w:rsidRPr="004B0843">
        <w:rPr>
          <w:sz w:val="22"/>
          <w:szCs w:val="22"/>
        </w:rPr>
        <w:t>7.2</w:t>
      </w:r>
      <w:r w:rsidR="00507228" w:rsidRPr="004B0843">
        <w:rPr>
          <w:sz w:val="22"/>
          <w:szCs w:val="22"/>
        </w:rPr>
        <w:t>m of planned</w:t>
      </w:r>
      <w:r w:rsidR="00507228" w:rsidRPr="00507228">
        <w:rPr>
          <w:sz w:val="22"/>
          <w:szCs w:val="22"/>
        </w:rPr>
        <w:t xml:space="preserve"> improvements to homes and communities over the year.</w:t>
      </w:r>
    </w:p>
    <w:p w14:paraId="62FB5CD7" w14:textId="77777777" w:rsidR="00507228" w:rsidRPr="00507228" w:rsidRDefault="00507228" w:rsidP="00E1249E">
      <w:pPr>
        <w:jc w:val="both"/>
        <w:rPr>
          <w:sz w:val="22"/>
          <w:szCs w:val="22"/>
        </w:rPr>
      </w:pPr>
    </w:p>
    <w:p w14:paraId="602592B3" w14:textId="77777777" w:rsidR="00507228" w:rsidRPr="00507228" w:rsidRDefault="00507228" w:rsidP="00E1249E">
      <w:pPr>
        <w:jc w:val="both"/>
        <w:rPr>
          <w:sz w:val="22"/>
          <w:szCs w:val="22"/>
        </w:rPr>
      </w:pPr>
      <w:r w:rsidRPr="00507228">
        <w:rPr>
          <w:sz w:val="22"/>
          <w:szCs w:val="22"/>
        </w:rPr>
        <w:t>This included:</w:t>
      </w:r>
    </w:p>
    <w:p w14:paraId="1C79BAC4" w14:textId="52DBD17F" w:rsidR="00507228" w:rsidRPr="003B155D" w:rsidRDefault="00507228" w:rsidP="00E1249E">
      <w:pPr>
        <w:pStyle w:val="ListParagraph"/>
        <w:numPr>
          <w:ilvl w:val="0"/>
          <w:numId w:val="39"/>
        </w:numPr>
        <w:spacing w:line="240" w:lineRule="auto"/>
        <w:jc w:val="both"/>
        <w:rPr>
          <w:color w:val="000000" w:themeColor="text1"/>
          <w:sz w:val="22"/>
          <w:szCs w:val="22"/>
        </w:rPr>
      </w:pPr>
      <w:r w:rsidRPr="003B155D">
        <w:rPr>
          <w:color w:val="000000" w:themeColor="text1"/>
          <w:sz w:val="22"/>
          <w:szCs w:val="22"/>
        </w:rPr>
        <w:t>£</w:t>
      </w:r>
      <w:r w:rsidR="00166360">
        <w:rPr>
          <w:color w:val="000000" w:themeColor="text1"/>
          <w:sz w:val="22"/>
          <w:szCs w:val="22"/>
        </w:rPr>
        <w:t>2.0</w:t>
      </w:r>
      <w:r w:rsidRPr="00C64CE1">
        <w:rPr>
          <w:color w:val="000000" w:themeColor="text1"/>
          <w:sz w:val="22"/>
          <w:szCs w:val="22"/>
        </w:rPr>
        <w:t>m</w:t>
      </w:r>
      <w:r w:rsidRPr="003B155D">
        <w:rPr>
          <w:color w:val="000000" w:themeColor="text1"/>
          <w:sz w:val="22"/>
          <w:szCs w:val="22"/>
        </w:rPr>
        <w:t xml:space="preserve"> on external wall insulation for </w:t>
      </w:r>
      <w:r w:rsidR="00391365">
        <w:rPr>
          <w:color w:val="000000" w:themeColor="text1"/>
          <w:sz w:val="22"/>
          <w:szCs w:val="22"/>
        </w:rPr>
        <w:t>113</w:t>
      </w:r>
      <w:r w:rsidRPr="003B155D">
        <w:rPr>
          <w:color w:val="000000" w:themeColor="text1"/>
          <w:sz w:val="22"/>
          <w:szCs w:val="22"/>
        </w:rPr>
        <w:t xml:space="preserve"> homes; </w:t>
      </w:r>
    </w:p>
    <w:p w14:paraId="77AF62E3" w14:textId="249222B1" w:rsidR="00391365" w:rsidRPr="00C64CE1" w:rsidRDefault="00F05EB2" w:rsidP="00E1249E">
      <w:pPr>
        <w:pStyle w:val="ListParagraph"/>
        <w:numPr>
          <w:ilvl w:val="0"/>
          <w:numId w:val="39"/>
        </w:numPr>
        <w:spacing w:line="240" w:lineRule="auto"/>
        <w:jc w:val="both"/>
        <w:rPr>
          <w:color w:val="000000" w:themeColor="text1"/>
          <w:sz w:val="22"/>
          <w:szCs w:val="22"/>
        </w:rPr>
      </w:pPr>
      <w:r>
        <w:rPr>
          <w:color w:val="000000" w:themeColor="text1"/>
          <w:sz w:val="22"/>
          <w:szCs w:val="22"/>
        </w:rPr>
        <w:t xml:space="preserve">£6.0m </w:t>
      </w:r>
      <w:r w:rsidRPr="00E803CA">
        <w:rPr>
          <w:sz w:val="22"/>
          <w:szCs w:val="22"/>
        </w:rPr>
        <w:t xml:space="preserve">on </w:t>
      </w:r>
      <w:r w:rsidRPr="00E803CA">
        <w:rPr>
          <w:rStyle w:val="normaltextrun"/>
          <w:sz w:val="22"/>
          <w:szCs w:val="22"/>
        </w:rPr>
        <w:t>new energy efficient heating systems</w:t>
      </w:r>
      <w:r>
        <w:rPr>
          <w:rStyle w:val="normaltextrun"/>
          <w:sz w:val="22"/>
          <w:szCs w:val="22"/>
        </w:rPr>
        <w:t xml:space="preserve"> for </w:t>
      </w:r>
      <w:r w:rsidR="00B8574B">
        <w:rPr>
          <w:rStyle w:val="normaltextrun"/>
          <w:sz w:val="22"/>
          <w:szCs w:val="22"/>
        </w:rPr>
        <w:t>307 homes;</w:t>
      </w:r>
    </w:p>
    <w:p w14:paraId="1AFA36EB" w14:textId="60D77F44" w:rsidR="008328CE" w:rsidRDefault="008328CE" w:rsidP="008328CE">
      <w:pPr>
        <w:pStyle w:val="ListParagraph"/>
        <w:numPr>
          <w:ilvl w:val="0"/>
          <w:numId w:val="39"/>
        </w:numPr>
        <w:spacing w:line="240" w:lineRule="auto"/>
        <w:jc w:val="both"/>
        <w:rPr>
          <w:color w:val="000000" w:themeColor="text1"/>
          <w:sz w:val="22"/>
          <w:szCs w:val="22"/>
        </w:rPr>
      </w:pPr>
      <w:r w:rsidRPr="00C64CE1">
        <w:rPr>
          <w:color w:val="000000" w:themeColor="text1"/>
          <w:sz w:val="22"/>
          <w:szCs w:val="22"/>
        </w:rPr>
        <w:t>£0.</w:t>
      </w:r>
      <w:r w:rsidR="00781F8B">
        <w:rPr>
          <w:color w:val="000000" w:themeColor="text1"/>
          <w:sz w:val="22"/>
          <w:szCs w:val="22"/>
        </w:rPr>
        <w:t>3</w:t>
      </w:r>
      <w:r w:rsidRPr="00C64CE1">
        <w:rPr>
          <w:color w:val="000000" w:themeColor="text1"/>
          <w:sz w:val="22"/>
          <w:szCs w:val="22"/>
        </w:rPr>
        <w:t xml:space="preserve">m on new kitchens </w:t>
      </w:r>
      <w:r w:rsidR="00767BD6">
        <w:rPr>
          <w:color w:val="000000" w:themeColor="text1"/>
          <w:sz w:val="22"/>
          <w:szCs w:val="22"/>
        </w:rPr>
        <w:t xml:space="preserve">and bathrooms </w:t>
      </w:r>
      <w:r w:rsidRPr="00C64CE1">
        <w:rPr>
          <w:color w:val="000000" w:themeColor="text1"/>
          <w:sz w:val="22"/>
          <w:szCs w:val="22"/>
        </w:rPr>
        <w:t xml:space="preserve">for </w:t>
      </w:r>
      <w:r w:rsidR="00767BD6">
        <w:rPr>
          <w:color w:val="000000" w:themeColor="text1"/>
          <w:sz w:val="22"/>
          <w:szCs w:val="22"/>
        </w:rPr>
        <w:t>50</w:t>
      </w:r>
      <w:r w:rsidRPr="00C64CE1">
        <w:rPr>
          <w:color w:val="000000" w:themeColor="text1"/>
          <w:sz w:val="22"/>
          <w:szCs w:val="22"/>
        </w:rPr>
        <w:t xml:space="preserve"> homes</w:t>
      </w:r>
      <w:r w:rsidR="002B413F">
        <w:rPr>
          <w:color w:val="000000" w:themeColor="text1"/>
          <w:sz w:val="22"/>
          <w:szCs w:val="22"/>
        </w:rPr>
        <w:t>;</w:t>
      </w:r>
      <w:r w:rsidRPr="00C64CE1">
        <w:rPr>
          <w:color w:val="000000" w:themeColor="text1"/>
          <w:sz w:val="22"/>
          <w:szCs w:val="22"/>
        </w:rPr>
        <w:t xml:space="preserve"> </w:t>
      </w:r>
    </w:p>
    <w:p w14:paraId="5866B0AC" w14:textId="5B153BEB" w:rsidR="00CB59ED" w:rsidRPr="0063583A" w:rsidRDefault="00CB59ED" w:rsidP="00E1249E">
      <w:pPr>
        <w:pStyle w:val="ListParagraph"/>
        <w:numPr>
          <w:ilvl w:val="0"/>
          <w:numId w:val="39"/>
        </w:numPr>
        <w:spacing w:line="240" w:lineRule="auto"/>
        <w:jc w:val="both"/>
        <w:rPr>
          <w:sz w:val="22"/>
          <w:szCs w:val="22"/>
        </w:rPr>
      </w:pPr>
      <w:r>
        <w:rPr>
          <w:color w:val="000000" w:themeColor="text1"/>
          <w:sz w:val="22"/>
          <w:szCs w:val="22"/>
        </w:rPr>
        <w:t>£</w:t>
      </w:r>
      <w:r w:rsidR="00C55279">
        <w:rPr>
          <w:color w:val="000000" w:themeColor="text1"/>
          <w:sz w:val="22"/>
          <w:szCs w:val="22"/>
        </w:rPr>
        <w:t>1.8</w:t>
      </w:r>
      <w:r w:rsidRPr="00C64CE1">
        <w:rPr>
          <w:color w:val="000000" w:themeColor="text1"/>
          <w:sz w:val="22"/>
          <w:szCs w:val="22"/>
        </w:rPr>
        <w:t>m</w:t>
      </w:r>
      <w:r>
        <w:rPr>
          <w:color w:val="000000" w:themeColor="text1"/>
          <w:sz w:val="22"/>
          <w:szCs w:val="22"/>
        </w:rPr>
        <w:t xml:space="preserve"> </w:t>
      </w:r>
      <w:r w:rsidR="003378DF">
        <w:rPr>
          <w:color w:val="000000" w:themeColor="text1"/>
          <w:sz w:val="22"/>
          <w:szCs w:val="22"/>
        </w:rPr>
        <w:t xml:space="preserve">on structural works and roofing for </w:t>
      </w:r>
      <w:r w:rsidR="00CA5B88">
        <w:rPr>
          <w:color w:val="000000" w:themeColor="text1"/>
          <w:sz w:val="22"/>
          <w:szCs w:val="22"/>
        </w:rPr>
        <w:t>727</w:t>
      </w:r>
      <w:r w:rsidR="006B6A9B">
        <w:rPr>
          <w:color w:val="000000" w:themeColor="text1"/>
          <w:sz w:val="22"/>
          <w:szCs w:val="22"/>
        </w:rPr>
        <w:t xml:space="preserve"> homes;</w:t>
      </w:r>
    </w:p>
    <w:p w14:paraId="01C56CDF" w14:textId="027208DD" w:rsidR="008328CE" w:rsidRPr="008328CE" w:rsidRDefault="008328CE" w:rsidP="008328CE">
      <w:pPr>
        <w:pStyle w:val="ListParagraph"/>
        <w:numPr>
          <w:ilvl w:val="0"/>
          <w:numId w:val="39"/>
        </w:numPr>
        <w:spacing w:line="240" w:lineRule="auto"/>
        <w:jc w:val="both"/>
        <w:rPr>
          <w:sz w:val="22"/>
          <w:szCs w:val="22"/>
        </w:rPr>
      </w:pPr>
      <w:r w:rsidRPr="00C64CE1">
        <w:rPr>
          <w:color w:val="000000" w:themeColor="text1"/>
          <w:sz w:val="22"/>
          <w:szCs w:val="22"/>
        </w:rPr>
        <w:t>£1.3m on new windows and doors for 224 homes;</w:t>
      </w:r>
    </w:p>
    <w:p w14:paraId="30B91846" w14:textId="77777777" w:rsidR="00995EFF" w:rsidRDefault="00995EFF" w:rsidP="00E1249E">
      <w:pPr>
        <w:jc w:val="both"/>
        <w:rPr>
          <w:sz w:val="22"/>
          <w:szCs w:val="22"/>
        </w:rPr>
      </w:pPr>
    </w:p>
    <w:p w14:paraId="79FEDFA9" w14:textId="5B92FB21" w:rsidR="00507228" w:rsidRPr="006E0D50" w:rsidRDefault="00507228" w:rsidP="00E1249E">
      <w:pPr>
        <w:jc w:val="both"/>
        <w:rPr>
          <w:color w:val="000000" w:themeColor="text1"/>
          <w:sz w:val="22"/>
          <w:szCs w:val="22"/>
        </w:rPr>
      </w:pPr>
      <w:r w:rsidRPr="00507228">
        <w:rPr>
          <w:sz w:val="22"/>
          <w:szCs w:val="22"/>
        </w:rPr>
        <w:t>This investment also contributes to our aim of cutting emissions. In 2023</w:t>
      </w:r>
      <w:r>
        <w:rPr>
          <w:sz w:val="22"/>
          <w:szCs w:val="22"/>
        </w:rPr>
        <w:t>/</w:t>
      </w:r>
      <w:r w:rsidRPr="00507228">
        <w:rPr>
          <w:sz w:val="22"/>
          <w:szCs w:val="22"/>
        </w:rPr>
        <w:t>24, Wheatley Homes South reduced carbon emissions from its homes by 784 tonnes.</w:t>
      </w:r>
    </w:p>
    <w:p w14:paraId="5AC9E3AE" w14:textId="41D74BF5" w:rsidR="00FB73CA" w:rsidRDefault="00FB73CA" w:rsidP="00E1249E">
      <w:pPr>
        <w:pStyle w:val="paragraph"/>
        <w:spacing w:before="0" w:beforeAutospacing="0" w:after="0" w:afterAutospacing="0"/>
        <w:jc w:val="both"/>
        <w:textAlignment w:val="baseline"/>
        <w:rPr>
          <w:b/>
        </w:rPr>
      </w:pPr>
    </w:p>
    <w:p w14:paraId="7909AC3B" w14:textId="77777777" w:rsidR="001B0313" w:rsidRDefault="001B0313" w:rsidP="00E1249E">
      <w:pPr>
        <w:pStyle w:val="paragraph"/>
        <w:spacing w:before="0" w:beforeAutospacing="0" w:after="0" w:afterAutospacing="0"/>
        <w:jc w:val="both"/>
        <w:textAlignment w:val="baseline"/>
        <w:rPr>
          <w:rStyle w:val="eop"/>
          <w:sz w:val="22"/>
          <w:szCs w:val="22"/>
        </w:rPr>
      </w:pPr>
      <w:r w:rsidRPr="00952FF2">
        <w:rPr>
          <w:rStyle w:val="normaltextrun"/>
          <w:b/>
          <w:bCs/>
          <w:sz w:val="22"/>
          <w:szCs w:val="22"/>
        </w:rPr>
        <w:t>Our repairs service</w:t>
      </w:r>
      <w:r w:rsidRPr="00952FF2">
        <w:rPr>
          <w:rStyle w:val="eop"/>
          <w:sz w:val="22"/>
          <w:szCs w:val="22"/>
        </w:rPr>
        <w:t> </w:t>
      </w:r>
    </w:p>
    <w:p w14:paraId="716B3F82" w14:textId="77777777" w:rsidR="004E581E" w:rsidRPr="004E581E" w:rsidRDefault="004E581E" w:rsidP="00E1249E">
      <w:pPr>
        <w:jc w:val="both"/>
        <w:rPr>
          <w:sz w:val="22"/>
          <w:szCs w:val="22"/>
        </w:rPr>
      </w:pPr>
      <w:r w:rsidRPr="004E581E">
        <w:rPr>
          <w:sz w:val="22"/>
          <w:szCs w:val="22"/>
        </w:rPr>
        <w:t xml:space="preserve">We launched our ‘Book It, Track It, Rate It’ app in November 2023 to help us improve customer satisfaction. As well as updating customers when their repair is booked and the tradesperson is on their way, it allows them to rate the service. The average rating on a scale of 1 to 5 is 4.6, which is equivalent to 92% satisfaction. </w:t>
      </w:r>
    </w:p>
    <w:p w14:paraId="3A704D59" w14:textId="77777777" w:rsidR="004E581E" w:rsidRPr="004E581E" w:rsidRDefault="004E581E" w:rsidP="00E1249E">
      <w:pPr>
        <w:jc w:val="both"/>
        <w:rPr>
          <w:sz w:val="22"/>
          <w:szCs w:val="22"/>
        </w:rPr>
      </w:pPr>
    </w:p>
    <w:p w14:paraId="0204B523" w14:textId="77777777" w:rsidR="00390E17" w:rsidRDefault="00390E17" w:rsidP="00E1249E">
      <w:pPr>
        <w:jc w:val="both"/>
        <w:rPr>
          <w:sz w:val="22"/>
          <w:szCs w:val="22"/>
          <w:shd w:val="clear" w:color="auto" w:fill="FFFFFF"/>
        </w:rPr>
      </w:pPr>
    </w:p>
    <w:p w14:paraId="339EDE93" w14:textId="77777777" w:rsidR="00390E17" w:rsidRDefault="00390E17" w:rsidP="00E1249E">
      <w:pPr>
        <w:jc w:val="both"/>
        <w:rPr>
          <w:sz w:val="22"/>
          <w:szCs w:val="22"/>
          <w:shd w:val="clear" w:color="auto" w:fill="FFFFFF"/>
        </w:rPr>
      </w:pPr>
    </w:p>
    <w:p w14:paraId="13BEF9C8" w14:textId="77777777" w:rsidR="00390E17" w:rsidRDefault="00390E17" w:rsidP="00E1249E">
      <w:pPr>
        <w:jc w:val="both"/>
        <w:rPr>
          <w:sz w:val="22"/>
          <w:szCs w:val="22"/>
          <w:shd w:val="clear" w:color="auto" w:fill="FFFFFF"/>
        </w:rPr>
      </w:pPr>
    </w:p>
    <w:p w14:paraId="160619D6" w14:textId="77777777" w:rsidR="00390E17" w:rsidRDefault="00390E17" w:rsidP="00E1249E">
      <w:pPr>
        <w:jc w:val="both"/>
        <w:rPr>
          <w:sz w:val="22"/>
          <w:szCs w:val="22"/>
          <w:shd w:val="clear" w:color="auto" w:fill="FFFFFF"/>
        </w:rPr>
      </w:pPr>
    </w:p>
    <w:p w14:paraId="1FBBEC9F" w14:textId="77777777" w:rsidR="00390E17" w:rsidRDefault="00390E17" w:rsidP="00390E17">
      <w:pPr>
        <w:jc w:val="both"/>
        <w:rPr>
          <w:b/>
        </w:rPr>
      </w:pPr>
      <w:r w:rsidRPr="00A05B7E">
        <w:rPr>
          <w:b/>
        </w:rPr>
        <w:lastRenderedPageBreak/>
        <w:t xml:space="preserve">STRATEGIC REPORT </w:t>
      </w:r>
      <w:r>
        <w:rPr>
          <w:b/>
        </w:rPr>
        <w:t>(Continued)</w:t>
      </w:r>
    </w:p>
    <w:p w14:paraId="077145CA" w14:textId="77777777" w:rsidR="00390E17" w:rsidRDefault="00390E17" w:rsidP="00390E17">
      <w:pPr>
        <w:jc w:val="both"/>
        <w:rPr>
          <w:b/>
        </w:rPr>
      </w:pPr>
    </w:p>
    <w:p w14:paraId="1F8F0870" w14:textId="77777777" w:rsidR="00390E17" w:rsidRPr="001B0313" w:rsidRDefault="00390E17" w:rsidP="00390E17">
      <w:pPr>
        <w:pStyle w:val="ACText"/>
        <w:spacing w:before="0"/>
        <w:outlineLvl w:val="0"/>
        <w:rPr>
          <w:b/>
          <w:sz w:val="22"/>
          <w:szCs w:val="22"/>
        </w:rPr>
      </w:pPr>
      <w:r>
        <w:rPr>
          <w:b/>
          <w:sz w:val="22"/>
          <w:szCs w:val="22"/>
        </w:rPr>
        <w:t>OPERATING REVIEW (Continued)</w:t>
      </w:r>
    </w:p>
    <w:p w14:paraId="491758F1" w14:textId="77777777" w:rsidR="00390E17" w:rsidRDefault="00390E17" w:rsidP="00E1249E">
      <w:pPr>
        <w:jc w:val="both"/>
        <w:rPr>
          <w:sz w:val="22"/>
          <w:szCs w:val="22"/>
          <w:shd w:val="clear" w:color="auto" w:fill="FFFFFF"/>
        </w:rPr>
      </w:pPr>
    </w:p>
    <w:p w14:paraId="01541133" w14:textId="276AD919" w:rsidR="004E581E" w:rsidRPr="004E581E" w:rsidRDefault="004E581E" w:rsidP="00E1249E">
      <w:pPr>
        <w:jc w:val="both"/>
        <w:rPr>
          <w:sz w:val="22"/>
          <w:szCs w:val="22"/>
        </w:rPr>
      </w:pPr>
      <w:r w:rsidRPr="004E581E">
        <w:rPr>
          <w:sz w:val="22"/>
          <w:szCs w:val="22"/>
          <w:shd w:val="clear" w:color="auto" w:fill="FFFFFF"/>
        </w:rPr>
        <w:t xml:space="preserve">We continued our focus on dealing with reports of damp and mould in our homes. We </w:t>
      </w:r>
      <w:r w:rsidR="0020494A">
        <w:rPr>
          <w:sz w:val="22"/>
          <w:szCs w:val="22"/>
          <w:shd w:val="clear" w:color="auto" w:fill="FFFFFF"/>
        </w:rPr>
        <w:t xml:space="preserve">have set quick response targets and </w:t>
      </w:r>
      <w:r w:rsidRPr="004E581E">
        <w:rPr>
          <w:sz w:val="22"/>
          <w:szCs w:val="22"/>
          <w:shd w:val="clear" w:color="auto" w:fill="FFFFFF"/>
        </w:rPr>
        <w:t>aim to inspect c</w:t>
      </w:r>
      <w:r w:rsidRPr="004E581E">
        <w:rPr>
          <w:sz w:val="22"/>
          <w:szCs w:val="22"/>
        </w:rPr>
        <w:t xml:space="preserve">omplaints about damp or mould within two working days and to complete any repairs needed within 15 working days. </w:t>
      </w:r>
      <w:r w:rsidR="000803B8">
        <w:rPr>
          <w:sz w:val="22"/>
          <w:szCs w:val="22"/>
        </w:rPr>
        <w:t>Reports of damp and mould across our properties remain low and during the year we carried out a wider programme of external surveys which confirmed that our housing stock</w:t>
      </w:r>
      <w:r w:rsidR="00126905">
        <w:rPr>
          <w:sz w:val="22"/>
          <w:szCs w:val="22"/>
        </w:rPr>
        <w:t xml:space="preserve"> is in good condition.</w:t>
      </w:r>
    </w:p>
    <w:p w14:paraId="1124780B" w14:textId="77777777" w:rsidR="004E581E" w:rsidRPr="004E581E" w:rsidRDefault="004E581E" w:rsidP="00E1249E">
      <w:pPr>
        <w:jc w:val="both"/>
        <w:rPr>
          <w:sz w:val="22"/>
          <w:szCs w:val="22"/>
          <w:shd w:val="clear" w:color="auto" w:fill="FFFFFF"/>
        </w:rPr>
      </w:pPr>
    </w:p>
    <w:p w14:paraId="3F1DFF69" w14:textId="306E3262" w:rsidR="004E581E" w:rsidRPr="004E581E" w:rsidRDefault="004E581E" w:rsidP="00E1249E">
      <w:pPr>
        <w:jc w:val="both"/>
        <w:rPr>
          <w:sz w:val="22"/>
          <w:szCs w:val="22"/>
        </w:rPr>
      </w:pPr>
      <w:r w:rsidRPr="004E581E">
        <w:rPr>
          <w:sz w:val="22"/>
          <w:szCs w:val="22"/>
        </w:rPr>
        <w:t xml:space="preserve">We restructured our repairs service this year, including </w:t>
      </w:r>
      <w:r w:rsidR="000803B8">
        <w:rPr>
          <w:sz w:val="22"/>
          <w:szCs w:val="22"/>
        </w:rPr>
        <w:t>expanding our repairs team</w:t>
      </w:r>
      <w:r w:rsidRPr="004E581E">
        <w:rPr>
          <w:sz w:val="22"/>
          <w:szCs w:val="22"/>
        </w:rPr>
        <w:t xml:space="preserve">, </w:t>
      </w:r>
      <w:r w:rsidR="004721D2">
        <w:rPr>
          <w:sz w:val="22"/>
          <w:szCs w:val="22"/>
        </w:rPr>
        <w:t>bringing</w:t>
      </w:r>
      <w:r w:rsidR="00463361">
        <w:rPr>
          <w:sz w:val="22"/>
          <w:szCs w:val="22"/>
        </w:rPr>
        <w:t xml:space="preserve"> </w:t>
      </w:r>
      <w:r w:rsidR="00D23128">
        <w:rPr>
          <w:sz w:val="22"/>
          <w:szCs w:val="22"/>
        </w:rPr>
        <w:t>our</w:t>
      </w:r>
      <w:r w:rsidRPr="004E581E">
        <w:rPr>
          <w:sz w:val="22"/>
          <w:szCs w:val="22"/>
        </w:rPr>
        <w:t xml:space="preserve"> void management </w:t>
      </w:r>
      <w:r w:rsidR="00D23128">
        <w:rPr>
          <w:sz w:val="22"/>
          <w:szCs w:val="22"/>
        </w:rPr>
        <w:t xml:space="preserve">team in house </w:t>
      </w:r>
      <w:r w:rsidRPr="004E581E">
        <w:rPr>
          <w:sz w:val="22"/>
          <w:szCs w:val="22"/>
        </w:rPr>
        <w:t xml:space="preserve">and opening new depots in Dumfries and Stranraer. Over the year, we completed </w:t>
      </w:r>
      <w:r w:rsidRPr="00FB3706">
        <w:rPr>
          <w:sz w:val="22"/>
          <w:szCs w:val="22"/>
        </w:rPr>
        <w:t>56,</w:t>
      </w:r>
      <w:r w:rsidR="00FB3706">
        <w:rPr>
          <w:sz w:val="22"/>
          <w:szCs w:val="22"/>
        </w:rPr>
        <w:t>350</w:t>
      </w:r>
      <w:r w:rsidRPr="004E581E">
        <w:rPr>
          <w:sz w:val="22"/>
          <w:szCs w:val="22"/>
        </w:rPr>
        <w:t xml:space="preserve"> reactive repairs.</w:t>
      </w:r>
    </w:p>
    <w:p w14:paraId="72472F36" w14:textId="77777777" w:rsidR="00FB73CA" w:rsidRDefault="00FB73CA" w:rsidP="00594B0A">
      <w:pPr>
        <w:jc w:val="both"/>
        <w:rPr>
          <w:b/>
        </w:rPr>
      </w:pPr>
    </w:p>
    <w:p w14:paraId="127DDA23" w14:textId="7C323329" w:rsidR="00716B31" w:rsidRDefault="00B5167A" w:rsidP="00E1249E">
      <w:pPr>
        <w:pStyle w:val="paragraph"/>
        <w:spacing w:before="0" w:beforeAutospacing="0" w:after="0" w:afterAutospacing="0"/>
        <w:jc w:val="both"/>
        <w:textAlignment w:val="baseline"/>
        <w:rPr>
          <w:rStyle w:val="eop"/>
          <w:sz w:val="22"/>
          <w:szCs w:val="22"/>
        </w:rPr>
      </w:pPr>
      <w:r w:rsidRPr="00952FF2">
        <w:rPr>
          <w:rStyle w:val="normaltextrun"/>
          <w:b/>
          <w:bCs/>
          <w:sz w:val="22"/>
          <w:szCs w:val="22"/>
        </w:rPr>
        <w:t>Improving our neighbourhoods</w:t>
      </w:r>
      <w:r w:rsidRPr="00952FF2">
        <w:rPr>
          <w:rStyle w:val="eop"/>
          <w:sz w:val="22"/>
          <w:szCs w:val="22"/>
        </w:rPr>
        <w:t> </w:t>
      </w:r>
    </w:p>
    <w:p w14:paraId="6C6678EB" w14:textId="77777777" w:rsidR="00390E17" w:rsidRDefault="00913153" w:rsidP="00E1249E">
      <w:pPr>
        <w:jc w:val="both"/>
        <w:rPr>
          <w:b/>
        </w:rPr>
      </w:pPr>
      <w:r w:rsidRPr="00913153">
        <w:rPr>
          <w:sz w:val="22"/>
          <w:szCs w:val="22"/>
        </w:rPr>
        <w:t xml:space="preserve">We continued our work to keep our communities clean and safe. Wheatley’s partnership with Keep Scotland Beautiful (KSB) sees the environmental charity assess the service delivered by our environmental teams. </w:t>
      </w:r>
      <w:r w:rsidRPr="00913153">
        <w:rPr>
          <w:color w:val="000000" w:themeColor="text1"/>
          <w:sz w:val="22"/>
          <w:szCs w:val="22"/>
        </w:rPr>
        <w:t xml:space="preserve">All Wheatley Homes South neighbourhoods have been rated as five-star, the highest possible grade. </w:t>
      </w:r>
      <w:r w:rsidRPr="00913153">
        <w:rPr>
          <w:color w:val="000000"/>
          <w:sz w:val="22"/>
          <w:szCs w:val="22"/>
        </w:rPr>
        <w:t xml:space="preserve">A total of 16 Wheatley Homes South customers are now trained in KSB’s standards and environmental monitoring and regularly take part in estate walkabouts with frontline staff, with more planned for next year. </w:t>
      </w:r>
    </w:p>
    <w:p w14:paraId="6F58A6A9" w14:textId="77777777" w:rsidR="00913153" w:rsidRDefault="00913153" w:rsidP="00E1249E">
      <w:pPr>
        <w:jc w:val="both"/>
        <w:rPr>
          <w:b/>
        </w:rPr>
      </w:pPr>
    </w:p>
    <w:p w14:paraId="348D0C70" w14:textId="3239D2CC" w:rsidR="00913153" w:rsidRPr="00913153" w:rsidRDefault="00913153" w:rsidP="00E1249E">
      <w:pPr>
        <w:jc w:val="both"/>
        <w:rPr>
          <w:color w:val="000000"/>
          <w:sz w:val="22"/>
          <w:szCs w:val="22"/>
        </w:rPr>
      </w:pPr>
      <w:r w:rsidRPr="00913153">
        <w:rPr>
          <w:color w:val="000000"/>
          <w:sz w:val="22"/>
          <w:szCs w:val="22"/>
        </w:rPr>
        <w:t xml:space="preserve">We also expanded our successful ‘Environmental Weeks of Action’ to take place four times a year. Working with schools, community groups, local authority partners and volunteers, we tackled bulk uplift and litter picking, as well as promoting recycled furniture, planting trees, creating community gardens and helping customers learn new horticultural skills. </w:t>
      </w:r>
    </w:p>
    <w:p w14:paraId="22230499" w14:textId="77777777" w:rsidR="00913153" w:rsidRPr="00913153" w:rsidRDefault="00913153" w:rsidP="00E1249E">
      <w:pPr>
        <w:jc w:val="both"/>
        <w:rPr>
          <w:sz w:val="22"/>
          <w:szCs w:val="22"/>
        </w:rPr>
      </w:pPr>
    </w:p>
    <w:p w14:paraId="00200CAA" w14:textId="409D33F3" w:rsidR="00913153" w:rsidRPr="00913153" w:rsidRDefault="00913153" w:rsidP="00E1249E">
      <w:pPr>
        <w:jc w:val="both"/>
        <w:rPr>
          <w:color w:val="000000"/>
          <w:sz w:val="22"/>
          <w:szCs w:val="22"/>
        </w:rPr>
      </w:pPr>
      <w:r w:rsidRPr="00913153">
        <w:rPr>
          <w:color w:val="000000" w:themeColor="text1"/>
          <w:sz w:val="22"/>
          <w:szCs w:val="22"/>
        </w:rPr>
        <w:t>Wheatley’s Community Improvement Partnership (CIP)</w:t>
      </w:r>
      <w:r w:rsidR="00DB4227">
        <w:rPr>
          <w:color w:val="000000" w:themeColor="text1"/>
          <w:sz w:val="22"/>
          <w:szCs w:val="22"/>
        </w:rPr>
        <w:t>,</w:t>
      </w:r>
      <w:r w:rsidRPr="00913153">
        <w:rPr>
          <w:color w:val="000000" w:themeColor="text1"/>
          <w:sz w:val="22"/>
          <w:szCs w:val="22"/>
        </w:rPr>
        <w:t xml:space="preserve"> the specialist team of police officers and our Anti-Social Behaviour Prevention and Intervention (ASBIP) officers</w:t>
      </w:r>
      <w:r w:rsidR="00DB4227">
        <w:rPr>
          <w:color w:val="000000" w:themeColor="text1"/>
          <w:sz w:val="22"/>
          <w:szCs w:val="22"/>
        </w:rPr>
        <w:t>,</w:t>
      </w:r>
      <w:r w:rsidRPr="00913153">
        <w:rPr>
          <w:color w:val="000000" w:themeColor="text1"/>
          <w:sz w:val="22"/>
          <w:szCs w:val="22"/>
        </w:rPr>
        <w:t xml:space="preserve"> </w:t>
      </w:r>
      <w:r w:rsidR="00E611C8">
        <w:rPr>
          <w:color w:val="000000" w:themeColor="text1"/>
          <w:sz w:val="22"/>
          <w:szCs w:val="22"/>
        </w:rPr>
        <w:t>has been in place for a</w:t>
      </w:r>
      <w:r w:rsidR="00677B52">
        <w:rPr>
          <w:color w:val="000000" w:themeColor="text1"/>
          <w:sz w:val="22"/>
          <w:szCs w:val="22"/>
        </w:rPr>
        <w:t xml:space="preserve"> </w:t>
      </w:r>
      <w:r w:rsidR="00E611C8">
        <w:rPr>
          <w:color w:val="000000" w:themeColor="text1"/>
          <w:sz w:val="22"/>
          <w:szCs w:val="22"/>
        </w:rPr>
        <w:t>number of years and</w:t>
      </w:r>
      <w:r w:rsidRPr="00913153">
        <w:rPr>
          <w:color w:val="000000" w:themeColor="text1"/>
          <w:sz w:val="22"/>
          <w:szCs w:val="22"/>
        </w:rPr>
        <w:t xml:space="preserve"> work with communities to tackle anti-social behaviour and crime. </w:t>
      </w:r>
      <w:r w:rsidRPr="00913153">
        <w:rPr>
          <w:color w:val="000000"/>
          <w:sz w:val="22"/>
          <w:szCs w:val="22"/>
        </w:rPr>
        <w:t xml:space="preserve">The CIP </w:t>
      </w:r>
      <w:r w:rsidR="00E611C8">
        <w:rPr>
          <w:color w:val="000000"/>
          <w:sz w:val="22"/>
          <w:szCs w:val="22"/>
        </w:rPr>
        <w:t>engaged</w:t>
      </w:r>
      <w:r w:rsidRPr="00913153">
        <w:rPr>
          <w:color w:val="000000"/>
          <w:sz w:val="22"/>
          <w:szCs w:val="22"/>
        </w:rPr>
        <w:t xml:space="preserve"> with Wheatley Homes South customers </w:t>
      </w:r>
      <w:r w:rsidR="00E611C8">
        <w:rPr>
          <w:color w:val="000000"/>
          <w:sz w:val="22"/>
          <w:szCs w:val="22"/>
        </w:rPr>
        <w:t>during</w:t>
      </w:r>
      <w:r w:rsidRPr="00913153">
        <w:rPr>
          <w:color w:val="000000"/>
          <w:sz w:val="22"/>
          <w:szCs w:val="22"/>
        </w:rPr>
        <w:t xml:space="preserve"> the year on Anti-Social Behaviour and Neighbourhood Management policies. At the end of 2023</w:t>
      </w:r>
      <w:r w:rsidR="00B16D9F">
        <w:rPr>
          <w:color w:val="000000"/>
          <w:sz w:val="22"/>
          <w:szCs w:val="22"/>
        </w:rPr>
        <w:t>/</w:t>
      </w:r>
      <w:r w:rsidRPr="00913153">
        <w:rPr>
          <w:color w:val="000000"/>
          <w:sz w:val="22"/>
          <w:szCs w:val="22"/>
        </w:rPr>
        <w:t xml:space="preserve">24, more than 87% of Wheatley Homes South communities were classed as ‘peaceful’. </w:t>
      </w:r>
    </w:p>
    <w:p w14:paraId="689290CD" w14:textId="77777777" w:rsidR="00913153" w:rsidRPr="00913153" w:rsidRDefault="00913153" w:rsidP="00E1249E">
      <w:pPr>
        <w:jc w:val="both"/>
        <w:rPr>
          <w:color w:val="000000"/>
          <w:sz w:val="22"/>
          <w:szCs w:val="22"/>
        </w:rPr>
      </w:pPr>
    </w:p>
    <w:p w14:paraId="54FDF1D3" w14:textId="1F7C7BBD" w:rsidR="00081DD7" w:rsidRPr="00913153" w:rsidRDefault="00913153" w:rsidP="00E1249E">
      <w:pPr>
        <w:jc w:val="both"/>
        <w:rPr>
          <w:color w:val="000000"/>
          <w:sz w:val="22"/>
          <w:szCs w:val="22"/>
        </w:rPr>
      </w:pPr>
      <w:r w:rsidRPr="00913153">
        <w:rPr>
          <w:color w:val="000000" w:themeColor="text1"/>
          <w:sz w:val="22"/>
          <w:szCs w:val="22"/>
        </w:rPr>
        <w:t xml:space="preserve">We helped protect </w:t>
      </w:r>
      <w:r w:rsidR="00D3514A">
        <w:rPr>
          <w:color w:val="000000" w:themeColor="text1"/>
          <w:sz w:val="22"/>
          <w:szCs w:val="22"/>
        </w:rPr>
        <w:t>our</w:t>
      </w:r>
      <w:r w:rsidRPr="00913153">
        <w:rPr>
          <w:color w:val="000000" w:themeColor="text1"/>
          <w:sz w:val="22"/>
          <w:szCs w:val="22"/>
        </w:rPr>
        <w:t xml:space="preserve"> customers from the risk of fire by carrying out 88 person-centred fire risk assessments – formerly known as home fire safety visits – in our homes last year. In 2023</w:t>
      </w:r>
      <w:r w:rsidR="00EB478D">
        <w:rPr>
          <w:color w:val="000000" w:themeColor="text1"/>
          <w:sz w:val="22"/>
          <w:szCs w:val="22"/>
        </w:rPr>
        <w:t>/</w:t>
      </w:r>
      <w:r w:rsidRPr="00913153">
        <w:rPr>
          <w:color w:val="000000" w:themeColor="text1"/>
          <w:sz w:val="22"/>
          <w:szCs w:val="22"/>
        </w:rPr>
        <w:t xml:space="preserve">24, we upgraded 27 smoke and heat detectors in homes; installed 30 stove guard devices; delivered fire-safety products such as air fryers, fire-retardant bedding and metal bins to 51 customers; installed specialised fire detection systems in seven homes; and carried out fire-safety-related repairs in 23 homes. </w:t>
      </w:r>
      <w:r w:rsidRPr="00913153">
        <w:rPr>
          <w:color w:val="000000"/>
          <w:sz w:val="22"/>
          <w:szCs w:val="22"/>
        </w:rPr>
        <w:t xml:space="preserve">The number of accidental fires in our homes fell by 36% over the year. </w:t>
      </w:r>
    </w:p>
    <w:p w14:paraId="32DDF7A8" w14:textId="77777777" w:rsidR="00913153" w:rsidRPr="00913153" w:rsidRDefault="00913153" w:rsidP="00E1249E">
      <w:pPr>
        <w:jc w:val="both"/>
        <w:rPr>
          <w:rFonts w:ascii="Arial" w:hAnsi="Arial" w:cs="Arial"/>
          <w:color w:val="000000"/>
        </w:rPr>
      </w:pPr>
    </w:p>
    <w:p w14:paraId="523DCEA1" w14:textId="77777777" w:rsidR="0089489F" w:rsidRDefault="0089489F" w:rsidP="00E1249E">
      <w:pPr>
        <w:pStyle w:val="paragraph"/>
        <w:spacing w:before="0" w:beforeAutospacing="0" w:after="0" w:afterAutospacing="0"/>
        <w:jc w:val="both"/>
        <w:textAlignment w:val="baseline"/>
        <w:rPr>
          <w:rStyle w:val="eop"/>
          <w:sz w:val="22"/>
          <w:szCs w:val="22"/>
        </w:rPr>
      </w:pPr>
      <w:r w:rsidRPr="00063B94">
        <w:rPr>
          <w:rStyle w:val="normaltextrun"/>
          <w:b/>
          <w:bCs/>
          <w:sz w:val="22"/>
          <w:szCs w:val="22"/>
        </w:rPr>
        <w:t>Letting homes</w:t>
      </w:r>
      <w:r w:rsidRPr="00063B94">
        <w:rPr>
          <w:rStyle w:val="eop"/>
          <w:sz w:val="22"/>
          <w:szCs w:val="22"/>
        </w:rPr>
        <w:t> </w:t>
      </w:r>
    </w:p>
    <w:p w14:paraId="1E205C58" w14:textId="01DE7BF0" w:rsidR="00B674E6" w:rsidRPr="00B674E6" w:rsidRDefault="00B674E6" w:rsidP="00E1249E">
      <w:pPr>
        <w:jc w:val="both"/>
        <w:rPr>
          <w:sz w:val="22"/>
          <w:szCs w:val="22"/>
        </w:rPr>
      </w:pPr>
      <w:r w:rsidRPr="00B674E6">
        <w:rPr>
          <w:sz w:val="22"/>
          <w:szCs w:val="22"/>
        </w:rPr>
        <w:t xml:space="preserve">Wheatley Homes South allocated 404 homes to </w:t>
      </w:r>
      <w:r w:rsidR="00D459CC">
        <w:rPr>
          <w:sz w:val="22"/>
          <w:szCs w:val="22"/>
        </w:rPr>
        <w:t>people who were homeless</w:t>
      </w:r>
      <w:r w:rsidRPr="00B674E6">
        <w:rPr>
          <w:sz w:val="22"/>
          <w:szCs w:val="22"/>
        </w:rPr>
        <w:t xml:space="preserve"> in 2023</w:t>
      </w:r>
      <w:r>
        <w:rPr>
          <w:sz w:val="22"/>
          <w:szCs w:val="22"/>
        </w:rPr>
        <w:t>/</w:t>
      </w:r>
      <w:r w:rsidRPr="00B674E6">
        <w:rPr>
          <w:sz w:val="22"/>
          <w:szCs w:val="22"/>
        </w:rPr>
        <w:t xml:space="preserve">24, including six through Housing First, a multi-agency partnership to tackle rough sleeping in which </w:t>
      </w:r>
      <w:r w:rsidR="00555CB5">
        <w:rPr>
          <w:sz w:val="22"/>
          <w:szCs w:val="22"/>
        </w:rPr>
        <w:t xml:space="preserve">the wider </w:t>
      </w:r>
      <w:r w:rsidRPr="00B674E6">
        <w:rPr>
          <w:sz w:val="22"/>
          <w:szCs w:val="22"/>
        </w:rPr>
        <w:t xml:space="preserve">Wheatley </w:t>
      </w:r>
      <w:r w:rsidR="00555CB5">
        <w:rPr>
          <w:sz w:val="22"/>
          <w:szCs w:val="22"/>
        </w:rPr>
        <w:t>Housing</w:t>
      </w:r>
      <w:r w:rsidRPr="00B674E6">
        <w:rPr>
          <w:sz w:val="22"/>
          <w:szCs w:val="22"/>
        </w:rPr>
        <w:t xml:space="preserve"> Group plays a leading role, and 14 homes ‘flipped’ to permanent homes for the homeless people living in them, including 11 ‘flips’ for Ukrainian refugees. </w:t>
      </w:r>
    </w:p>
    <w:p w14:paraId="375B9198" w14:textId="77777777" w:rsidR="008E6950" w:rsidRDefault="008E6950" w:rsidP="00946AE6">
      <w:pPr>
        <w:jc w:val="both"/>
        <w:rPr>
          <w:rStyle w:val="normaltextrun"/>
          <w:b/>
          <w:bCs/>
          <w:color w:val="FF0000"/>
          <w:sz w:val="22"/>
          <w:szCs w:val="22"/>
        </w:rPr>
      </w:pPr>
    </w:p>
    <w:p w14:paraId="4EED5015" w14:textId="77777777" w:rsidR="008E6950" w:rsidRPr="008E6950" w:rsidRDefault="008E6950" w:rsidP="00E1249E">
      <w:pPr>
        <w:pStyle w:val="paragraph"/>
        <w:spacing w:before="0" w:beforeAutospacing="0" w:after="0" w:afterAutospacing="0"/>
        <w:jc w:val="both"/>
        <w:textAlignment w:val="baseline"/>
        <w:rPr>
          <w:rStyle w:val="normaltextrun"/>
          <w:b/>
          <w:bCs/>
          <w:sz w:val="22"/>
          <w:szCs w:val="22"/>
        </w:rPr>
      </w:pPr>
      <w:r w:rsidRPr="008E6950">
        <w:rPr>
          <w:rStyle w:val="normaltextrun"/>
          <w:b/>
          <w:bCs/>
          <w:sz w:val="22"/>
          <w:szCs w:val="22"/>
        </w:rPr>
        <w:t xml:space="preserve">Engaging with customers </w:t>
      </w:r>
    </w:p>
    <w:p w14:paraId="2691D5B6" w14:textId="663BF369" w:rsidR="003531D8" w:rsidRPr="00F90D94" w:rsidRDefault="000619DD" w:rsidP="003531D8">
      <w:pPr>
        <w:jc w:val="both"/>
        <w:rPr>
          <w:sz w:val="22"/>
          <w:szCs w:val="22"/>
        </w:rPr>
      </w:pPr>
      <w:r w:rsidRPr="008E6950">
        <w:rPr>
          <w:sz w:val="22"/>
          <w:szCs w:val="22"/>
        </w:rPr>
        <w:t>Around 300 W</w:t>
      </w:r>
      <w:r w:rsidR="009444C3">
        <w:rPr>
          <w:sz w:val="22"/>
          <w:szCs w:val="22"/>
        </w:rPr>
        <w:t>heatley Homes</w:t>
      </w:r>
      <w:r w:rsidRPr="008E6950">
        <w:rPr>
          <w:sz w:val="22"/>
          <w:szCs w:val="22"/>
        </w:rPr>
        <w:t xml:space="preserve"> South</w:t>
      </w:r>
      <w:r w:rsidR="008E6950" w:rsidRPr="008E6950">
        <w:rPr>
          <w:sz w:val="22"/>
          <w:szCs w:val="22"/>
        </w:rPr>
        <w:t xml:space="preserve"> customers </w:t>
      </w:r>
      <w:r w:rsidRPr="008E6950">
        <w:rPr>
          <w:sz w:val="22"/>
          <w:szCs w:val="22"/>
        </w:rPr>
        <w:t xml:space="preserve">were involved in our Customer Voices programme this year, taking part in surveys, neighbourhood walkabouts, community events and other activities.  A total of 150 of those customers took part in panels and focus groups to help shape key services including around </w:t>
      </w:r>
      <w:r w:rsidR="00656D65">
        <w:rPr>
          <w:sz w:val="22"/>
          <w:szCs w:val="22"/>
        </w:rPr>
        <w:t xml:space="preserve">rent setting, </w:t>
      </w:r>
      <w:r w:rsidRPr="008E6950">
        <w:rPr>
          <w:sz w:val="22"/>
          <w:szCs w:val="22"/>
        </w:rPr>
        <w:t>housing performance, managing homes, anti-social behaviour and community safety.</w:t>
      </w:r>
      <w:r w:rsidR="00604201">
        <w:rPr>
          <w:sz w:val="22"/>
          <w:szCs w:val="22"/>
        </w:rPr>
        <w:t xml:space="preserve"> </w:t>
      </w:r>
      <w:r w:rsidR="003531D8" w:rsidRPr="5FD90813">
        <w:rPr>
          <w:sz w:val="22"/>
          <w:szCs w:val="22"/>
        </w:rPr>
        <w:t xml:space="preserve">Our Group Scrutiny Panel is made up from members of our Customer Voices programmes and provides more focussed feedback on key service areas such as repairs and tenancy sustainment. </w:t>
      </w:r>
    </w:p>
    <w:p w14:paraId="7E3F4472" w14:textId="77777777" w:rsidR="00390E17" w:rsidRDefault="00390E17" w:rsidP="00390E17">
      <w:pPr>
        <w:jc w:val="both"/>
        <w:rPr>
          <w:b/>
        </w:rPr>
      </w:pPr>
      <w:r w:rsidRPr="00A05B7E">
        <w:rPr>
          <w:b/>
        </w:rPr>
        <w:lastRenderedPageBreak/>
        <w:t xml:space="preserve">STRATEGIC REPORT </w:t>
      </w:r>
      <w:r>
        <w:rPr>
          <w:b/>
        </w:rPr>
        <w:t>(Continued)</w:t>
      </w:r>
    </w:p>
    <w:p w14:paraId="5C31C68B" w14:textId="77777777" w:rsidR="00390E17" w:rsidRDefault="00390E17" w:rsidP="00390E17">
      <w:pPr>
        <w:jc w:val="both"/>
        <w:rPr>
          <w:b/>
        </w:rPr>
      </w:pPr>
    </w:p>
    <w:p w14:paraId="7C9AA985" w14:textId="77777777" w:rsidR="00390E17" w:rsidRDefault="00390E17" w:rsidP="00390E17">
      <w:pPr>
        <w:pStyle w:val="ACText"/>
        <w:spacing w:before="0"/>
        <w:outlineLvl w:val="0"/>
        <w:rPr>
          <w:b/>
          <w:sz w:val="22"/>
          <w:szCs w:val="22"/>
        </w:rPr>
      </w:pPr>
      <w:r>
        <w:rPr>
          <w:b/>
          <w:sz w:val="22"/>
          <w:szCs w:val="22"/>
        </w:rPr>
        <w:t>OPERATING REVIEW (Continued)</w:t>
      </w:r>
    </w:p>
    <w:p w14:paraId="4D36D397" w14:textId="77777777" w:rsidR="00976586" w:rsidRDefault="00976586" w:rsidP="00E1249E">
      <w:pPr>
        <w:jc w:val="both"/>
        <w:rPr>
          <w:sz w:val="22"/>
          <w:szCs w:val="22"/>
        </w:rPr>
      </w:pPr>
    </w:p>
    <w:p w14:paraId="2A6614B3" w14:textId="0B8D77BA" w:rsidR="008E6950" w:rsidRPr="008E6950" w:rsidRDefault="008E6950" w:rsidP="00E1249E">
      <w:pPr>
        <w:jc w:val="both"/>
        <w:rPr>
          <w:sz w:val="22"/>
          <w:szCs w:val="22"/>
        </w:rPr>
      </w:pPr>
      <w:r w:rsidRPr="008E6950">
        <w:rPr>
          <w:sz w:val="22"/>
          <w:szCs w:val="22"/>
        </w:rPr>
        <w:t xml:space="preserve">We </w:t>
      </w:r>
      <w:r w:rsidR="00976586">
        <w:rPr>
          <w:sz w:val="22"/>
          <w:szCs w:val="22"/>
        </w:rPr>
        <w:t xml:space="preserve">continued to expand the number </w:t>
      </w:r>
      <w:r w:rsidRPr="008E6950">
        <w:rPr>
          <w:sz w:val="22"/>
          <w:szCs w:val="22"/>
        </w:rPr>
        <w:t xml:space="preserve">customers </w:t>
      </w:r>
      <w:r w:rsidR="001F0F2A">
        <w:rPr>
          <w:sz w:val="22"/>
          <w:szCs w:val="22"/>
        </w:rPr>
        <w:t xml:space="preserve">engaging with us </w:t>
      </w:r>
      <w:r w:rsidRPr="008E6950">
        <w:rPr>
          <w:sz w:val="22"/>
          <w:szCs w:val="22"/>
        </w:rPr>
        <w:t xml:space="preserve">online this year and encouraged them to </w:t>
      </w:r>
      <w:r w:rsidR="00313494">
        <w:rPr>
          <w:sz w:val="22"/>
          <w:szCs w:val="22"/>
        </w:rPr>
        <w:t>contact</w:t>
      </w:r>
      <w:r w:rsidRPr="008E6950">
        <w:rPr>
          <w:sz w:val="22"/>
          <w:szCs w:val="22"/>
        </w:rPr>
        <w:t xml:space="preserve"> us through our digital channels and online self-service accounts. </w:t>
      </w:r>
      <w:r w:rsidR="008C088C" w:rsidRPr="008C088C">
        <w:rPr>
          <w:sz w:val="22"/>
          <w:szCs w:val="22"/>
        </w:rPr>
        <w:t>Almost 35,900 people used the Wheatley Homes South website over the year, up more than 13,000 from the previous year. The number of followers on our social media channels in 2023/24 was 7,772, up 577 from the year before. We received 172 enquiries from customers on social media.</w:t>
      </w:r>
    </w:p>
    <w:p w14:paraId="2934EF5F" w14:textId="77777777" w:rsidR="008E6950" w:rsidRPr="008E6950" w:rsidRDefault="008E6950" w:rsidP="00E1249E">
      <w:pPr>
        <w:jc w:val="both"/>
        <w:rPr>
          <w:sz w:val="22"/>
          <w:szCs w:val="22"/>
        </w:rPr>
      </w:pPr>
    </w:p>
    <w:p w14:paraId="6ECFD468" w14:textId="335E9241" w:rsidR="008E6950" w:rsidRPr="008E6950" w:rsidRDefault="008E6950" w:rsidP="00E1249E">
      <w:pPr>
        <w:jc w:val="both"/>
        <w:rPr>
          <w:sz w:val="22"/>
          <w:szCs w:val="22"/>
        </w:rPr>
      </w:pPr>
      <w:r w:rsidRPr="008E6950">
        <w:rPr>
          <w:sz w:val="22"/>
          <w:szCs w:val="22"/>
        </w:rPr>
        <w:t>Our online discounts scheme, MySavings, helped customers save money on their shopping. In 2023</w:t>
      </w:r>
      <w:r>
        <w:rPr>
          <w:sz w:val="22"/>
          <w:szCs w:val="22"/>
        </w:rPr>
        <w:t>/</w:t>
      </w:r>
      <w:r w:rsidRPr="008E6950">
        <w:rPr>
          <w:sz w:val="22"/>
          <w:szCs w:val="22"/>
        </w:rPr>
        <w:t>24, 7</w:t>
      </w:r>
      <w:r w:rsidR="007C4B2D">
        <w:rPr>
          <w:sz w:val="22"/>
          <w:szCs w:val="22"/>
        </w:rPr>
        <w:t>,</w:t>
      </w:r>
      <w:r w:rsidRPr="008E6950">
        <w:rPr>
          <w:sz w:val="22"/>
          <w:szCs w:val="22"/>
        </w:rPr>
        <w:t xml:space="preserve">223 customers across Wheatley were registered for MySavings, an increase of 812 from last year. </w:t>
      </w:r>
    </w:p>
    <w:p w14:paraId="626D74B9" w14:textId="6DE5B24E" w:rsidR="006828BB" w:rsidRPr="00390E17" w:rsidRDefault="006828BB" w:rsidP="00390E17">
      <w:pPr>
        <w:jc w:val="both"/>
        <w:rPr>
          <w:rStyle w:val="normaltextrun"/>
          <w:b/>
          <w:color w:val="FF0000"/>
          <w:sz w:val="22"/>
          <w:szCs w:val="22"/>
          <w:lang w:eastAsia="en-GB"/>
        </w:rPr>
      </w:pPr>
    </w:p>
    <w:p w14:paraId="0DB4F432" w14:textId="77777777" w:rsidR="00D54C94" w:rsidRPr="00D54C94" w:rsidRDefault="00D54C94" w:rsidP="00946AE6">
      <w:pPr>
        <w:jc w:val="both"/>
        <w:rPr>
          <w:b/>
          <w:sz w:val="22"/>
          <w:szCs w:val="22"/>
          <w:lang w:eastAsia="en-GB"/>
        </w:rPr>
      </w:pPr>
      <w:r w:rsidRPr="00D54C94">
        <w:rPr>
          <w:b/>
          <w:sz w:val="22"/>
          <w:szCs w:val="22"/>
          <w:lang w:eastAsia="en-GB"/>
        </w:rPr>
        <w:t>Supporting our customers</w:t>
      </w:r>
    </w:p>
    <w:p w14:paraId="27D0CC26" w14:textId="77D36362" w:rsidR="00A55664" w:rsidRDefault="00847EF1" w:rsidP="00A55664">
      <w:pPr>
        <w:jc w:val="both"/>
        <w:rPr>
          <w:sz w:val="22"/>
          <w:szCs w:val="22"/>
        </w:rPr>
      </w:pPr>
      <w:r w:rsidRPr="00847EF1">
        <w:rPr>
          <w:sz w:val="22"/>
          <w:szCs w:val="22"/>
        </w:rPr>
        <w:t>Almost 40% of Wheatley Homes South customers are now on Universal Credit, an increase of more than 4% from last year</w:t>
      </w:r>
      <w:r w:rsidR="00A55664">
        <w:rPr>
          <w:sz w:val="22"/>
          <w:szCs w:val="22"/>
        </w:rPr>
        <w:t xml:space="preserve"> which </w:t>
      </w:r>
      <w:r w:rsidR="009611F4">
        <w:rPr>
          <w:sz w:val="22"/>
          <w:szCs w:val="22"/>
        </w:rPr>
        <w:t>p</w:t>
      </w:r>
      <w:r w:rsidR="00A55664">
        <w:rPr>
          <w:sz w:val="22"/>
          <w:szCs w:val="22"/>
        </w:rPr>
        <w:t>uts pressure on household budgets during the migration period</w:t>
      </w:r>
      <w:r w:rsidR="00A55664" w:rsidRPr="00F90D94">
        <w:rPr>
          <w:sz w:val="22"/>
          <w:szCs w:val="22"/>
        </w:rPr>
        <w:t>.</w:t>
      </w:r>
      <w:r w:rsidR="00A55664">
        <w:rPr>
          <w:sz w:val="22"/>
          <w:szCs w:val="22"/>
        </w:rPr>
        <w:t xml:space="preserve"> Our skilled team of welfare benefits advisors can assist customers to access the benefits they are entitled to.</w:t>
      </w:r>
      <w:r w:rsidR="00A55664" w:rsidRPr="00F90D94">
        <w:rPr>
          <w:sz w:val="22"/>
          <w:szCs w:val="22"/>
        </w:rPr>
        <w:t xml:space="preserve"> </w:t>
      </w:r>
    </w:p>
    <w:p w14:paraId="4DF1A270" w14:textId="77777777" w:rsidR="00847EF1" w:rsidRPr="00847EF1" w:rsidRDefault="00847EF1" w:rsidP="00E1249E">
      <w:pPr>
        <w:jc w:val="both"/>
        <w:rPr>
          <w:sz w:val="22"/>
          <w:szCs w:val="22"/>
        </w:rPr>
      </w:pPr>
    </w:p>
    <w:p w14:paraId="49F18CC9" w14:textId="5E5CBC99" w:rsidR="00847EF1" w:rsidRPr="00847EF1" w:rsidRDefault="009611F4" w:rsidP="00E1249E">
      <w:pPr>
        <w:jc w:val="both"/>
        <w:rPr>
          <w:sz w:val="22"/>
          <w:szCs w:val="22"/>
        </w:rPr>
      </w:pPr>
      <w:r>
        <w:rPr>
          <w:sz w:val="22"/>
          <w:szCs w:val="22"/>
        </w:rPr>
        <w:t>This year o</w:t>
      </w:r>
      <w:r w:rsidR="00847EF1" w:rsidRPr="00847EF1">
        <w:rPr>
          <w:sz w:val="22"/>
          <w:szCs w:val="22"/>
        </w:rPr>
        <w:t>ur welfare benefits advisors supported 1</w:t>
      </w:r>
      <w:r w:rsidR="00D20AA8">
        <w:rPr>
          <w:sz w:val="22"/>
          <w:szCs w:val="22"/>
        </w:rPr>
        <w:t>,</w:t>
      </w:r>
      <w:r w:rsidR="00847EF1" w:rsidRPr="00847EF1">
        <w:rPr>
          <w:sz w:val="22"/>
          <w:szCs w:val="22"/>
        </w:rPr>
        <w:t>041 Wheatley Homes South customers, which resulted in £2.2m of financial gain. Our fuel advisors helped 373 Wheatley Homes South customers over the year.</w:t>
      </w:r>
    </w:p>
    <w:p w14:paraId="52B2DCA6" w14:textId="77777777" w:rsidR="00847EF1" w:rsidRPr="00847EF1" w:rsidRDefault="00847EF1" w:rsidP="00E1249E">
      <w:pPr>
        <w:jc w:val="both"/>
        <w:rPr>
          <w:sz w:val="22"/>
          <w:szCs w:val="22"/>
        </w:rPr>
      </w:pPr>
    </w:p>
    <w:p w14:paraId="424BD8FC" w14:textId="6ED52312" w:rsidR="00847EF1" w:rsidRPr="00847EF1" w:rsidRDefault="00847EF1" w:rsidP="00E1249E">
      <w:pPr>
        <w:jc w:val="both"/>
        <w:rPr>
          <w:sz w:val="22"/>
          <w:szCs w:val="22"/>
        </w:rPr>
      </w:pPr>
      <w:r w:rsidRPr="00847EF1">
        <w:rPr>
          <w:sz w:val="22"/>
          <w:szCs w:val="22"/>
        </w:rPr>
        <w:t>Wheatley Foundation worked hard over the year to alleviate the effects of poverty on Wheatley Homes South customers and communities. We supported 1</w:t>
      </w:r>
      <w:r w:rsidR="00D20AA8">
        <w:rPr>
          <w:sz w:val="22"/>
          <w:szCs w:val="22"/>
        </w:rPr>
        <w:t>,</w:t>
      </w:r>
      <w:r w:rsidRPr="00847EF1">
        <w:rPr>
          <w:sz w:val="22"/>
          <w:szCs w:val="22"/>
        </w:rPr>
        <w:t>514 households a total of 3</w:t>
      </w:r>
      <w:r w:rsidR="00D20AA8">
        <w:rPr>
          <w:sz w:val="22"/>
          <w:szCs w:val="22"/>
        </w:rPr>
        <w:t>,</w:t>
      </w:r>
      <w:r w:rsidRPr="00847EF1">
        <w:rPr>
          <w:sz w:val="22"/>
          <w:szCs w:val="22"/>
        </w:rPr>
        <w:t>784 times, including supporting 537 customers with food, 753 with their fuel bills, and 661 with their rent</w:t>
      </w:r>
      <w:r w:rsidR="002258A3">
        <w:rPr>
          <w:sz w:val="22"/>
          <w:szCs w:val="22"/>
        </w:rPr>
        <w:t xml:space="preserve"> through our Here For You Fund</w:t>
      </w:r>
      <w:r w:rsidRPr="00847EF1">
        <w:rPr>
          <w:sz w:val="22"/>
          <w:szCs w:val="22"/>
        </w:rPr>
        <w:t xml:space="preserve">. </w:t>
      </w:r>
    </w:p>
    <w:p w14:paraId="72D018AE" w14:textId="77777777" w:rsidR="00847EF1" w:rsidRPr="00847EF1" w:rsidRDefault="00847EF1" w:rsidP="00E1249E">
      <w:pPr>
        <w:jc w:val="both"/>
        <w:rPr>
          <w:sz w:val="22"/>
          <w:szCs w:val="22"/>
        </w:rPr>
      </w:pPr>
    </w:p>
    <w:p w14:paraId="344FC2F3" w14:textId="77777777" w:rsidR="00847EF1" w:rsidRPr="00847EF1" w:rsidRDefault="00847EF1" w:rsidP="00E1249E">
      <w:pPr>
        <w:jc w:val="both"/>
        <w:rPr>
          <w:sz w:val="22"/>
          <w:szCs w:val="22"/>
        </w:rPr>
      </w:pPr>
      <w:r w:rsidRPr="00847EF1">
        <w:rPr>
          <w:sz w:val="22"/>
          <w:szCs w:val="22"/>
        </w:rPr>
        <w:t>As well as this, we:</w:t>
      </w:r>
    </w:p>
    <w:p w14:paraId="72F6A1F1" w14:textId="77777777" w:rsidR="00847EF1" w:rsidRPr="00847EF1" w:rsidRDefault="00847EF1" w:rsidP="00E1249E">
      <w:pPr>
        <w:pStyle w:val="ListParagraph"/>
        <w:numPr>
          <w:ilvl w:val="0"/>
          <w:numId w:val="41"/>
        </w:numPr>
        <w:spacing w:after="160" w:line="259" w:lineRule="auto"/>
        <w:jc w:val="both"/>
        <w:rPr>
          <w:sz w:val="22"/>
          <w:szCs w:val="22"/>
        </w:rPr>
      </w:pPr>
      <w:r w:rsidRPr="00847EF1">
        <w:rPr>
          <w:sz w:val="22"/>
          <w:szCs w:val="22"/>
        </w:rPr>
        <w:t>gave 163 households upcycled furniture through our Home Comforts service;</w:t>
      </w:r>
    </w:p>
    <w:p w14:paraId="7AAF8732" w14:textId="0E34CFE4" w:rsidR="00847EF1" w:rsidRPr="00847EF1" w:rsidRDefault="00847EF1" w:rsidP="00E1249E">
      <w:pPr>
        <w:pStyle w:val="ListParagraph"/>
        <w:numPr>
          <w:ilvl w:val="0"/>
          <w:numId w:val="34"/>
        </w:numPr>
        <w:spacing w:line="240" w:lineRule="auto"/>
        <w:jc w:val="both"/>
        <w:rPr>
          <w:sz w:val="22"/>
          <w:szCs w:val="22"/>
        </w:rPr>
      </w:pPr>
      <w:r w:rsidRPr="00847EF1">
        <w:rPr>
          <w:sz w:val="22"/>
          <w:szCs w:val="22"/>
        </w:rPr>
        <w:t xml:space="preserve">helped 54 new tenants with household budgeting, running a home and settling into their community through ‘My Great Start’; </w:t>
      </w:r>
    </w:p>
    <w:p w14:paraId="3AE271B1" w14:textId="20F9AAA4" w:rsidR="00847EF1" w:rsidRPr="00847EF1" w:rsidRDefault="00847EF1" w:rsidP="00E1249E">
      <w:pPr>
        <w:pStyle w:val="ListParagraph"/>
        <w:numPr>
          <w:ilvl w:val="0"/>
          <w:numId w:val="34"/>
        </w:numPr>
        <w:spacing w:line="240" w:lineRule="auto"/>
        <w:jc w:val="both"/>
        <w:rPr>
          <w:sz w:val="22"/>
          <w:szCs w:val="22"/>
        </w:rPr>
      </w:pPr>
      <w:r w:rsidRPr="00847EF1">
        <w:rPr>
          <w:sz w:val="22"/>
          <w:szCs w:val="22"/>
        </w:rPr>
        <w:t>provided starter packs for 202 tenants who needed support moving into their home</w:t>
      </w:r>
      <w:r w:rsidR="009B07F2">
        <w:rPr>
          <w:sz w:val="22"/>
          <w:szCs w:val="22"/>
        </w:rPr>
        <w:t>;</w:t>
      </w:r>
    </w:p>
    <w:p w14:paraId="269F1151" w14:textId="77777777" w:rsidR="009B07F2" w:rsidRDefault="00847EF1">
      <w:pPr>
        <w:pStyle w:val="ListParagraph"/>
        <w:numPr>
          <w:ilvl w:val="0"/>
          <w:numId w:val="34"/>
        </w:numPr>
        <w:tabs>
          <w:tab w:val="left" w:pos="3686"/>
        </w:tabs>
        <w:jc w:val="both"/>
        <w:rPr>
          <w:sz w:val="22"/>
          <w:szCs w:val="22"/>
        </w:rPr>
      </w:pPr>
      <w:r w:rsidRPr="009B07F2">
        <w:rPr>
          <w:sz w:val="22"/>
          <w:szCs w:val="22"/>
        </w:rPr>
        <w:t xml:space="preserve">provided free books every month to 266 children under five in our homes through the Dolly Parton Imagination Library </w:t>
      </w:r>
      <w:r w:rsidR="00C8677A" w:rsidRPr="009B07F2">
        <w:rPr>
          <w:sz w:val="22"/>
          <w:szCs w:val="22"/>
        </w:rPr>
        <w:t>I</w:t>
      </w:r>
      <w:r w:rsidRPr="009B07F2">
        <w:rPr>
          <w:sz w:val="22"/>
          <w:szCs w:val="22"/>
        </w:rPr>
        <w:t>nitiative</w:t>
      </w:r>
      <w:r w:rsidR="009B07F2" w:rsidRPr="009B07F2">
        <w:rPr>
          <w:sz w:val="22"/>
          <w:szCs w:val="22"/>
        </w:rPr>
        <w:t>;</w:t>
      </w:r>
    </w:p>
    <w:p w14:paraId="580DBE0A" w14:textId="3B0D0DC6" w:rsidR="00847EF1" w:rsidRPr="00847EF1" w:rsidRDefault="00847EF1">
      <w:pPr>
        <w:pStyle w:val="ListParagraph"/>
        <w:numPr>
          <w:ilvl w:val="0"/>
          <w:numId w:val="34"/>
        </w:numPr>
        <w:tabs>
          <w:tab w:val="left" w:pos="3686"/>
        </w:tabs>
        <w:jc w:val="both"/>
        <w:rPr>
          <w:sz w:val="22"/>
          <w:szCs w:val="22"/>
        </w:rPr>
      </w:pPr>
      <w:r w:rsidRPr="00847EF1">
        <w:rPr>
          <w:sz w:val="22"/>
          <w:szCs w:val="22"/>
        </w:rPr>
        <w:t>secured 117 jobs, training and apprenticeship opportunities for Wheatley Homes South customers and communities this year</w:t>
      </w:r>
      <w:r w:rsidR="00F90BFD">
        <w:rPr>
          <w:sz w:val="22"/>
          <w:szCs w:val="22"/>
        </w:rPr>
        <w:t>;</w:t>
      </w:r>
      <w:r w:rsidR="00622627">
        <w:rPr>
          <w:sz w:val="22"/>
          <w:szCs w:val="22"/>
        </w:rPr>
        <w:t xml:space="preserve"> and</w:t>
      </w:r>
    </w:p>
    <w:p w14:paraId="48E69C88" w14:textId="7BD6F860" w:rsidR="00F90BFD" w:rsidRPr="00F90BFD" w:rsidRDefault="00F90BFD" w:rsidP="00F90BFD">
      <w:pPr>
        <w:pStyle w:val="ListParagraph"/>
        <w:numPr>
          <w:ilvl w:val="0"/>
          <w:numId w:val="34"/>
        </w:numPr>
        <w:jc w:val="both"/>
        <w:rPr>
          <w:sz w:val="22"/>
          <w:szCs w:val="22"/>
        </w:rPr>
      </w:pPr>
      <w:r w:rsidRPr="00F90BFD">
        <w:rPr>
          <w:sz w:val="22"/>
          <w:szCs w:val="22"/>
        </w:rPr>
        <w:t>awarded eight people from our homes a bursary to go to university or college this year</w:t>
      </w:r>
      <w:r w:rsidR="00622627">
        <w:rPr>
          <w:sz w:val="22"/>
          <w:szCs w:val="22"/>
        </w:rPr>
        <w:t>.</w:t>
      </w:r>
    </w:p>
    <w:p w14:paraId="224069F7" w14:textId="77777777" w:rsidR="00847EF1" w:rsidRPr="00847EF1" w:rsidRDefault="00847EF1" w:rsidP="00E1249E">
      <w:pPr>
        <w:jc w:val="both"/>
        <w:rPr>
          <w:sz w:val="22"/>
          <w:szCs w:val="22"/>
        </w:rPr>
      </w:pPr>
    </w:p>
    <w:p w14:paraId="140804EC" w14:textId="77777777" w:rsidR="0089489F" w:rsidRDefault="0089489F" w:rsidP="00946AE6">
      <w:pPr>
        <w:jc w:val="both"/>
        <w:rPr>
          <w:sz w:val="22"/>
          <w:szCs w:val="22"/>
        </w:rPr>
      </w:pPr>
    </w:p>
    <w:p w14:paraId="6BDCE919" w14:textId="77777777" w:rsidR="0089489F" w:rsidRPr="00392034" w:rsidRDefault="0089489F" w:rsidP="0089489F">
      <w:pPr>
        <w:jc w:val="both"/>
        <w:rPr>
          <w:b/>
          <w:sz w:val="22"/>
          <w:szCs w:val="22"/>
        </w:rPr>
      </w:pPr>
      <w:r w:rsidRPr="00392034">
        <w:rPr>
          <w:b/>
          <w:sz w:val="22"/>
          <w:szCs w:val="22"/>
        </w:rPr>
        <w:t>Independent Auditor</w:t>
      </w:r>
    </w:p>
    <w:p w14:paraId="14E753F4" w14:textId="77777777" w:rsidR="0089489F" w:rsidRPr="000E36F5" w:rsidRDefault="0089489F" w:rsidP="0089489F">
      <w:pPr>
        <w:jc w:val="both"/>
        <w:rPr>
          <w:sz w:val="22"/>
          <w:szCs w:val="22"/>
          <w:lang w:val="en-US"/>
        </w:rPr>
      </w:pPr>
      <w:r w:rsidRPr="000E36F5">
        <w:rPr>
          <w:sz w:val="22"/>
          <w:szCs w:val="22"/>
        </w:rPr>
        <w:t>In accordance with Section 489 of the Companies Act 2006, a resolution for the reappointment of KPMG LLP as auditor is to be proposed at the forthcoming Annual General Meeting.</w:t>
      </w:r>
    </w:p>
    <w:p w14:paraId="1AF63C0B" w14:textId="2E6A0690" w:rsidR="00A17957" w:rsidRPr="000E36F5" w:rsidRDefault="00A17957" w:rsidP="00946AE6">
      <w:pPr>
        <w:jc w:val="both"/>
        <w:rPr>
          <w:sz w:val="22"/>
          <w:szCs w:val="22"/>
        </w:rPr>
      </w:pPr>
    </w:p>
    <w:p w14:paraId="40F1FFBE" w14:textId="77777777" w:rsidR="000E36F5" w:rsidRDefault="000E36F5" w:rsidP="00E1249E">
      <w:pPr>
        <w:jc w:val="both"/>
        <w:rPr>
          <w:b/>
        </w:rPr>
      </w:pPr>
      <w:r>
        <w:rPr>
          <w:b/>
        </w:rPr>
        <w:br w:type="page"/>
      </w:r>
    </w:p>
    <w:p w14:paraId="1989D28E" w14:textId="22515CBC" w:rsidR="00A17957" w:rsidRDefault="00A17957" w:rsidP="00A17957">
      <w:pPr>
        <w:jc w:val="both"/>
        <w:rPr>
          <w:b/>
        </w:rPr>
      </w:pPr>
      <w:r w:rsidRPr="00A05B7E">
        <w:rPr>
          <w:b/>
        </w:rPr>
        <w:lastRenderedPageBreak/>
        <w:t xml:space="preserve">STRATEGIC REPORT </w:t>
      </w:r>
      <w:r>
        <w:rPr>
          <w:b/>
        </w:rPr>
        <w:t>(Continued)</w:t>
      </w:r>
    </w:p>
    <w:p w14:paraId="575F594B" w14:textId="77777777" w:rsidR="00A17957" w:rsidRDefault="00A17957" w:rsidP="00A17957">
      <w:pPr>
        <w:jc w:val="both"/>
        <w:rPr>
          <w:b/>
        </w:rPr>
      </w:pPr>
    </w:p>
    <w:bookmarkEnd w:id="2"/>
    <w:p w14:paraId="13DAFFC8" w14:textId="77777777" w:rsidR="00D628DA" w:rsidRPr="004E3D9D" w:rsidRDefault="00D628DA" w:rsidP="00885093">
      <w:pPr>
        <w:pStyle w:val="ACSectionTOCHeading"/>
        <w:rPr>
          <w:sz w:val="22"/>
          <w:szCs w:val="22"/>
        </w:rPr>
      </w:pPr>
      <w:r w:rsidRPr="004E3D9D">
        <w:rPr>
          <w:sz w:val="22"/>
          <w:szCs w:val="22"/>
        </w:rPr>
        <w:t>FINANCIAL REVIEW</w:t>
      </w:r>
    </w:p>
    <w:p w14:paraId="53936649" w14:textId="77777777" w:rsidR="00D628DA" w:rsidRPr="004E3D9D" w:rsidRDefault="00D628DA" w:rsidP="00885093">
      <w:pPr>
        <w:jc w:val="both"/>
        <w:rPr>
          <w:b/>
          <w:i/>
          <w:sz w:val="22"/>
          <w:szCs w:val="22"/>
        </w:rPr>
      </w:pPr>
    </w:p>
    <w:p w14:paraId="10DC57FE" w14:textId="7BDEEA31" w:rsidR="00960DF3" w:rsidRPr="00F4705F" w:rsidRDefault="00960DF3" w:rsidP="00960DF3">
      <w:pPr>
        <w:jc w:val="both"/>
        <w:rPr>
          <w:sz w:val="22"/>
          <w:szCs w:val="22"/>
        </w:rPr>
      </w:pPr>
      <w:r w:rsidRPr="00C10587">
        <w:rPr>
          <w:sz w:val="22"/>
          <w:szCs w:val="22"/>
        </w:rPr>
        <w:t>W</w:t>
      </w:r>
      <w:r w:rsidR="007A4913">
        <w:rPr>
          <w:sz w:val="22"/>
          <w:szCs w:val="22"/>
        </w:rPr>
        <w:t>heatley Homes South</w:t>
      </w:r>
      <w:r w:rsidRPr="00C10587">
        <w:rPr>
          <w:sz w:val="22"/>
          <w:szCs w:val="22"/>
        </w:rPr>
        <w:t xml:space="preserve"> generated an </w:t>
      </w:r>
      <w:r w:rsidRPr="00F4705F">
        <w:rPr>
          <w:sz w:val="22"/>
          <w:szCs w:val="22"/>
        </w:rPr>
        <w:t>operating surplus of £</w:t>
      </w:r>
      <w:r w:rsidR="00A36C73" w:rsidRPr="00F4705F">
        <w:rPr>
          <w:sz w:val="22"/>
          <w:szCs w:val="22"/>
        </w:rPr>
        <w:t>2</w:t>
      </w:r>
      <w:r w:rsidR="005A643F">
        <w:rPr>
          <w:sz w:val="22"/>
          <w:szCs w:val="22"/>
        </w:rPr>
        <w:t>0.9</w:t>
      </w:r>
      <w:r w:rsidRPr="00F4705F">
        <w:rPr>
          <w:sz w:val="22"/>
          <w:szCs w:val="22"/>
        </w:rPr>
        <w:t>m (202</w:t>
      </w:r>
      <w:r w:rsidR="0070387B" w:rsidRPr="00F4705F">
        <w:rPr>
          <w:sz w:val="22"/>
          <w:szCs w:val="22"/>
        </w:rPr>
        <w:t>3</w:t>
      </w:r>
      <w:r w:rsidRPr="00F4705F">
        <w:rPr>
          <w:sz w:val="22"/>
          <w:szCs w:val="22"/>
        </w:rPr>
        <w:t>: £</w:t>
      </w:r>
      <w:r w:rsidR="0070387B" w:rsidRPr="00F4705F">
        <w:rPr>
          <w:sz w:val="22"/>
          <w:szCs w:val="22"/>
        </w:rPr>
        <w:t>14.2</w:t>
      </w:r>
      <w:r w:rsidRPr="00F4705F">
        <w:rPr>
          <w:sz w:val="22"/>
          <w:szCs w:val="22"/>
        </w:rPr>
        <w:t>m)</w:t>
      </w:r>
      <w:r w:rsidR="0073515C" w:rsidRPr="00F4705F">
        <w:rPr>
          <w:sz w:val="22"/>
          <w:szCs w:val="22"/>
        </w:rPr>
        <w:t xml:space="preserve"> </w:t>
      </w:r>
      <w:r w:rsidRPr="00F4705F">
        <w:rPr>
          <w:sz w:val="22"/>
          <w:szCs w:val="22"/>
        </w:rPr>
        <w:t>after a £0.</w:t>
      </w:r>
      <w:r w:rsidR="00AF0950" w:rsidRPr="00F4705F">
        <w:rPr>
          <w:sz w:val="22"/>
          <w:szCs w:val="22"/>
        </w:rPr>
        <w:t>6</w:t>
      </w:r>
      <w:r w:rsidRPr="00F4705F">
        <w:rPr>
          <w:sz w:val="22"/>
          <w:szCs w:val="22"/>
        </w:rPr>
        <w:t xml:space="preserve">m </w:t>
      </w:r>
      <w:r w:rsidR="002E2581" w:rsidRPr="00F4705F">
        <w:rPr>
          <w:sz w:val="22"/>
          <w:szCs w:val="22"/>
        </w:rPr>
        <w:t xml:space="preserve">valuation </w:t>
      </w:r>
      <w:r w:rsidRPr="00F4705F">
        <w:rPr>
          <w:sz w:val="22"/>
          <w:szCs w:val="22"/>
        </w:rPr>
        <w:t>loss on investment properties (202</w:t>
      </w:r>
      <w:r w:rsidR="0070387B" w:rsidRPr="00F4705F">
        <w:rPr>
          <w:sz w:val="22"/>
          <w:szCs w:val="22"/>
        </w:rPr>
        <w:t>3</w:t>
      </w:r>
      <w:r w:rsidRPr="00F4705F">
        <w:rPr>
          <w:sz w:val="22"/>
          <w:szCs w:val="22"/>
        </w:rPr>
        <w:t>: £</w:t>
      </w:r>
      <w:r w:rsidR="0070387B" w:rsidRPr="00F4705F">
        <w:rPr>
          <w:sz w:val="22"/>
          <w:szCs w:val="22"/>
        </w:rPr>
        <w:t>0.8</w:t>
      </w:r>
      <w:r w:rsidRPr="00F4705F">
        <w:rPr>
          <w:sz w:val="22"/>
          <w:szCs w:val="22"/>
        </w:rPr>
        <w:t xml:space="preserve">m </w:t>
      </w:r>
      <w:r w:rsidR="00AA2B03" w:rsidRPr="00F4705F">
        <w:rPr>
          <w:sz w:val="22"/>
          <w:szCs w:val="22"/>
        </w:rPr>
        <w:t>loss</w:t>
      </w:r>
      <w:r w:rsidRPr="00F4705F">
        <w:rPr>
          <w:sz w:val="22"/>
          <w:szCs w:val="22"/>
        </w:rPr>
        <w:t xml:space="preserve">), relating to the valuation of mid-market rent and commercial units. </w:t>
      </w:r>
      <w:r w:rsidR="008627DA" w:rsidRPr="00F4705F">
        <w:rPr>
          <w:sz w:val="22"/>
          <w:szCs w:val="22"/>
        </w:rPr>
        <w:t xml:space="preserve">The main driver for the increase in operating surplus is </w:t>
      </w:r>
      <w:r w:rsidR="001B0C4D" w:rsidRPr="00F4705F">
        <w:rPr>
          <w:sz w:val="22"/>
          <w:szCs w:val="22"/>
        </w:rPr>
        <w:t>an increase in grant income recognised in the y</w:t>
      </w:r>
      <w:r w:rsidR="00403E95" w:rsidRPr="00F4705F">
        <w:rPr>
          <w:sz w:val="22"/>
          <w:szCs w:val="22"/>
        </w:rPr>
        <w:t xml:space="preserve">ear for </w:t>
      </w:r>
      <w:r w:rsidR="0086015B" w:rsidRPr="00F4705F">
        <w:rPr>
          <w:sz w:val="22"/>
          <w:szCs w:val="22"/>
        </w:rPr>
        <w:t xml:space="preserve">both </w:t>
      </w:r>
      <w:r w:rsidR="00403E95" w:rsidRPr="00F4705F">
        <w:rPr>
          <w:sz w:val="22"/>
          <w:szCs w:val="22"/>
        </w:rPr>
        <w:t>new build and net</w:t>
      </w:r>
      <w:r w:rsidR="00505270" w:rsidRPr="00F4705F">
        <w:rPr>
          <w:sz w:val="22"/>
          <w:szCs w:val="22"/>
        </w:rPr>
        <w:t xml:space="preserve"> zero investment projects </w:t>
      </w:r>
      <w:r w:rsidR="0086015B" w:rsidRPr="00F4705F">
        <w:rPr>
          <w:sz w:val="22"/>
          <w:szCs w:val="22"/>
        </w:rPr>
        <w:t>which was £5.</w:t>
      </w:r>
      <w:r w:rsidR="002748DF">
        <w:rPr>
          <w:sz w:val="22"/>
          <w:szCs w:val="22"/>
        </w:rPr>
        <w:t>0</w:t>
      </w:r>
      <w:r w:rsidR="0086015B" w:rsidRPr="00F4705F">
        <w:rPr>
          <w:sz w:val="22"/>
          <w:szCs w:val="22"/>
        </w:rPr>
        <w:t xml:space="preserve">m higher </w:t>
      </w:r>
      <w:r w:rsidR="005F6588" w:rsidRPr="00F4705F">
        <w:rPr>
          <w:sz w:val="22"/>
          <w:szCs w:val="22"/>
        </w:rPr>
        <w:t>compared to the prior year.</w:t>
      </w:r>
    </w:p>
    <w:p w14:paraId="2ED8B78E" w14:textId="77777777" w:rsidR="00960DF3" w:rsidRPr="00F4705F" w:rsidRDefault="00960DF3" w:rsidP="00511890">
      <w:pPr>
        <w:jc w:val="both"/>
        <w:rPr>
          <w:sz w:val="22"/>
        </w:rPr>
      </w:pPr>
    </w:p>
    <w:p w14:paraId="627F0EF9" w14:textId="58F3FB22" w:rsidR="002A1024" w:rsidRPr="00F4705F" w:rsidRDefault="002A1024" w:rsidP="002A1024">
      <w:pPr>
        <w:jc w:val="both"/>
        <w:rPr>
          <w:sz w:val="22"/>
          <w:szCs w:val="22"/>
        </w:rPr>
      </w:pPr>
      <w:r w:rsidRPr="00F4705F">
        <w:rPr>
          <w:sz w:val="22"/>
          <w:szCs w:val="22"/>
        </w:rPr>
        <w:t>Before taking account of other gains and losses</w:t>
      </w:r>
      <w:r w:rsidR="004D45CB" w:rsidRPr="00F4705F">
        <w:rPr>
          <w:sz w:val="22"/>
          <w:szCs w:val="22"/>
        </w:rPr>
        <w:t xml:space="preserve"> and</w:t>
      </w:r>
      <w:r w:rsidRPr="00F4705F">
        <w:rPr>
          <w:sz w:val="22"/>
          <w:szCs w:val="22"/>
        </w:rPr>
        <w:t xml:space="preserve"> the timing of grant income recognised on new build completions</w:t>
      </w:r>
      <w:r w:rsidR="001A09A2" w:rsidRPr="00F4705F">
        <w:rPr>
          <w:sz w:val="22"/>
          <w:szCs w:val="22"/>
        </w:rPr>
        <w:t xml:space="preserve"> and </w:t>
      </w:r>
      <w:r w:rsidR="00BB3603" w:rsidRPr="00F4705F">
        <w:rPr>
          <w:sz w:val="22"/>
          <w:szCs w:val="22"/>
        </w:rPr>
        <w:t xml:space="preserve">for net </w:t>
      </w:r>
      <w:r w:rsidR="004D45CB" w:rsidRPr="00F4705F">
        <w:rPr>
          <w:sz w:val="22"/>
          <w:szCs w:val="22"/>
        </w:rPr>
        <w:t>zero investment projects</w:t>
      </w:r>
      <w:r w:rsidRPr="00F4705F">
        <w:rPr>
          <w:sz w:val="22"/>
          <w:szCs w:val="22"/>
        </w:rPr>
        <w:t>, an operating surplus was generated from core operations of £</w:t>
      </w:r>
      <w:r w:rsidR="003056E6" w:rsidRPr="00F4705F">
        <w:rPr>
          <w:sz w:val="22"/>
          <w:szCs w:val="22"/>
        </w:rPr>
        <w:t>9.</w:t>
      </w:r>
      <w:r w:rsidR="003A307B">
        <w:rPr>
          <w:sz w:val="22"/>
          <w:szCs w:val="22"/>
        </w:rPr>
        <w:t>6</w:t>
      </w:r>
      <w:r w:rsidRPr="00F4705F">
        <w:rPr>
          <w:sz w:val="22"/>
          <w:szCs w:val="22"/>
        </w:rPr>
        <w:t>m (2023: £</w:t>
      </w:r>
      <w:r w:rsidR="003056E6" w:rsidRPr="00F4705F">
        <w:rPr>
          <w:sz w:val="22"/>
          <w:szCs w:val="22"/>
        </w:rPr>
        <w:t>8</w:t>
      </w:r>
      <w:r w:rsidR="006E4455" w:rsidRPr="00F4705F">
        <w:rPr>
          <w:sz w:val="22"/>
          <w:szCs w:val="22"/>
        </w:rPr>
        <w:t>.3</w:t>
      </w:r>
      <w:r w:rsidRPr="00F4705F">
        <w:rPr>
          <w:sz w:val="22"/>
          <w:szCs w:val="22"/>
        </w:rPr>
        <w:t>m). The increase of £</w:t>
      </w:r>
      <w:r w:rsidR="003056E6" w:rsidRPr="00F4705F">
        <w:rPr>
          <w:sz w:val="22"/>
          <w:szCs w:val="22"/>
        </w:rPr>
        <w:t>1.</w:t>
      </w:r>
      <w:r w:rsidR="00AD3394" w:rsidRPr="00F4705F">
        <w:rPr>
          <w:sz w:val="22"/>
          <w:szCs w:val="22"/>
        </w:rPr>
        <w:t>3</w:t>
      </w:r>
      <w:r w:rsidRPr="00F4705F">
        <w:rPr>
          <w:sz w:val="22"/>
          <w:szCs w:val="22"/>
        </w:rPr>
        <w:t>m in 2023/24 underlying operating surplus is driven by an improved income position</w:t>
      </w:r>
      <w:r w:rsidR="003C781E" w:rsidRPr="00F4705F">
        <w:rPr>
          <w:sz w:val="22"/>
          <w:szCs w:val="22"/>
        </w:rPr>
        <w:t>,</w:t>
      </w:r>
      <w:r w:rsidRPr="00F4705F">
        <w:rPr>
          <w:sz w:val="22"/>
          <w:szCs w:val="22"/>
        </w:rPr>
        <w:t xml:space="preserve"> providing capacity for the increased repairs and maintenance costs linked to inflationary pressures and increased demand. </w:t>
      </w:r>
    </w:p>
    <w:p w14:paraId="162D4334" w14:textId="77777777" w:rsidR="001A7255" w:rsidRPr="00F4705F" w:rsidRDefault="001A7255" w:rsidP="004E6550">
      <w:pPr>
        <w:pStyle w:val="ACText"/>
        <w:spacing w:before="0"/>
        <w:rPr>
          <w:rFonts w:eastAsia="Calibri"/>
          <w:sz w:val="22"/>
          <w:szCs w:val="22"/>
          <w:lang w:eastAsia="en-GB"/>
        </w:rPr>
      </w:pPr>
    </w:p>
    <w:p w14:paraId="723C3544" w14:textId="5FC1EF49" w:rsidR="00FD109D" w:rsidRPr="00F4705F" w:rsidRDefault="00FD109D" w:rsidP="004E6550">
      <w:pPr>
        <w:pStyle w:val="ACText"/>
        <w:spacing w:before="0"/>
        <w:rPr>
          <w:rFonts w:eastAsia="Calibri"/>
          <w:b/>
          <w:bCs/>
          <w:sz w:val="22"/>
          <w:szCs w:val="22"/>
          <w:lang w:eastAsia="en-GB"/>
        </w:rPr>
      </w:pPr>
      <w:r w:rsidRPr="00F4705F">
        <w:rPr>
          <w:rFonts w:eastAsia="Calibri"/>
          <w:b/>
          <w:bCs/>
          <w:sz w:val="22"/>
          <w:szCs w:val="22"/>
          <w:lang w:eastAsia="en-GB"/>
        </w:rPr>
        <w:t>Income</w:t>
      </w:r>
    </w:p>
    <w:p w14:paraId="2DE8C317" w14:textId="77777777" w:rsidR="00DA65D7" w:rsidRPr="00F4705F" w:rsidRDefault="000A57B9" w:rsidP="000A57B9">
      <w:pPr>
        <w:jc w:val="both"/>
        <w:rPr>
          <w:sz w:val="22"/>
          <w:szCs w:val="22"/>
        </w:rPr>
      </w:pPr>
      <w:r w:rsidRPr="00F4705F">
        <w:rPr>
          <w:sz w:val="22"/>
          <w:szCs w:val="22"/>
        </w:rPr>
        <w:t>Turnover recognised in the Statement of Comprehensive Income in the year was £</w:t>
      </w:r>
      <w:r w:rsidR="008807B9" w:rsidRPr="00F4705F">
        <w:rPr>
          <w:sz w:val="22"/>
          <w:szCs w:val="22"/>
        </w:rPr>
        <w:t>62.8</w:t>
      </w:r>
      <w:r w:rsidRPr="00F4705F">
        <w:rPr>
          <w:sz w:val="22"/>
          <w:szCs w:val="22"/>
        </w:rPr>
        <w:t>m (2023: £</w:t>
      </w:r>
      <w:r w:rsidR="008807B9" w:rsidRPr="00F4705F">
        <w:rPr>
          <w:sz w:val="22"/>
          <w:szCs w:val="22"/>
        </w:rPr>
        <w:t>55.9</w:t>
      </w:r>
      <w:r w:rsidRPr="00F4705F">
        <w:rPr>
          <w:sz w:val="22"/>
          <w:szCs w:val="22"/>
        </w:rPr>
        <w:t xml:space="preserve">m).  Of this total, </w:t>
      </w:r>
      <w:r w:rsidR="00EF6FA2" w:rsidRPr="00F4705F">
        <w:rPr>
          <w:sz w:val="22"/>
          <w:szCs w:val="22"/>
        </w:rPr>
        <w:t>75.8</w:t>
      </w:r>
      <w:r w:rsidRPr="00F4705F">
        <w:rPr>
          <w:sz w:val="22"/>
          <w:szCs w:val="22"/>
        </w:rPr>
        <w:t>% or £</w:t>
      </w:r>
      <w:r w:rsidR="00EF34BF" w:rsidRPr="00F4705F">
        <w:rPr>
          <w:sz w:val="22"/>
          <w:szCs w:val="22"/>
        </w:rPr>
        <w:t>47.6</w:t>
      </w:r>
      <w:r w:rsidRPr="00F4705F">
        <w:rPr>
          <w:sz w:val="22"/>
          <w:szCs w:val="22"/>
        </w:rPr>
        <w:t xml:space="preserve">m (2023: </w:t>
      </w:r>
      <w:r w:rsidR="00AB2489" w:rsidRPr="00F4705F">
        <w:rPr>
          <w:sz w:val="22"/>
          <w:szCs w:val="22"/>
        </w:rPr>
        <w:t>82.3</w:t>
      </w:r>
      <w:r w:rsidRPr="00F4705F">
        <w:rPr>
          <w:sz w:val="22"/>
          <w:szCs w:val="22"/>
        </w:rPr>
        <w:t>% or £</w:t>
      </w:r>
      <w:r w:rsidR="00EF34BF" w:rsidRPr="00F4705F">
        <w:rPr>
          <w:sz w:val="22"/>
          <w:szCs w:val="22"/>
        </w:rPr>
        <w:t>46.0</w:t>
      </w:r>
      <w:r w:rsidRPr="00F4705F">
        <w:rPr>
          <w:sz w:val="22"/>
          <w:szCs w:val="22"/>
        </w:rPr>
        <w:t xml:space="preserve">m) was generated through rental and service charge income, net of void losses.  </w:t>
      </w:r>
    </w:p>
    <w:p w14:paraId="37B5F83D" w14:textId="77777777" w:rsidR="00DA65D7" w:rsidRPr="00F4705F" w:rsidRDefault="00DA65D7" w:rsidP="000A57B9">
      <w:pPr>
        <w:jc w:val="both"/>
        <w:rPr>
          <w:sz w:val="22"/>
          <w:szCs w:val="22"/>
        </w:rPr>
      </w:pPr>
    </w:p>
    <w:p w14:paraId="2D637B24" w14:textId="55910692" w:rsidR="000A57B9" w:rsidRPr="00F4705F" w:rsidRDefault="000A57B9" w:rsidP="000A57B9">
      <w:pPr>
        <w:jc w:val="both"/>
        <w:rPr>
          <w:sz w:val="22"/>
          <w:szCs w:val="22"/>
        </w:rPr>
      </w:pPr>
      <w:r w:rsidRPr="00F4705F">
        <w:rPr>
          <w:sz w:val="22"/>
          <w:szCs w:val="22"/>
        </w:rPr>
        <w:t>The remainder included:</w:t>
      </w:r>
    </w:p>
    <w:p w14:paraId="7FA18588" w14:textId="3DD929B2" w:rsidR="000A57B9" w:rsidRPr="00F4705F" w:rsidRDefault="000A57B9" w:rsidP="000A57B9">
      <w:pPr>
        <w:pStyle w:val="ListParagraph"/>
        <w:numPr>
          <w:ilvl w:val="0"/>
          <w:numId w:val="42"/>
        </w:numPr>
        <w:spacing w:line="240" w:lineRule="auto"/>
        <w:ind w:left="624" w:hanging="340"/>
        <w:jc w:val="both"/>
        <w:rPr>
          <w:sz w:val="22"/>
          <w:szCs w:val="22"/>
        </w:rPr>
      </w:pPr>
      <w:r w:rsidRPr="00F4705F">
        <w:rPr>
          <w:sz w:val="22"/>
          <w:szCs w:val="22"/>
        </w:rPr>
        <w:t>Grant income recognised on the completion of new build properties, grant received from the Social Housing Net Zero fund</w:t>
      </w:r>
      <w:r w:rsidR="005B21F3" w:rsidRPr="00F4705F">
        <w:rPr>
          <w:sz w:val="22"/>
          <w:szCs w:val="22"/>
        </w:rPr>
        <w:t xml:space="preserve"> and</w:t>
      </w:r>
      <w:r w:rsidRPr="00F4705F">
        <w:rPr>
          <w:sz w:val="22"/>
          <w:szCs w:val="22"/>
        </w:rPr>
        <w:t xml:space="preserve"> grant for medical adaptations totalling £</w:t>
      </w:r>
      <w:r w:rsidR="00C03DFD" w:rsidRPr="00F4705F">
        <w:rPr>
          <w:sz w:val="22"/>
          <w:szCs w:val="22"/>
        </w:rPr>
        <w:t>12.0</w:t>
      </w:r>
      <w:r w:rsidRPr="00F4705F">
        <w:rPr>
          <w:sz w:val="22"/>
          <w:szCs w:val="22"/>
        </w:rPr>
        <w:t>m (2023: £</w:t>
      </w:r>
      <w:r w:rsidR="00C03DFD" w:rsidRPr="00F4705F">
        <w:rPr>
          <w:sz w:val="22"/>
          <w:szCs w:val="22"/>
        </w:rPr>
        <w:t>7.0</w:t>
      </w:r>
      <w:r w:rsidRPr="00F4705F">
        <w:rPr>
          <w:sz w:val="22"/>
          <w:szCs w:val="22"/>
        </w:rPr>
        <w:t>m)</w:t>
      </w:r>
    </w:p>
    <w:p w14:paraId="728CAE56" w14:textId="477C80AC" w:rsidR="000A57B9" w:rsidRPr="00F4705F" w:rsidRDefault="000A57B9" w:rsidP="000A57B9">
      <w:pPr>
        <w:pStyle w:val="ListParagraph"/>
        <w:numPr>
          <w:ilvl w:val="0"/>
          <w:numId w:val="42"/>
        </w:numPr>
        <w:spacing w:line="240" w:lineRule="auto"/>
        <w:ind w:left="624" w:hanging="340"/>
        <w:jc w:val="both"/>
        <w:rPr>
          <w:sz w:val="22"/>
          <w:szCs w:val="22"/>
        </w:rPr>
      </w:pPr>
      <w:r w:rsidRPr="00F4705F">
        <w:rPr>
          <w:sz w:val="22"/>
          <w:szCs w:val="22"/>
        </w:rPr>
        <w:t>Investment property income from the letting of mid-market homes totalling £</w:t>
      </w:r>
      <w:r w:rsidR="00B30371" w:rsidRPr="00F4705F">
        <w:rPr>
          <w:sz w:val="22"/>
          <w:szCs w:val="22"/>
        </w:rPr>
        <w:t>0.5</w:t>
      </w:r>
      <w:r w:rsidRPr="00F4705F">
        <w:rPr>
          <w:sz w:val="22"/>
          <w:szCs w:val="22"/>
        </w:rPr>
        <w:t>m (2023: £</w:t>
      </w:r>
      <w:r w:rsidR="00C861EA" w:rsidRPr="00F4705F">
        <w:rPr>
          <w:sz w:val="22"/>
          <w:szCs w:val="22"/>
        </w:rPr>
        <w:t>0.5</w:t>
      </w:r>
      <w:r w:rsidRPr="00F4705F">
        <w:rPr>
          <w:sz w:val="22"/>
          <w:szCs w:val="22"/>
        </w:rPr>
        <w:t>m)</w:t>
      </w:r>
    </w:p>
    <w:p w14:paraId="1A0903DE" w14:textId="1EF6A4ED" w:rsidR="000A57B9" w:rsidRPr="00F4705F" w:rsidRDefault="000A57B9" w:rsidP="000A57B9">
      <w:pPr>
        <w:pStyle w:val="ListParagraph"/>
        <w:numPr>
          <w:ilvl w:val="0"/>
          <w:numId w:val="42"/>
        </w:numPr>
        <w:spacing w:line="240" w:lineRule="auto"/>
        <w:ind w:left="624" w:hanging="340"/>
        <w:jc w:val="both"/>
        <w:rPr>
          <w:sz w:val="22"/>
          <w:szCs w:val="22"/>
        </w:rPr>
      </w:pPr>
      <w:r w:rsidRPr="00F4705F">
        <w:rPr>
          <w:sz w:val="22"/>
          <w:szCs w:val="22"/>
        </w:rPr>
        <w:t xml:space="preserve">Other income </w:t>
      </w:r>
      <w:r w:rsidR="00372A4D" w:rsidRPr="00F4705F">
        <w:rPr>
          <w:sz w:val="22"/>
          <w:szCs w:val="22"/>
        </w:rPr>
        <w:t>including</w:t>
      </w:r>
      <w:r w:rsidRPr="00F4705F">
        <w:rPr>
          <w:sz w:val="22"/>
          <w:szCs w:val="22"/>
        </w:rPr>
        <w:t xml:space="preserve"> gift aid income from Wheatley Developments Scotland Ltd</w:t>
      </w:r>
      <w:r w:rsidR="003A5717" w:rsidRPr="00F4705F">
        <w:rPr>
          <w:sz w:val="22"/>
          <w:szCs w:val="22"/>
        </w:rPr>
        <w:t xml:space="preserve"> and income from repairs services </w:t>
      </w:r>
      <w:r w:rsidRPr="00F4705F">
        <w:rPr>
          <w:sz w:val="22"/>
          <w:szCs w:val="22"/>
        </w:rPr>
        <w:t>totalling £</w:t>
      </w:r>
      <w:r w:rsidR="00B05A60" w:rsidRPr="00F4705F">
        <w:rPr>
          <w:sz w:val="22"/>
          <w:szCs w:val="22"/>
        </w:rPr>
        <w:t>1.</w:t>
      </w:r>
      <w:r w:rsidR="00604391">
        <w:rPr>
          <w:sz w:val="22"/>
          <w:szCs w:val="22"/>
        </w:rPr>
        <w:t>6</w:t>
      </w:r>
      <w:r w:rsidRPr="00F4705F">
        <w:rPr>
          <w:sz w:val="22"/>
          <w:szCs w:val="22"/>
        </w:rPr>
        <w:t>m (2023: £</w:t>
      </w:r>
      <w:r w:rsidR="00B05A60" w:rsidRPr="00F4705F">
        <w:rPr>
          <w:sz w:val="22"/>
          <w:szCs w:val="22"/>
        </w:rPr>
        <w:t>0.9m</w:t>
      </w:r>
      <w:r w:rsidRPr="00F4705F">
        <w:rPr>
          <w:sz w:val="22"/>
          <w:szCs w:val="22"/>
        </w:rPr>
        <w:t>)</w:t>
      </w:r>
    </w:p>
    <w:p w14:paraId="3963F192" w14:textId="77777777" w:rsidR="004931CB" w:rsidRPr="00F4705F" w:rsidRDefault="004931CB" w:rsidP="00511890">
      <w:pPr>
        <w:jc w:val="both"/>
        <w:rPr>
          <w:sz w:val="22"/>
        </w:rPr>
      </w:pPr>
    </w:p>
    <w:p w14:paraId="4DC932B0" w14:textId="77777777" w:rsidR="00D628DA" w:rsidRPr="00F4705F" w:rsidRDefault="00D628DA" w:rsidP="00885093">
      <w:pPr>
        <w:jc w:val="both"/>
        <w:rPr>
          <w:b/>
          <w:sz w:val="22"/>
        </w:rPr>
      </w:pPr>
      <w:r w:rsidRPr="00F4705F">
        <w:rPr>
          <w:b/>
          <w:sz w:val="22"/>
        </w:rPr>
        <w:t>Expenditure</w:t>
      </w:r>
    </w:p>
    <w:p w14:paraId="3AAA662D" w14:textId="2AAE0782" w:rsidR="005A071E" w:rsidRPr="0003502B" w:rsidRDefault="00D628DA" w:rsidP="00885093">
      <w:pPr>
        <w:jc w:val="both"/>
        <w:rPr>
          <w:sz w:val="22"/>
          <w:highlight w:val="yellow"/>
        </w:rPr>
      </w:pPr>
      <w:r w:rsidRPr="00F4705F">
        <w:rPr>
          <w:sz w:val="22"/>
        </w:rPr>
        <w:t xml:space="preserve">Operating costs </w:t>
      </w:r>
      <w:r w:rsidR="00BC741F" w:rsidRPr="00F4705F">
        <w:rPr>
          <w:sz w:val="22"/>
        </w:rPr>
        <w:t>for</w:t>
      </w:r>
      <w:r w:rsidRPr="00F4705F">
        <w:rPr>
          <w:sz w:val="22"/>
        </w:rPr>
        <w:t xml:space="preserve"> </w:t>
      </w:r>
      <w:r w:rsidR="00090B95" w:rsidRPr="00F4705F">
        <w:rPr>
          <w:sz w:val="22"/>
        </w:rPr>
        <w:t>WHS</w:t>
      </w:r>
      <w:r w:rsidRPr="00F4705F">
        <w:rPr>
          <w:sz w:val="22"/>
        </w:rPr>
        <w:t xml:space="preserve"> i</w:t>
      </w:r>
      <w:r w:rsidR="007B52D0" w:rsidRPr="00F4705F">
        <w:rPr>
          <w:sz w:val="22"/>
        </w:rPr>
        <w:t>n</w:t>
      </w:r>
      <w:r w:rsidR="006E5958" w:rsidRPr="00F4705F">
        <w:rPr>
          <w:sz w:val="22"/>
        </w:rPr>
        <w:t xml:space="preserve"> the year</w:t>
      </w:r>
      <w:r w:rsidR="00BC741F" w:rsidRPr="00F4705F">
        <w:rPr>
          <w:sz w:val="22"/>
        </w:rPr>
        <w:t>,</w:t>
      </w:r>
      <w:r w:rsidR="006E5958" w:rsidRPr="00F4705F">
        <w:rPr>
          <w:sz w:val="22"/>
        </w:rPr>
        <w:t xml:space="preserve"> totalled £</w:t>
      </w:r>
      <w:r w:rsidR="009C651C" w:rsidRPr="00F4705F">
        <w:rPr>
          <w:sz w:val="22"/>
        </w:rPr>
        <w:t>4</w:t>
      </w:r>
      <w:r w:rsidR="000866C8" w:rsidRPr="00F4705F">
        <w:rPr>
          <w:sz w:val="22"/>
        </w:rPr>
        <w:t>1.</w:t>
      </w:r>
      <w:r w:rsidR="00E82993" w:rsidRPr="00F4705F">
        <w:rPr>
          <w:sz w:val="22"/>
        </w:rPr>
        <w:t>3</w:t>
      </w:r>
      <w:r w:rsidR="00DD1B2A" w:rsidRPr="00F4705F">
        <w:rPr>
          <w:sz w:val="22"/>
        </w:rPr>
        <w:t>m</w:t>
      </w:r>
      <w:r w:rsidR="00331468" w:rsidRPr="00F4705F">
        <w:rPr>
          <w:sz w:val="22"/>
        </w:rPr>
        <w:t xml:space="preserve"> (202</w:t>
      </w:r>
      <w:r w:rsidR="0082724B" w:rsidRPr="00F4705F">
        <w:rPr>
          <w:sz w:val="22"/>
        </w:rPr>
        <w:t>3</w:t>
      </w:r>
      <w:r w:rsidR="00D551BA" w:rsidRPr="000866C8">
        <w:rPr>
          <w:sz w:val="22"/>
        </w:rPr>
        <w:t>: £</w:t>
      </w:r>
      <w:r w:rsidR="0082724B" w:rsidRPr="000866C8">
        <w:rPr>
          <w:sz w:val="22"/>
        </w:rPr>
        <w:t>40.9</w:t>
      </w:r>
      <w:r w:rsidR="00090B95" w:rsidRPr="000866C8">
        <w:rPr>
          <w:sz w:val="22"/>
        </w:rPr>
        <w:t>m</w:t>
      </w:r>
      <w:r w:rsidR="0081385F" w:rsidRPr="000866C8">
        <w:rPr>
          <w:sz w:val="22"/>
        </w:rPr>
        <w:t>)</w:t>
      </w:r>
      <w:r w:rsidR="002A0144" w:rsidRPr="000866C8">
        <w:rPr>
          <w:sz w:val="22"/>
        </w:rPr>
        <w:t>.</w:t>
      </w:r>
    </w:p>
    <w:p w14:paraId="361E96D4" w14:textId="77777777" w:rsidR="00AA3433" w:rsidRPr="00D62E8F" w:rsidRDefault="00AA3433" w:rsidP="00885093">
      <w:pPr>
        <w:jc w:val="both"/>
        <w:rPr>
          <w:sz w:val="22"/>
          <w:highlight w:val="yellow"/>
        </w:rPr>
      </w:pPr>
    </w:p>
    <w:p w14:paraId="4E8D0B9F" w14:textId="47DA14CA" w:rsidR="00AA3433" w:rsidRPr="00C23BFB" w:rsidRDefault="00AA3433" w:rsidP="00885093">
      <w:pPr>
        <w:jc w:val="both"/>
        <w:rPr>
          <w:sz w:val="22"/>
        </w:rPr>
      </w:pPr>
      <w:r w:rsidRPr="00C23BFB">
        <w:rPr>
          <w:sz w:val="22"/>
        </w:rPr>
        <w:t>The main items of expenditure were:</w:t>
      </w:r>
    </w:p>
    <w:p w14:paraId="1403ACFA" w14:textId="4718E9D8" w:rsidR="00D628DA" w:rsidRPr="00936F12" w:rsidRDefault="00D628DA" w:rsidP="00007D61">
      <w:pPr>
        <w:numPr>
          <w:ilvl w:val="0"/>
          <w:numId w:val="8"/>
        </w:numPr>
        <w:jc w:val="both"/>
        <w:rPr>
          <w:sz w:val="22"/>
          <w:szCs w:val="22"/>
        </w:rPr>
      </w:pPr>
      <w:r w:rsidRPr="00936F12">
        <w:rPr>
          <w:sz w:val="22"/>
          <w:szCs w:val="22"/>
        </w:rPr>
        <w:t>Management and maintenance administration costs associated with affordable letting activi</w:t>
      </w:r>
      <w:r w:rsidR="00B64734" w:rsidRPr="00936F12">
        <w:rPr>
          <w:sz w:val="22"/>
          <w:szCs w:val="22"/>
        </w:rPr>
        <w:t xml:space="preserve">ties totalling </w:t>
      </w:r>
      <w:r w:rsidR="00AA3433" w:rsidRPr="00936F12">
        <w:rPr>
          <w:sz w:val="22"/>
          <w:szCs w:val="22"/>
        </w:rPr>
        <w:t>£</w:t>
      </w:r>
      <w:r w:rsidR="00775ECD" w:rsidRPr="00936F12">
        <w:rPr>
          <w:sz w:val="22"/>
          <w:szCs w:val="22"/>
        </w:rPr>
        <w:t>1</w:t>
      </w:r>
      <w:r w:rsidR="00936F12" w:rsidRPr="00936F12">
        <w:rPr>
          <w:sz w:val="22"/>
          <w:szCs w:val="22"/>
        </w:rPr>
        <w:t>1.1</w:t>
      </w:r>
      <w:r w:rsidR="0093381E" w:rsidRPr="00936F12">
        <w:rPr>
          <w:sz w:val="22"/>
          <w:szCs w:val="22"/>
        </w:rPr>
        <w:t>m</w:t>
      </w:r>
      <w:r w:rsidR="00331468" w:rsidRPr="00936F12">
        <w:rPr>
          <w:sz w:val="22"/>
          <w:szCs w:val="22"/>
        </w:rPr>
        <w:t xml:space="preserve"> (202</w:t>
      </w:r>
      <w:r w:rsidR="0082724B" w:rsidRPr="00936F12">
        <w:rPr>
          <w:sz w:val="22"/>
          <w:szCs w:val="22"/>
        </w:rPr>
        <w:t>3</w:t>
      </w:r>
      <w:r w:rsidR="0093381E" w:rsidRPr="00936F12">
        <w:rPr>
          <w:sz w:val="22"/>
          <w:szCs w:val="22"/>
        </w:rPr>
        <w:t>: £</w:t>
      </w:r>
      <w:r w:rsidR="00090B95" w:rsidRPr="00936F12">
        <w:rPr>
          <w:sz w:val="22"/>
          <w:szCs w:val="22"/>
        </w:rPr>
        <w:t>1</w:t>
      </w:r>
      <w:r w:rsidR="0082724B" w:rsidRPr="00936F12">
        <w:rPr>
          <w:sz w:val="22"/>
          <w:szCs w:val="22"/>
        </w:rPr>
        <w:t>0.8</w:t>
      </w:r>
      <w:r w:rsidR="00090B95" w:rsidRPr="00936F12">
        <w:rPr>
          <w:sz w:val="22"/>
          <w:szCs w:val="22"/>
        </w:rPr>
        <w:t>m</w:t>
      </w:r>
      <w:r w:rsidR="0093381E" w:rsidRPr="00936F12">
        <w:rPr>
          <w:sz w:val="22"/>
          <w:szCs w:val="22"/>
        </w:rPr>
        <w:t>).</w:t>
      </w:r>
      <w:r w:rsidR="009C7CCF" w:rsidRPr="00936F12">
        <w:rPr>
          <w:sz w:val="22"/>
          <w:szCs w:val="22"/>
        </w:rPr>
        <w:t xml:space="preserve"> </w:t>
      </w:r>
    </w:p>
    <w:p w14:paraId="6C0FC0F8" w14:textId="76FC11AC" w:rsidR="00D628DA" w:rsidRPr="00950A15" w:rsidRDefault="00FE0C6B" w:rsidP="00007D61">
      <w:pPr>
        <w:numPr>
          <w:ilvl w:val="0"/>
          <w:numId w:val="8"/>
        </w:numPr>
        <w:jc w:val="both"/>
        <w:rPr>
          <w:sz w:val="22"/>
          <w:szCs w:val="22"/>
        </w:rPr>
      </w:pPr>
      <w:r w:rsidRPr="00950A15">
        <w:rPr>
          <w:sz w:val="22"/>
          <w:szCs w:val="22"/>
        </w:rPr>
        <w:t>R</w:t>
      </w:r>
      <w:r w:rsidR="00D628DA" w:rsidRPr="00950A15">
        <w:rPr>
          <w:sz w:val="22"/>
          <w:szCs w:val="22"/>
        </w:rPr>
        <w:t>eactive maintenance costs to our</w:t>
      </w:r>
      <w:r w:rsidR="007B52D0" w:rsidRPr="00950A15">
        <w:rPr>
          <w:sz w:val="22"/>
          <w:szCs w:val="22"/>
        </w:rPr>
        <w:t xml:space="preserve"> socia</w:t>
      </w:r>
      <w:r w:rsidR="00331468" w:rsidRPr="00950A15">
        <w:rPr>
          <w:sz w:val="22"/>
          <w:szCs w:val="22"/>
        </w:rPr>
        <w:t xml:space="preserve">l letting properties </w:t>
      </w:r>
      <w:r w:rsidRPr="0092743B">
        <w:rPr>
          <w:sz w:val="22"/>
          <w:szCs w:val="22"/>
        </w:rPr>
        <w:t>of £1</w:t>
      </w:r>
      <w:r w:rsidR="00680777" w:rsidRPr="0092743B">
        <w:rPr>
          <w:sz w:val="22"/>
          <w:szCs w:val="22"/>
        </w:rPr>
        <w:t>1.</w:t>
      </w:r>
      <w:r w:rsidR="00E76016" w:rsidRPr="0092743B">
        <w:rPr>
          <w:sz w:val="22"/>
          <w:szCs w:val="22"/>
        </w:rPr>
        <w:t>8</w:t>
      </w:r>
      <w:r w:rsidRPr="0092743B">
        <w:rPr>
          <w:sz w:val="22"/>
          <w:szCs w:val="22"/>
        </w:rPr>
        <w:t>m</w:t>
      </w:r>
      <w:r w:rsidRPr="00950A15">
        <w:rPr>
          <w:sz w:val="22"/>
          <w:szCs w:val="22"/>
        </w:rPr>
        <w:t xml:space="preserve"> </w:t>
      </w:r>
      <w:r w:rsidR="00331468" w:rsidRPr="00950A15">
        <w:rPr>
          <w:sz w:val="22"/>
          <w:szCs w:val="22"/>
        </w:rPr>
        <w:t>(202</w:t>
      </w:r>
      <w:r w:rsidR="0082724B" w:rsidRPr="00950A15">
        <w:rPr>
          <w:sz w:val="22"/>
          <w:szCs w:val="22"/>
        </w:rPr>
        <w:t>3</w:t>
      </w:r>
      <w:r w:rsidR="00331468" w:rsidRPr="00950A15">
        <w:rPr>
          <w:sz w:val="22"/>
          <w:szCs w:val="22"/>
        </w:rPr>
        <w:t>: £</w:t>
      </w:r>
      <w:r w:rsidR="00090B95" w:rsidRPr="00950A15">
        <w:rPr>
          <w:sz w:val="22"/>
          <w:szCs w:val="22"/>
        </w:rPr>
        <w:t>1</w:t>
      </w:r>
      <w:r w:rsidR="0082724B" w:rsidRPr="00950A15">
        <w:rPr>
          <w:sz w:val="22"/>
          <w:szCs w:val="22"/>
        </w:rPr>
        <w:t>1</w:t>
      </w:r>
      <w:r w:rsidR="00090B95" w:rsidRPr="00950A15">
        <w:rPr>
          <w:sz w:val="22"/>
          <w:szCs w:val="22"/>
        </w:rPr>
        <w:t>.3</w:t>
      </w:r>
      <w:r w:rsidR="00D628DA" w:rsidRPr="00950A15">
        <w:rPr>
          <w:sz w:val="22"/>
          <w:szCs w:val="22"/>
        </w:rPr>
        <w:t>m).</w:t>
      </w:r>
    </w:p>
    <w:p w14:paraId="336AD53E" w14:textId="63D93EF3" w:rsidR="001B5B2E" w:rsidRPr="00824146" w:rsidRDefault="00FE0C6B" w:rsidP="009F69C5">
      <w:pPr>
        <w:pStyle w:val="ListParagraph"/>
        <w:numPr>
          <w:ilvl w:val="0"/>
          <w:numId w:val="22"/>
        </w:numPr>
        <w:jc w:val="both"/>
        <w:rPr>
          <w:sz w:val="22"/>
          <w:szCs w:val="22"/>
        </w:rPr>
      </w:pPr>
      <w:r w:rsidRPr="00950A15">
        <w:rPr>
          <w:sz w:val="22"/>
          <w:szCs w:val="22"/>
        </w:rPr>
        <w:t>P</w:t>
      </w:r>
      <w:r w:rsidR="00D628DA" w:rsidRPr="00950A15">
        <w:rPr>
          <w:sz w:val="22"/>
          <w:szCs w:val="22"/>
        </w:rPr>
        <w:t xml:space="preserve">lanned and cyclical maintenance costs including major repair costs to improve our </w:t>
      </w:r>
      <w:r w:rsidR="00D628DA" w:rsidRPr="00824146">
        <w:rPr>
          <w:sz w:val="22"/>
          <w:szCs w:val="22"/>
        </w:rPr>
        <w:t>socia</w:t>
      </w:r>
      <w:r w:rsidR="00B64734" w:rsidRPr="00824146">
        <w:rPr>
          <w:sz w:val="22"/>
          <w:szCs w:val="22"/>
        </w:rPr>
        <w:t>l housing properties</w:t>
      </w:r>
      <w:r w:rsidRPr="00824146">
        <w:rPr>
          <w:sz w:val="22"/>
          <w:szCs w:val="22"/>
        </w:rPr>
        <w:t xml:space="preserve"> of £</w:t>
      </w:r>
      <w:r w:rsidR="00950A15" w:rsidRPr="00824146">
        <w:rPr>
          <w:sz w:val="22"/>
          <w:szCs w:val="22"/>
        </w:rPr>
        <w:t>2.8</w:t>
      </w:r>
      <w:r w:rsidRPr="00824146">
        <w:rPr>
          <w:sz w:val="22"/>
          <w:szCs w:val="22"/>
        </w:rPr>
        <w:t>m</w:t>
      </w:r>
      <w:r w:rsidR="00B64734" w:rsidRPr="00824146">
        <w:rPr>
          <w:sz w:val="22"/>
          <w:szCs w:val="22"/>
        </w:rPr>
        <w:t xml:space="preserve"> (</w:t>
      </w:r>
      <w:r w:rsidR="00331468" w:rsidRPr="00824146">
        <w:rPr>
          <w:sz w:val="22"/>
          <w:szCs w:val="22"/>
        </w:rPr>
        <w:t>202</w:t>
      </w:r>
      <w:r w:rsidR="0082724B" w:rsidRPr="00824146">
        <w:rPr>
          <w:sz w:val="22"/>
          <w:szCs w:val="22"/>
        </w:rPr>
        <w:t>3</w:t>
      </w:r>
      <w:r w:rsidR="00331468" w:rsidRPr="00824146">
        <w:rPr>
          <w:sz w:val="22"/>
          <w:szCs w:val="22"/>
        </w:rPr>
        <w:t>: £</w:t>
      </w:r>
      <w:r w:rsidR="00090B95" w:rsidRPr="00824146">
        <w:rPr>
          <w:sz w:val="22"/>
          <w:szCs w:val="22"/>
        </w:rPr>
        <w:t>3.</w:t>
      </w:r>
      <w:r w:rsidR="0082724B" w:rsidRPr="00824146">
        <w:rPr>
          <w:sz w:val="22"/>
          <w:szCs w:val="22"/>
        </w:rPr>
        <w:t>7</w:t>
      </w:r>
      <w:r w:rsidR="00090B95" w:rsidRPr="00824146">
        <w:rPr>
          <w:sz w:val="22"/>
          <w:szCs w:val="22"/>
        </w:rPr>
        <w:t>m</w:t>
      </w:r>
      <w:r w:rsidR="00D628DA" w:rsidRPr="00824146">
        <w:rPr>
          <w:sz w:val="22"/>
          <w:szCs w:val="22"/>
        </w:rPr>
        <w:t>)</w:t>
      </w:r>
      <w:r w:rsidR="00A94FBC" w:rsidRPr="00824146">
        <w:rPr>
          <w:sz w:val="22"/>
          <w:szCs w:val="22"/>
        </w:rPr>
        <w:t>.</w:t>
      </w:r>
    </w:p>
    <w:p w14:paraId="24837BC6" w14:textId="51C9086C" w:rsidR="00F22CDF" w:rsidRPr="00824146" w:rsidRDefault="00D628DA" w:rsidP="009F69C5">
      <w:pPr>
        <w:pStyle w:val="ListParagraph"/>
        <w:numPr>
          <w:ilvl w:val="0"/>
          <w:numId w:val="22"/>
        </w:numPr>
        <w:jc w:val="both"/>
        <w:rPr>
          <w:sz w:val="22"/>
          <w:szCs w:val="22"/>
        </w:rPr>
      </w:pPr>
      <w:r w:rsidRPr="00824146">
        <w:rPr>
          <w:sz w:val="22"/>
          <w:szCs w:val="22"/>
        </w:rPr>
        <w:t>Depreciation expenditure</w:t>
      </w:r>
      <w:r w:rsidR="005A071E" w:rsidRPr="00824146">
        <w:rPr>
          <w:sz w:val="22"/>
          <w:szCs w:val="22"/>
        </w:rPr>
        <w:t xml:space="preserve">, for social and non-social housing assets </w:t>
      </w:r>
      <w:r w:rsidR="006E5958" w:rsidRPr="00824146">
        <w:rPr>
          <w:sz w:val="22"/>
          <w:szCs w:val="22"/>
        </w:rPr>
        <w:t xml:space="preserve">of </w:t>
      </w:r>
      <w:r w:rsidR="00331468" w:rsidRPr="00824146">
        <w:rPr>
          <w:sz w:val="22"/>
          <w:szCs w:val="22"/>
        </w:rPr>
        <w:t>£</w:t>
      </w:r>
      <w:r w:rsidR="008C4412" w:rsidRPr="00824146">
        <w:rPr>
          <w:sz w:val="22"/>
          <w:szCs w:val="22"/>
        </w:rPr>
        <w:t>1</w:t>
      </w:r>
      <w:r w:rsidR="00824146" w:rsidRPr="00824146">
        <w:rPr>
          <w:sz w:val="22"/>
          <w:szCs w:val="22"/>
        </w:rPr>
        <w:t>3.3</w:t>
      </w:r>
      <w:r w:rsidR="00331468" w:rsidRPr="00824146">
        <w:rPr>
          <w:sz w:val="22"/>
          <w:szCs w:val="22"/>
        </w:rPr>
        <w:t>m (202</w:t>
      </w:r>
      <w:r w:rsidR="0082724B" w:rsidRPr="00824146">
        <w:rPr>
          <w:sz w:val="22"/>
          <w:szCs w:val="22"/>
        </w:rPr>
        <w:t>3</w:t>
      </w:r>
      <w:r w:rsidR="00331468" w:rsidRPr="00824146">
        <w:rPr>
          <w:sz w:val="22"/>
          <w:szCs w:val="22"/>
        </w:rPr>
        <w:t>: £</w:t>
      </w:r>
      <w:r w:rsidR="00090B95" w:rsidRPr="00824146">
        <w:rPr>
          <w:sz w:val="22"/>
          <w:szCs w:val="22"/>
        </w:rPr>
        <w:t>1</w:t>
      </w:r>
      <w:r w:rsidR="0082724B" w:rsidRPr="00824146">
        <w:rPr>
          <w:sz w:val="22"/>
          <w:szCs w:val="22"/>
        </w:rPr>
        <w:t>2</w:t>
      </w:r>
      <w:r w:rsidR="00090B95" w:rsidRPr="00824146">
        <w:rPr>
          <w:sz w:val="22"/>
          <w:szCs w:val="22"/>
        </w:rPr>
        <w:t>.4m</w:t>
      </w:r>
      <w:r w:rsidRPr="00824146">
        <w:rPr>
          <w:sz w:val="22"/>
          <w:szCs w:val="22"/>
        </w:rPr>
        <w:t>)</w:t>
      </w:r>
      <w:r w:rsidR="00F402A0" w:rsidRPr="00824146">
        <w:rPr>
          <w:sz w:val="22"/>
          <w:szCs w:val="22"/>
        </w:rPr>
        <w:t>.</w:t>
      </w:r>
      <w:r w:rsidR="00323774" w:rsidRPr="00824146">
        <w:rPr>
          <w:sz w:val="22"/>
          <w:szCs w:val="22"/>
        </w:rPr>
        <w:t xml:space="preserve"> </w:t>
      </w:r>
    </w:p>
    <w:p w14:paraId="5C655598" w14:textId="774D4DE7" w:rsidR="0089546E" w:rsidRPr="00852915" w:rsidRDefault="001F4F5C" w:rsidP="009F69C5">
      <w:pPr>
        <w:pStyle w:val="ListParagraph"/>
        <w:numPr>
          <w:ilvl w:val="0"/>
          <w:numId w:val="22"/>
        </w:numPr>
        <w:jc w:val="both"/>
        <w:rPr>
          <w:sz w:val="22"/>
          <w:szCs w:val="22"/>
        </w:rPr>
      </w:pPr>
      <w:r w:rsidRPr="00852915">
        <w:rPr>
          <w:sz w:val="22"/>
          <w:szCs w:val="22"/>
        </w:rPr>
        <w:t>Donations to Wheatley Foundation of £</w:t>
      </w:r>
      <w:r w:rsidR="00852915" w:rsidRPr="00852915">
        <w:rPr>
          <w:sz w:val="22"/>
          <w:szCs w:val="22"/>
        </w:rPr>
        <w:t>0.6</w:t>
      </w:r>
      <w:r w:rsidR="004B4FDF" w:rsidRPr="00852915">
        <w:rPr>
          <w:sz w:val="22"/>
          <w:szCs w:val="22"/>
        </w:rPr>
        <w:t>m</w:t>
      </w:r>
      <w:r w:rsidR="00FE0C6B" w:rsidRPr="00852915">
        <w:rPr>
          <w:sz w:val="22"/>
          <w:szCs w:val="22"/>
        </w:rPr>
        <w:t xml:space="preserve"> (202</w:t>
      </w:r>
      <w:r w:rsidR="0082724B" w:rsidRPr="00852915">
        <w:rPr>
          <w:sz w:val="22"/>
          <w:szCs w:val="22"/>
        </w:rPr>
        <w:t>3</w:t>
      </w:r>
      <w:r w:rsidR="00FE0C6B" w:rsidRPr="00852915">
        <w:rPr>
          <w:sz w:val="22"/>
          <w:szCs w:val="22"/>
        </w:rPr>
        <w:t xml:space="preserve">: </w:t>
      </w:r>
      <w:r w:rsidR="00663AF5" w:rsidRPr="00852915">
        <w:rPr>
          <w:sz w:val="22"/>
          <w:szCs w:val="22"/>
        </w:rPr>
        <w:t>£1.9m</w:t>
      </w:r>
      <w:r w:rsidR="00FE0C6B" w:rsidRPr="00852915">
        <w:rPr>
          <w:sz w:val="22"/>
          <w:szCs w:val="22"/>
        </w:rPr>
        <w:t>)</w:t>
      </w:r>
      <w:r w:rsidR="000B1348" w:rsidRPr="00852915">
        <w:rPr>
          <w:sz w:val="22"/>
          <w:szCs w:val="22"/>
        </w:rPr>
        <w:t xml:space="preserve"> associated with our wide</w:t>
      </w:r>
      <w:r w:rsidR="00C71F64">
        <w:rPr>
          <w:sz w:val="22"/>
          <w:szCs w:val="22"/>
        </w:rPr>
        <w:t>r</w:t>
      </w:r>
      <w:r w:rsidR="000B1348" w:rsidRPr="00852915">
        <w:rPr>
          <w:sz w:val="22"/>
          <w:szCs w:val="22"/>
        </w:rPr>
        <w:t xml:space="preserve"> role in supporting communities</w:t>
      </w:r>
      <w:r w:rsidR="00696EFF">
        <w:rPr>
          <w:sz w:val="22"/>
          <w:szCs w:val="22"/>
        </w:rPr>
        <w:t xml:space="preserve"> in this financially challenging period. </w:t>
      </w:r>
    </w:p>
    <w:p w14:paraId="63302302" w14:textId="77777777" w:rsidR="00412A4B" w:rsidRPr="003029F6" w:rsidRDefault="00412A4B" w:rsidP="00412A4B">
      <w:pPr>
        <w:ind w:left="1080"/>
        <w:jc w:val="both"/>
        <w:rPr>
          <w:sz w:val="22"/>
          <w:szCs w:val="22"/>
        </w:rPr>
      </w:pPr>
    </w:p>
    <w:p w14:paraId="5AE88B2C" w14:textId="68460A27" w:rsidR="00C94CEF" w:rsidRPr="00F83460" w:rsidRDefault="00D628DA" w:rsidP="00C94CEF">
      <w:pPr>
        <w:jc w:val="both"/>
        <w:rPr>
          <w:sz w:val="22"/>
          <w:szCs w:val="22"/>
        </w:rPr>
      </w:pPr>
      <w:r w:rsidRPr="00864F4A">
        <w:rPr>
          <w:sz w:val="22"/>
          <w:szCs w:val="22"/>
        </w:rPr>
        <w:t>Other expen</w:t>
      </w:r>
      <w:r w:rsidR="004E3D9D" w:rsidRPr="00864F4A">
        <w:rPr>
          <w:sz w:val="22"/>
          <w:szCs w:val="22"/>
        </w:rPr>
        <w:t>diture in the year includes</w:t>
      </w:r>
      <w:r w:rsidR="004F6D86" w:rsidRPr="00864F4A">
        <w:rPr>
          <w:sz w:val="22"/>
          <w:szCs w:val="22"/>
        </w:rPr>
        <w:t xml:space="preserve"> finance charg</w:t>
      </w:r>
      <w:r w:rsidR="004F6D86" w:rsidRPr="00693C3F">
        <w:rPr>
          <w:sz w:val="22"/>
          <w:szCs w:val="22"/>
        </w:rPr>
        <w:t>es of</w:t>
      </w:r>
      <w:r w:rsidR="004E3D9D" w:rsidRPr="00693C3F">
        <w:rPr>
          <w:sz w:val="22"/>
          <w:szCs w:val="22"/>
        </w:rPr>
        <w:t xml:space="preserve"> </w:t>
      </w:r>
      <w:r w:rsidR="00693C3F" w:rsidRPr="00693C3F">
        <w:rPr>
          <w:sz w:val="22"/>
          <w:szCs w:val="22"/>
        </w:rPr>
        <w:t>£6.5</w:t>
      </w:r>
      <w:r w:rsidR="00F67B75" w:rsidRPr="00693C3F">
        <w:rPr>
          <w:sz w:val="22"/>
          <w:szCs w:val="22"/>
        </w:rPr>
        <w:t>m</w:t>
      </w:r>
      <w:r w:rsidR="00A54642" w:rsidRPr="00693C3F">
        <w:rPr>
          <w:sz w:val="22"/>
          <w:szCs w:val="22"/>
        </w:rPr>
        <w:t xml:space="preserve"> (202</w:t>
      </w:r>
      <w:r w:rsidR="00663AF5" w:rsidRPr="00693C3F">
        <w:rPr>
          <w:sz w:val="22"/>
          <w:szCs w:val="22"/>
        </w:rPr>
        <w:t>3</w:t>
      </w:r>
      <w:r w:rsidR="00E82999" w:rsidRPr="00693C3F">
        <w:rPr>
          <w:sz w:val="22"/>
          <w:szCs w:val="22"/>
        </w:rPr>
        <w:t>: £</w:t>
      </w:r>
      <w:r w:rsidR="00663AF5" w:rsidRPr="00693C3F">
        <w:rPr>
          <w:sz w:val="22"/>
          <w:szCs w:val="22"/>
        </w:rPr>
        <w:t>5.3</w:t>
      </w:r>
      <w:r w:rsidR="00E82999" w:rsidRPr="00693C3F">
        <w:rPr>
          <w:sz w:val="22"/>
          <w:szCs w:val="22"/>
        </w:rPr>
        <w:t>m)</w:t>
      </w:r>
      <w:r w:rsidR="00C94CEF">
        <w:rPr>
          <w:sz w:val="22"/>
          <w:szCs w:val="22"/>
        </w:rPr>
        <w:t xml:space="preserve"> </w:t>
      </w:r>
      <w:r w:rsidR="00C94CEF" w:rsidRPr="00F83460">
        <w:rPr>
          <w:sz w:val="22"/>
          <w:szCs w:val="22"/>
        </w:rPr>
        <w:t>which is mainly interest on intra group loans</w:t>
      </w:r>
      <w:r w:rsidR="00C94CEF">
        <w:rPr>
          <w:sz w:val="22"/>
          <w:szCs w:val="22"/>
        </w:rPr>
        <w:t xml:space="preserve"> which are used to fund the development on new build housing</w:t>
      </w:r>
      <w:r w:rsidR="00C94CEF" w:rsidRPr="00F83460">
        <w:rPr>
          <w:sz w:val="22"/>
          <w:szCs w:val="22"/>
        </w:rPr>
        <w:t>.</w:t>
      </w:r>
    </w:p>
    <w:p w14:paraId="50234427" w14:textId="77777777" w:rsidR="00FF1217" w:rsidRPr="00D62E8F" w:rsidRDefault="00FF1217" w:rsidP="00885093">
      <w:pPr>
        <w:jc w:val="both"/>
        <w:rPr>
          <w:sz w:val="22"/>
          <w:szCs w:val="22"/>
          <w:highlight w:val="yellow"/>
        </w:rPr>
      </w:pPr>
    </w:p>
    <w:p w14:paraId="2BD27B52" w14:textId="77777777" w:rsidR="006E1431" w:rsidRDefault="006E1431" w:rsidP="00D235A0">
      <w:pPr>
        <w:jc w:val="both"/>
        <w:rPr>
          <w:sz w:val="22"/>
          <w:szCs w:val="22"/>
        </w:rPr>
      </w:pPr>
    </w:p>
    <w:p w14:paraId="3E7C33D4" w14:textId="77777777" w:rsidR="006E1431" w:rsidRDefault="006E1431" w:rsidP="00D235A0">
      <w:pPr>
        <w:jc w:val="both"/>
        <w:rPr>
          <w:sz w:val="22"/>
          <w:szCs w:val="22"/>
        </w:rPr>
      </w:pPr>
    </w:p>
    <w:p w14:paraId="65F9CBA3" w14:textId="77777777" w:rsidR="006E1431" w:rsidRDefault="006E1431" w:rsidP="00D235A0">
      <w:pPr>
        <w:jc w:val="both"/>
        <w:rPr>
          <w:sz w:val="22"/>
          <w:szCs w:val="22"/>
        </w:rPr>
      </w:pPr>
    </w:p>
    <w:p w14:paraId="739E5C2D" w14:textId="77777777" w:rsidR="006E1431" w:rsidRDefault="006E1431" w:rsidP="00D235A0">
      <w:pPr>
        <w:jc w:val="both"/>
        <w:rPr>
          <w:sz w:val="22"/>
          <w:szCs w:val="22"/>
        </w:rPr>
      </w:pPr>
    </w:p>
    <w:p w14:paraId="307186D6" w14:textId="77777777" w:rsidR="006E1431" w:rsidRDefault="006E1431" w:rsidP="00D235A0">
      <w:pPr>
        <w:jc w:val="both"/>
        <w:rPr>
          <w:sz w:val="22"/>
          <w:szCs w:val="22"/>
        </w:rPr>
      </w:pPr>
    </w:p>
    <w:p w14:paraId="7965C50F" w14:textId="77777777" w:rsidR="00F040C0" w:rsidRDefault="00F040C0">
      <w:pPr>
        <w:rPr>
          <w:b/>
        </w:rPr>
      </w:pPr>
      <w:r>
        <w:rPr>
          <w:b/>
        </w:rPr>
        <w:br w:type="page"/>
      </w:r>
    </w:p>
    <w:p w14:paraId="15E64027" w14:textId="59F7257B" w:rsidR="006E1431" w:rsidRPr="00520960" w:rsidRDefault="006E1431" w:rsidP="006E1431">
      <w:pPr>
        <w:jc w:val="both"/>
        <w:rPr>
          <w:b/>
        </w:rPr>
      </w:pPr>
      <w:r w:rsidRPr="00520960">
        <w:rPr>
          <w:b/>
        </w:rPr>
        <w:lastRenderedPageBreak/>
        <w:t>STRATEGIC REPORT (continued)</w:t>
      </w:r>
    </w:p>
    <w:p w14:paraId="3D37DB01" w14:textId="77777777" w:rsidR="006E1431" w:rsidRPr="00520960" w:rsidRDefault="006E1431" w:rsidP="006E1431">
      <w:pPr>
        <w:pStyle w:val="ACText"/>
        <w:spacing w:before="0"/>
        <w:rPr>
          <w:b/>
          <w:sz w:val="22"/>
          <w:szCs w:val="22"/>
        </w:rPr>
      </w:pPr>
    </w:p>
    <w:p w14:paraId="22D9901B" w14:textId="77777777" w:rsidR="006E1431" w:rsidRPr="00520960" w:rsidRDefault="006E1431" w:rsidP="006E1431">
      <w:pPr>
        <w:pStyle w:val="ACText"/>
        <w:spacing w:before="0"/>
        <w:rPr>
          <w:b/>
          <w:sz w:val="22"/>
          <w:szCs w:val="22"/>
        </w:rPr>
      </w:pPr>
      <w:r w:rsidRPr="00520960">
        <w:rPr>
          <w:b/>
          <w:sz w:val="22"/>
          <w:szCs w:val="22"/>
        </w:rPr>
        <w:t>FINANCIAL REVIEW (continued)</w:t>
      </w:r>
    </w:p>
    <w:p w14:paraId="2C16F54D" w14:textId="77777777" w:rsidR="006E1431" w:rsidRDefault="006E1431" w:rsidP="00D235A0">
      <w:pPr>
        <w:jc w:val="both"/>
        <w:rPr>
          <w:sz w:val="22"/>
          <w:szCs w:val="22"/>
        </w:rPr>
      </w:pPr>
    </w:p>
    <w:p w14:paraId="52AFA6C3" w14:textId="691D8227" w:rsidR="00D235A0" w:rsidRDefault="00D235A0" w:rsidP="00D235A0">
      <w:pPr>
        <w:jc w:val="both"/>
        <w:rPr>
          <w:sz w:val="22"/>
          <w:szCs w:val="22"/>
        </w:rPr>
      </w:pPr>
      <w:r w:rsidRPr="00280C88">
        <w:rPr>
          <w:sz w:val="22"/>
          <w:szCs w:val="22"/>
        </w:rPr>
        <w:t>Social housing properties increased in value by £</w:t>
      </w:r>
      <w:r w:rsidR="003612EE">
        <w:rPr>
          <w:sz w:val="22"/>
          <w:szCs w:val="22"/>
        </w:rPr>
        <w:t>12.6</w:t>
      </w:r>
      <w:r w:rsidRPr="00280C88">
        <w:rPr>
          <w:sz w:val="22"/>
          <w:szCs w:val="22"/>
        </w:rPr>
        <w:t>m representing the long-term value of investment in customers’ homes and the investment in the new-build programme. While the valuation of social and mid-market rent properties increased this year, the basis of the Existing Use for Social Housing Valuation methodology (“EUV-SH”) will not always reflect the scale of capital investment spend in the year. Our commitment to keep rents affordable for tenants will also create a downward valuation movement in circumstances where inflation is increasing.</w:t>
      </w:r>
    </w:p>
    <w:p w14:paraId="205880C4" w14:textId="77777777" w:rsidR="004F477E" w:rsidRDefault="004F477E" w:rsidP="00885093">
      <w:pPr>
        <w:jc w:val="both"/>
        <w:rPr>
          <w:rFonts w:eastAsia="Calibri"/>
          <w:sz w:val="22"/>
          <w:szCs w:val="22"/>
          <w:lang w:eastAsia="en-GB"/>
        </w:rPr>
      </w:pPr>
    </w:p>
    <w:p w14:paraId="275BF357" w14:textId="77777777" w:rsidR="00D628DA" w:rsidRPr="00333150" w:rsidRDefault="00D628DA" w:rsidP="00885093">
      <w:pPr>
        <w:jc w:val="both"/>
        <w:rPr>
          <w:rFonts w:eastAsia="Calibri"/>
          <w:b/>
          <w:sz w:val="22"/>
          <w:szCs w:val="22"/>
          <w:lang w:eastAsia="en-GB"/>
        </w:rPr>
      </w:pPr>
      <w:r w:rsidRPr="00333150">
        <w:rPr>
          <w:rFonts w:eastAsia="Calibri"/>
          <w:b/>
          <w:sz w:val="22"/>
          <w:szCs w:val="22"/>
          <w:lang w:eastAsia="en-GB"/>
        </w:rPr>
        <w:t>Cashflows</w:t>
      </w:r>
    </w:p>
    <w:p w14:paraId="0D93080E" w14:textId="475561BE" w:rsidR="00DD182F" w:rsidRPr="00B7509F" w:rsidRDefault="00D628DA" w:rsidP="00DD182F">
      <w:pPr>
        <w:jc w:val="both"/>
        <w:rPr>
          <w:rFonts w:eastAsia="Calibri"/>
          <w:sz w:val="22"/>
          <w:szCs w:val="22"/>
          <w:lang w:eastAsia="en-GB"/>
        </w:rPr>
      </w:pPr>
      <w:r w:rsidRPr="00B7509F">
        <w:rPr>
          <w:rFonts w:eastAsia="Calibri"/>
          <w:sz w:val="22"/>
          <w:szCs w:val="22"/>
          <w:lang w:eastAsia="en-GB"/>
        </w:rPr>
        <w:t xml:space="preserve">The cash flow statement of </w:t>
      </w:r>
      <w:r w:rsidR="00C60D79" w:rsidRPr="00B7509F">
        <w:rPr>
          <w:rFonts w:eastAsia="Calibri"/>
          <w:sz w:val="22"/>
          <w:szCs w:val="22"/>
          <w:lang w:eastAsia="en-GB"/>
        </w:rPr>
        <w:t>WHS</w:t>
      </w:r>
      <w:r w:rsidRPr="00B7509F">
        <w:rPr>
          <w:rFonts w:eastAsia="Calibri"/>
          <w:sz w:val="22"/>
          <w:szCs w:val="22"/>
          <w:lang w:eastAsia="en-GB"/>
        </w:rPr>
        <w:t xml:space="preserve"> is shown </w:t>
      </w:r>
      <w:r w:rsidRPr="00FB2798">
        <w:rPr>
          <w:rFonts w:eastAsia="Calibri"/>
          <w:sz w:val="22"/>
          <w:szCs w:val="22"/>
          <w:lang w:eastAsia="en-GB"/>
        </w:rPr>
        <w:t xml:space="preserve">on </w:t>
      </w:r>
      <w:r w:rsidR="00151875" w:rsidRPr="00FB2798">
        <w:rPr>
          <w:rFonts w:eastAsia="Calibri"/>
          <w:sz w:val="22"/>
          <w:szCs w:val="22"/>
          <w:lang w:eastAsia="en-GB"/>
        </w:rPr>
        <w:t xml:space="preserve">page </w:t>
      </w:r>
      <w:r w:rsidR="00DE5268">
        <w:rPr>
          <w:rFonts w:eastAsia="Calibri"/>
          <w:sz w:val="22"/>
          <w:szCs w:val="22"/>
          <w:lang w:eastAsia="en-GB"/>
        </w:rPr>
        <w:t>20</w:t>
      </w:r>
      <w:r w:rsidRPr="00FB2798">
        <w:rPr>
          <w:rFonts w:eastAsia="Calibri"/>
          <w:sz w:val="22"/>
          <w:szCs w:val="22"/>
          <w:lang w:eastAsia="en-GB"/>
        </w:rPr>
        <w:t>.</w:t>
      </w:r>
      <w:r w:rsidRPr="00B7509F">
        <w:rPr>
          <w:rFonts w:eastAsia="Calibri"/>
          <w:sz w:val="22"/>
          <w:szCs w:val="22"/>
          <w:lang w:eastAsia="en-GB"/>
        </w:rPr>
        <w:t> </w:t>
      </w:r>
      <w:r w:rsidR="00C60D79" w:rsidRPr="00B7509F">
        <w:rPr>
          <w:rFonts w:eastAsia="Calibri"/>
          <w:sz w:val="22"/>
          <w:szCs w:val="22"/>
          <w:lang w:eastAsia="en-GB"/>
        </w:rPr>
        <w:t>WHS</w:t>
      </w:r>
      <w:r w:rsidR="00B871CB" w:rsidRPr="00B7509F">
        <w:rPr>
          <w:rFonts w:eastAsia="Calibri"/>
          <w:sz w:val="22"/>
          <w:szCs w:val="22"/>
          <w:lang w:eastAsia="en-GB"/>
        </w:rPr>
        <w:t xml:space="preserve"> </w:t>
      </w:r>
      <w:r w:rsidR="00874DF2">
        <w:rPr>
          <w:rFonts w:eastAsia="Calibri"/>
          <w:sz w:val="22"/>
          <w:szCs w:val="22"/>
          <w:lang w:eastAsia="en-GB"/>
        </w:rPr>
        <w:t xml:space="preserve">continued to </w:t>
      </w:r>
      <w:r w:rsidR="00810054">
        <w:rPr>
          <w:rFonts w:eastAsia="Calibri"/>
          <w:sz w:val="22"/>
          <w:szCs w:val="22"/>
          <w:lang w:eastAsia="en-GB"/>
        </w:rPr>
        <w:t>deliver strong levels of cash with</w:t>
      </w:r>
      <w:r w:rsidRPr="004744D1">
        <w:rPr>
          <w:rFonts w:eastAsia="Calibri"/>
          <w:sz w:val="22"/>
          <w:szCs w:val="22"/>
          <w:lang w:eastAsia="en-GB"/>
        </w:rPr>
        <w:t xml:space="preserve"> </w:t>
      </w:r>
      <w:r w:rsidR="00A54642" w:rsidRPr="004744D1">
        <w:rPr>
          <w:rFonts w:eastAsia="Calibri"/>
          <w:sz w:val="22"/>
          <w:szCs w:val="22"/>
          <w:lang w:eastAsia="en-GB"/>
        </w:rPr>
        <w:t>£</w:t>
      </w:r>
      <w:r w:rsidR="00341F6E" w:rsidRPr="004744D1">
        <w:rPr>
          <w:rFonts w:eastAsia="Calibri"/>
          <w:sz w:val="22"/>
          <w:szCs w:val="22"/>
          <w:lang w:eastAsia="en-GB"/>
        </w:rPr>
        <w:t>2</w:t>
      </w:r>
      <w:r w:rsidR="004744D1" w:rsidRPr="004744D1">
        <w:rPr>
          <w:rFonts w:eastAsia="Calibri"/>
          <w:sz w:val="22"/>
          <w:szCs w:val="22"/>
          <w:lang w:eastAsia="en-GB"/>
        </w:rPr>
        <w:t>7.8</w:t>
      </w:r>
      <w:r w:rsidR="006B217B" w:rsidRPr="004744D1">
        <w:rPr>
          <w:rFonts w:eastAsia="Calibri"/>
          <w:sz w:val="22"/>
          <w:szCs w:val="22"/>
          <w:lang w:eastAsia="en-GB"/>
        </w:rPr>
        <w:t>m</w:t>
      </w:r>
      <w:r w:rsidR="00AA3059" w:rsidRPr="004744D1">
        <w:rPr>
          <w:rFonts w:eastAsia="Calibri"/>
          <w:sz w:val="22"/>
          <w:szCs w:val="22"/>
          <w:lang w:eastAsia="en-GB"/>
        </w:rPr>
        <w:t xml:space="preserve"> </w:t>
      </w:r>
      <w:r w:rsidR="00200C2B">
        <w:rPr>
          <w:rFonts w:eastAsia="Calibri"/>
          <w:sz w:val="22"/>
          <w:szCs w:val="22"/>
          <w:lang w:eastAsia="en-GB"/>
        </w:rPr>
        <w:t xml:space="preserve">generating </w:t>
      </w:r>
      <w:r w:rsidR="00E60E47" w:rsidRPr="004744D1">
        <w:rPr>
          <w:rFonts w:eastAsia="Calibri"/>
          <w:sz w:val="22"/>
          <w:szCs w:val="22"/>
          <w:lang w:eastAsia="en-GB"/>
        </w:rPr>
        <w:t>from</w:t>
      </w:r>
      <w:r w:rsidR="00E60E47" w:rsidRPr="00B7509F">
        <w:rPr>
          <w:rFonts w:eastAsia="Calibri"/>
          <w:sz w:val="22"/>
          <w:szCs w:val="22"/>
          <w:lang w:eastAsia="en-GB"/>
        </w:rPr>
        <w:t xml:space="preserve"> </w:t>
      </w:r>
      <w:r w:rsidR="00A54642" w:rsidRPr="00B7509F">
        <w:rPr>
          <w:rFonts w:eastAsia="Calibri"/>
          <w:sz w:val="22"/>
          <w:szCs w:val="22"/>
          <w:lang w:eastAsia="en-GB"/>
        </w:rPr>
        <w:t>operating activities (202</w:t>
      </w:r>
      <w:r w:rsidR="00663AF5" w:rsidRPr="00B7509F">
        <w:rPr>
          <w:rFonts w:eastAsia="Calibri"/>
          <w:sz w:val="22"/>
          <w:szCs w:val="22"/>
          <w:lang w:eastAsia="en-GB"/>
        </w:rPr>
        <w:t>3</w:t>
      </w:r>
      <w:r w:rsidR="00E60E47" w:rsidRPr="00B7509F">
        <w:rPr>
          <w:rFonts w:eastAsia="Calibri"/>
          <w:sz w:val="22"/>
          <w:szCs w:val="22"/>
          <w:lang w:eastAsia="en-GB"/>
        </w:rPr>
        <w:t xml:space="preserve">: </w:t>
      </w:r>
      <w:r w:rsidR="004E3393" w:rsidRPr="00B7509F">
        <w:rPr>
          <w:rFonts w:eastAsia="Calibri"/>
          <w:sz w:val="22"/>
          <w:szCs w:val="22"/>
          <w:lang w:eastAsia="en-GB"/>
        </w:rPr>
        <w:t>£</w:t>
      </w:r>
      <w:r w:rsidR="00B3103F" w:rsidRPr="00B7509F">
        <w:rPr>
          <w:rFonts w:eastAsia="Calibri"/>
          <w:sz w:val="22"/>
          <w:szCs w:val="22"/>
          <w:lang w:eastAsia="en-GB"/>
        </w:rPr>
        <w:t>2</w:t>
      </w:r>
      <w:r w:rsidR="00663AF5" w:rsidRPr="00B7509F">
        <w:rPr>
          <w:rFonts w:eastAsia="Calibri"/>
          <w:sz w:val="22"/>
          <w:szCs w:val="22"/>
          <w:lang w:eastAsia="en-GB"/>
        </w:rPr>
        <w:t>0.5</w:t>
      </w:r>
      <w:r w:rsidRPr="00B7509F">
        <w:rPr>
          <w:rFonts w:eastAsia="Calibri"/>
          <w:sz w:val="22"/>
          <w:szCs w:val="22"/>
          <w:lang w:eastAsia="en-GB"/>
        </w:rPr>
        <w:t>m</w:t>
      </w:r>
      <w:r w:rsidR="00E60E47" w:rsidRPr="00B7509F">
        <w:rPr>
          <w:rFonts w:eastAsia="Calibri"/>
          <w:sz w:val="22"/>
          <w:szCs w:val="22"/>
          <w:lang w:eastAsia="en-GB"/>
        </w:rPr>
        <w:t>)</w:t>
      </w:r>
      <w:r w:rsidR="000524E3" w:rsidRPr="00B7509F">
        <w:rPr>
          <w:rFonts w:eastAsia="Calibri"/>
          <w:sz w:val="22"/>
          <w:szCs w:val="22"/>
          <w:lang w:eastAsia="en-GB"/>
        </w:rPr>
        <w:t xml:space="preserve">. </w:t>
      </w:r>
      <w:r w:rsidR="00A54642" w:rsidRPr="00B7509F">
        <w:rPr>
          <w:sz w:val="22"/>
          <w:szCs w:val="22"/>
        </w:rPr>
        <w:t>At 31 March 202</w:t>
      </w:r>
      <w:r w:rsidR="00663AF5" w:rsidRPr="00B7509F">
        <w:rPr>
          <w:sz w:val="22"/>
          <w:szCs w:val="22"/>
        </w:rPr>
        <w:t>4</w:t>
      </w:r>
      <w:r w:rsidR="00DD182F" w:rsidRPr="00B7509F">
        <w:rPr>
          <w:sz w:val="22"/>
          <w:szCs w:val="22"/>
        </w:rPr>
        <w:t xml:space="preserve">, cash </w:t>
      </w:r>
      <w:r w:rsidR="002E5C56" w:rsidRPr="00B7509F">
        <w:rPr>
          <w:sz w:val="22"/>
          <w:szCs w:val="22"/>
        </w:rPr>
        <w:t>and cash equival</w:t>
      </w:r>
      <w:r w:rsidR="002E5C56" w:rsidRPr="002C48F2">
        <w:rPr>
          <w:sz w:val="22"/>
          <w:szCs w:val="22"/>
        </w:rPr>
        <w:t>ents were £</w:t>
      </w:r>
      <w:r w:rsidR="004744D1" w:rsidRPr="002C48F2">
        <w:rPr>
          <w:sz w:val="22"/>
          <w:szCs w:val="22"/>
        </w:rPr>
        <w:t>5.2</w:t>
      </w:r>
      <w:r w:rsidR="00DD182F" w:rsidRPr="002C48F2">
        <w:rPr>
          <w:sz w:val="22"/>
          <w:szCs w:val="22"/>
        </w:rPr>
        <w:t>m; a</w:t>
      </w:r>
      <w:r w:rsidR="004744D1" w:rsidRPr="002C48F2">
        <w:rPr>
          <w:sz w:val="22"/>
          <w:szCs w:val="22"/>
        </w:rPr>
        <w:t>n in</w:t>
      </w:r>
      <w:r w:rsidR="00333150" w:rsidRPr="002C48F2">
        <w:rPr>
          <w:sz w:val="22"/>
          <w:szCs w:val="22"/>
        </w:rPr>
        <w:t>crease</w:t>
      </w:r>
      <w:r w:rsidR="002E5C56" w:rsidRPr="002C48F2">
        <w:rPr>
          <w:sz w:val="22"/>
          <w:szCs w:val="22"/>
        </w:rPr>
        <w:t xml:space="preserve"> of £</w:t>
      </w:r>
      <w:r w:rsidR="002C48F2" w:rsidRPr="002C48F2">
        <w:rPr>
          <w:sz w:val="22"/>
          <w:szCs w:val="22"/>
        </w:rPr>
        <w:t>1.7</w:t>
      </w:r>
      <w:r w:rsidR="00DD182F" w:rsidRPr="002C48F2">
        <w:rPr>
          <w:sz w:val="22"/>
          <w:szCs w:val="22"/>
        </w:rPr>
        <w:t>m in the year. This is a</w:t>
      </w:r>
      <w:r w:rsidR="00660260" w:rsidRPr="002C48F2">
        <w:rPr>
          <w:sz w:val="22"/>
          <w:szCs w:val="22"/>
        </w:rPr>
        <w:t>fter the investment of £</w:t>
      </w:r>
      <w:r w:rsidR="00CF1E54" w:rsidRPr="002C48F2">
        <w:rPr>
          <w:sz w:val="22"/>
          <w:szCs w:val="22"/>
        </w:rPr>
        <w:t>1</w:t>
      </w:r>
      <w:r w:rsidR="00B21103" w:rsidRPr="002C48F2">
        <w:rPr>
          <w:sz w:val="22"/>
          <w:szCs w:val="22"/>
        </w:rPr>
        <w:t>7</w:t>
      </w:r>
      <w:r w:rsidR="00CF1E54" w:rsidRPr="002C48F2">
        <w:rPr>
          <w:sz w:val="22"/>
          <w:szCs w:val="22"/>
        </w:rPr>
        <w:t>.</w:t>
      </w:r>
      <w:r w:rsidR="00E63AC5" w:rsidRPr="002C48F2">
        <w:rPr>
          <w:sz w:val="22"/>
          <w:szCs w:val="22"/>
        </w:rPr>
        <w:t>2</w:t>
      </w:r>
      <w:r w:rsidR="00660260" w:rsidRPr="002C48F2">
        <w:rPr>
          <w:sz w:val="22"/>
          <w:szCs w:val="22"/>
        </w:rPr>
        <w:t>m in existing</w:t>
      </w:r>
      <w:r w:rsidR="00660260" w:rsidRPr="00B7509F">
        <w:rPr>
          <w:sz w:val="22"/>
          <w:szCs w:val="22"/>
        </w:rPr>
        <w:t xml:space="preserve"> social housing properties and a further £</w:t>
      </w:r>
      <w:r w:rsidR="00061B12">
        <w:rPr>
          <w:sz w:val="22"/>
          <w:szCs w:val="22"/>
        </w:rPr>
        <w:t>24.</w:t>
      </w:r>
      <w:r w:rsidR="008A5F3C">
        <w:rPr>
          <w:sz w:val="22"/>
          <w:szCs w:val="22"/>
        </w:rPr>
        <w:t>3</w:t>
      </w:r>
      <w:r w:rsidR="00660260" w:rsidRPr="00B7509F">
        <w:rPr>
          <w:sz w:val="22"/>
          <w:szCs w:val="22"/>
        </w:rPr>
        <w:t>m in new build development after the receipt of £</w:t>
      </w:r>
      <w:r w:rsidR="00D676FF">
        <w:rPr>
          <w:sz w:val="22"/>
          <w:szCs w:val="22"/>
        </w:rPr>
        <w:t>12.8</w:t>
      </w:r>
      <w:r w:rsidR="00660260" w:rsidRPr="00B7509F">
        <w:rPr>
          <w:sz w:val="22"/>
          <w:szCs w:val="22"/>
        </w:rPr>
        <w:t>m grant income</w:t>
      </w:r>
      <w:r w:rsidR="00C053E0" w:rsidRPr="00B7509F">
        <w:rPr>
          <w:sz w:val="22"/>
          <w:szCs w:val="22"/>
        </w:rPr>
        <w:t xml:space="preserve"> during the year</w:t>
      </w:r>
      <w:r w:rsidR="00660260" w:rsidRPr="00B7509F">
        <w:rPr>
          <w:sz w:val="22"/>
          <w:szCs w:val="22"/>
        </w:rPr>
        <w:t xml:space="preserve"> to support the development programme.  </w:t>
      </w:r>
    </w:p>
    <w:p w14:paraId="5CA8C472" w14:textId="77777777" w:rsidR="00D628DA" w:rsidRPr="00D62E8F" w:rsidRDefault="00D628DA" w:rsidP="00885093">
      <w:pPr>
        <w:jc w:val="both"/>
        <w:rPr>
          <w:rFonts w:eastAsia="Calibri"/>
          <w:sz w:val="22"/>
          <w:szCs w:val="22"/>
          <w:highlight w:val="yellow"/>
          <w:lang w:eastAsia="en-GB"/>
        </w:rPr>
      </w:pPr>
    </w:p>
    <w:p w14:paraId="51852E91" w14:textId="77777777" w:rsidR="00D628DA" w:rsidRPr="00C33850" w:rsidRDefault="00D628DA" w:rsidP="00885093">
      <w:pPr>
        <w:jc w:val="both"/>
        <w:rPr>
          <w:rFonts w:eastAsia="Calibri"/>
          <w:b/>
          <w:sz w:val="22"/>
          <w:szCs w:val="22"/>
          <w:lang w:eastAsia="en-GB"/>
        </w:rPr>
      </w:pPr>
      <w:r w:rsidRPr="00C33850">
        <w:rPr>
          <w:rFonts w:eastAsia="Calibri"/>
          <w:b/>
          <w:sz w:val="22"/>
          <w:szCs w:val="22"/>
          <w:lang w:eastAsia="en-GB"/>
        </w:rPr>
        <w:t>Rental debtors</w:t>
      </w:r>
    </w:p>
    <w:p w14:paraId="7D5852C1" w14:textId="395DEBA4" w:rsidR="00D628DA" w:rsidRPr="00C33850" w:rsidRDefault="00D628DA" w:rsidP="00885093">
      <w:pPr>
        <w:jc w:val="both"/>
        <w:rPr>
          <w:rFonts w:eastAsia="Calibri"/>
          <w:sz w:val="22"/>
          <w:szCs w:val="22"/>
          <w:lang w:eastAsia="en-GB"/>
        </w:rPr>
      </w:pPr>
      <w:r w:rsidRPr="0003502B">
        <w:rPr>
          <w:rFonts w:eastAsia="Calibri"/>
          <w:sz w:val="22"/>
          <w:szCs w:val="22"/>
          <w:lang w:eastAsia="en-GB"/>
        </w:rPr>
        <w:t>At the statement of financial position date, th</w:t>
      </w:r>
      <w:r w:rsidR="00E60E47" w:rsidRPr="0003502B">
        <w:rPr>
          <w:rFonts w:eastAsia="Calibri"/>
          <w:sz w:val="22"/>
          <w:szCs w:val="22"/>
          <w:lang w:eastAsia="en-GB"/>
        </w:rPr>
        <w:t xml:space="preserve">e </w:t>
      </w:r>
      <w:r w:rsidR="003521CF" w:rsidRPr="0003502B">
        <w:rPr>
          <w:rFonts w:eastAsia="Calibri"/>
          <w:sz w:val="22"/>
          <w:szCs w:val="22"/>
          <w:lang w:eastAsia="en-GB"/>
        </w:rPr>
        <w:t>WHS</w:t>
      </w:r>
      <w:r w:rsidR="00E60E47" w:rsidRPr="0003502B">
        <w:rPr>
          <w:rFonts w:eastAsia="Calibri"/>
          <w:sz w:val="22"/>
          <w:szCs w:val="22"/>
          <w:lang w:eastAsia="en-GB"/>
        </w:rPr>
        <w:t xml:space="preserve"> had </w:t>
      </w:r>
      <w:r w:rsidR="002E5C56" w:rsidRPr="0003502B">
        <w:rPr>
          <w:rFonts w:eastAsia="Calibri"/>
          <w:sz w:val="22"/>
          <w:szCs w:val="22"/>
          <w:lang w:eastAsia="en-GB"/>
        </w:rPr>
        <w:t>rent arrears of £</w:t>
      </w:r>
      <w:r w:rsidR="005B184C" w:rsidRPr="0003502B">
        <w:rPr>
          <w:rFonts w:eastAsia="Calibri"/>
          <w:sz w:val="22"/>
          <w:szCs w:val="22"/>
          <w:lang w:eastAsia="en-GB"/>
        </w:rPr>
        <w:t>3.</w:t>
      </w:r>
      <w:r w:rsidR="00326B9B">
        <w:rPr>
          <w:rFonts w:eastAsia="Calibri"/>
          <w:sz w:val="22"/>
          <w:szCs w:val="22"/>
          <w:lang w:eastAsia="en-GB"/>
        </w:rPr>
        <w:t>1</w:t>
      </w:r>
      <w:r w:rsidR="005D431D" w:rsidRPr="0003502B">
        <w:rPr>
          <w:rFonts w:eastAsia="Calibri"/>
          <w:sz w:val="22"/>
          <w:szCs w:val="22"/>
          <w:lang w:eastAsia="en-GB"/>
        </w:rPr>
        <w:t>m</w:t>
      </w:r>
      <w:r w:rsidRPr="0003502B">
        <w:rPr>
          <w:rFonts w:eastAsia="Calibri"/>
          <w:sz w:val="22"/>
          <w:szCs w:val="22"/>
          <w:lang w:eastAsia="en-GB"/>
        </w:rPr>
        <w:t xml:space="preserve"> offset by ba</w:t>
      </w:r>
      <w:r w:rsidR="007B52D0" w:rsidRPr="0003502B">
        <w:rPr>
          <w:rFonts w:eastAsia="Calibri"/>
          <w:sz w:val="22"/>
          <w:szCs w:val="22"/>
          <w:lang w:eastAsia="en-GB"/>
        </w:rPr>
        <w:t>d debt</w:t>
      </w:r>
      <w:r w:rsidR="002E5C56" w:rsidRPr="0003502B">
        <w:rPr>
          <w:rFonts w:eastAsia="Calibri"/>
          <w:sz w:val="22"/>
          <w:szCs w:val="22"/>
          <w:lang w:eastAsia="en-GB"/>
        </w:rPr>
        <w:t xml:space="preserve"> provisions of £</w:t>
      </w:r>
      <w:r w:rsidR="00326B9B">
        <w:rPr>
          <w:rFonts w:eastAsia="Calibri"/>
          <w:sz w:val="22"/>
          <w:szCs w:val="22"/>
          <w:lang w:eastAsia="en-GB"/>
        </w:rPr>
        <w:t>1.</w:t>
      </w:r>
      <w:r w:rsidR="000A203F">
        <w:rPr>
          <w:rFonts w:eastAsia="Calibri"/>
          <w:sz w:val="22"/>
          <w:szCs w:val="22"/>
          <w:lang w:eastAsia="en-GB"/>
        </w:rPr>
        <w:t>3</w:t>
      </w:r>
      <w:r w:rsidR="00A54642" w:rsidRPr="0003502B">
        <w:rPr>
          <w:rFonts w:eastAsia="Calibri"/>
          <w:sz w:val="22"/>
          <w:szCs w:val="22"/>
          <w:lang w:eastAsia="en-GB"/>
        </w:rPr>
        <w:t>m (202</w:t>
      </w:r>
      <w:r w:rsidR="00FD1D80" w:rsidRPr="0003502B">
        <w:rPr>
          <w:rFonts w:eastAsia="Calibri"/>
          <w:sz w:val="22"/>
          <w:szCs w:val="22"/>
          <w:lang w:eastAsia="en-GB"/>
        </w:rPr>
        <w:t>3</w:t>
      </w:r>
      <w:r w:rsidR="00DF4C8F" w:rsidRPr="0003502B">
        <w:rPr>
          <w:rFonts w:eastAsia="Calibri"/>
          <w:sz w:val="22"/>
          <w:szCs w:val="22"/>
          <w:lang w:eastAsia="en-GB"/>
        </w:rPr>
        <w:t>: £</w:t>
      </w:r>
      <w:r w:rsidR="00FD1D80" w:rsidRPr="0003502B">
        <w:rPr>
          <w:rFonts w:eastAsia="Calibri"/>
          <w:sz w:val="22"/>
          <w:szCs w:val="22"/>
          <w:lang w:eastAsia="en-GB"/>
        </w:rPr>
        <w:t>3.0</w:t>
      </w:r>
      <w:r w:rsidR="00A54642" w:rsidRPr="0003502B">
        <w:rPr>
          <w:rFonts w:eastAsia="Calibri"/>
          <w:sz w:val="22"/>
          <w:szCs w:val="22"/>
          <w:lang w:eastAsia="en-GB"/>
        </w:rPr>
        <w:t>m and £</w:t>
      </w:r>
      <w:r w:rsidR="00FD1D80" w:rsidRPr="0003502B">
        <w:rPr>
          <w:rFonts w:eastAsia="Calibri"/>
          <w:sz w:val="22"/>
          <w:szCs w:val="22"/>
          <w:lang w:eastAsia="en-GB"/>
        </w:rPr>
        <w:t>0.9</w:t>
      </w:r>
      <w:r w:rsidRPr="0003502B">
        <w:rPr>
          <w:rFonts w:eastAsia="Calibri"/>
          <w:sz w:val="22"/>
          <w:szCs w:val="22"/>
          <w:lang w:eastAsia="en-GB"/>
        </w:rPr>
        <w:t>m respectively).</w:t>
      </w:r>
    </w:p>
    <w:p w14:paraId="406BAD66" w14:textId="77777777" w:rsidR="00D628DA" w:rsidRPr="00D62E8F" w:rsidRDefault="00D628DA" w:rsidP="00885093">
      <w:pPr>
        <w:jc w:val="both"/>
        <w:rPr>
          <w:sz w:val="22"/>
          <w:szCs w:val="22"/>
          <w:highlight w:val="yellow"/>
        </w:rPr>
      </w:pPr>
    </w:p>
    <w:p w14:paraId="7DE8027C" w14:textId="77777777" w:rsidR="00D628DA" w:rsidRPr="00737168" w:rsidRDefault="00D628DA" w:rsidP="00885093">
      <w:pPr>
        <w:jc w:val="both"/>
        <w:rPr>
          <w:b/>
          <w:sz w:val="22"/>
          <w:szCs w:val="22"/>
          <w:lang w:eastAsia="en-GB"/>
        </w:rPr>
      </w:pPr>
      <w:r w:rsidRPr="00737168">
        <w:rPr>
          <w:b/>
          <w:sz w:val="22"/>
          <w:szCs w:val="22"/>
          <w:lang w:eastAsia="en-GB"/>
        </w:rPr>
        <w:t>Liquidity</w:t>
      </w:r>
    </w:p>
    <w:p w14:paraId="48B4467B" w14:textId="35C35FD3" w:rsidR="00DF4C8F" w:rsidRPr="004D753B" w:rsidRDefault="00B13B84" w:rsidP="000524E3">
      <w:pPr>
        <w:jc w:val="both"/>
        <w:rPr>
          <w:sz w:val="22"/>
          <w:szCs w:val="22"/>
          <w:lang w:eastAsia="en-GB"/>
        </w:rPr>
      </w:pPr>
      <w:r w:rsidRPr="00197AD2">
        <w:rPr>
          <w:sz w:val="22"/>
          <w:szCs w:val="22"/>
          <w:lang w:eastAsia="en-GB"/>
        </w:rPr>
        <w:t>WHS</w:t>
      </w:r>
      <w:r w:rsidR="00D628DA" w:rsidRPr="00197AD2">
        <w:rPr>
          <w:sz w:val="22"/>
          <w:szCs w:val="22"/>
          <w:lang w:eastAsia="en-GB"/>
        </w:rPr>
        <w:t xml:space="preserve">’s </w:t>
      </w:r>
      <w:r w:rsidR="00DF4C8F" w:rsidRPr="00197AD2">
        <w:rPr>
          <w:sz w:val="22"/>
          <w:szCs w:val="22"/>
          <w:lang w:eastAsia="en-GB"/>
        </w:rPr>
        <w:t>net</w:t>
      </w:r>
      <w:r w:rsidR="002E5C56" w:rsidRPr="00197AD2">
        <w:rPr>
          <w:sz w:val="22"/>
          <w:szCs w:val="22"/>
          <w:lang w:eastAsia="en-GB"/>
        </w:rPr>
        <w:t xml:space="preserve"> current </w:t>
      </w:r>
      <w:r w:rsidR="00197AD2" w:rsidRPr="00197AD2">
        <w:rPr>
          <w:sz w:val="22"/>
          <w:szCs w:val="22"/>
          <w:lang w:eastAsia="en-GB"/>
        </w:rPr>
        <w:t>liabilities</w:t>
      </w:r>
      <w:r w:rsidR="002E5C56" w:rsidRPr="00197AD2">
        <w:rPr>
          <w:sz w:val="22"/>
          <w:szCs w:val="22"/>
          <w:lang w:eastAsia="en-GB"/>
        </w:rPr>
        <w:t xml:space="preserve"> at 31 </w:t>
      </w:r>
      <w:r w:rsidR="002E5C56" w:rsidRPr="00F4705F">
        <w:rPr>
          <w:sz w:val="22"/>
          <w:szCs w:val="22"/>
          <w:lang w:eastAsia="en-GB"/>
        </w:rPr>
        <w:t>March 202</w:t>
      </w:r>
      <w:r w:rsidR="00CB2EDE" w:rsidRPr="00F4705F">
        <w:rPr>
          <w:sz w:val="22"/>
          <w:szCs w:val="22"/>
          <w:lang w:eastAsia="en-GB"/>
        </w:rPr>
        <w:t>4</w:t>
      </w:r>
      <w:r w:rsidR="002E5C56" w:rsidRPr="00F4705F">
        <w:rPr>
          <w:sz w:val="22"/>
          <w:szCs w:val="22"/>
          <w:lang w:eastAsia="en-GB"/>
        </w:rPr>
        <w:t xml:space="preserve"> totalled £</w:t>
      </w:r>
      <w:r w:rsidR="00504484" w:rsidRPr="00F4705F">
        <w:rPr>
          <w:sz w:val="22"/>
          <w:szCs w:val="22"/>
          <w:lang w:eastAsia="en-GB"/>
        </w:rPr>
        <w:t>1</w:t>
      </w:r>
      <w:r w:rsidR="001117EC" w:rsidRPr="00F4705F">
        <w:rPr>
          <w:sz w:val="22"/>
          <w:szCs w:val="22"/>
          <w:lang w:eastAsia="en-GB"/>
        </w:rPr>
        <w:t>5.0</w:t>
      </w:r>
      <w:r w:rsidR="00FA18F3" w:rsidRPr="00F4705F">
        <w:rPr>
          <w:sz w:val="22"/>
          <w:szCs w:val="22"/>
          <w:lang w:eastAsia="en-GB"/>
        </w:rPr>
        <w:t>m</w:t>
      </w:r>
      <w:r w:rsidR="00CC3BAC" w:rsidRPr="00F4705F">
        <w:rPr>
          <w:sz w:val="22"/>
          <w:szCs w:val="22"/>
          <w:lang w:eastAsia="en-GB"/>
        </w:rPr>
        <w:t xml:space="preserve"> (</w:t>
      </w:r>
      <w:r w:rsidR="009478B0" w:rsidRPr="00F4705F">
        <w:rPr>
          <w:sz w:val="22"/>
          <w:szCs w:val="22"/>
          <w:lang w:eastAsia="en-GB"/>
        </w:rPr>
        <w:t>202</w:t>
      </w:r>
      <w:r w:rsidR="001F7E62" w:rsidRPr="00F4705F">
        <w:rPr>
          <w:sz w:val="22"/>
          <w:szCs w:val="22"/>
          <w:lang w:eastAsia="en-GB"/>
        </w:rPr>
        <w:t>3</w:t>
      </w:r>
      <w:r w:rsidR="009478B0">
        <w:rPr>
          <w:sz w:val="22"/>
          <w:szCs w:val="22"/>
          <w:lang w:eastAsia="en-GB"/>
        </w:rPr>
        <w:t xml:space="preserve">: </w:t>
      </w:r>
      <w:r w:rsidR="00CC3BAC">
        <w:rPr>
          <w:sz w:val="22"/>
          <w:szCs w:val="22"/>
          <w:lang w:eastAsia="en-GB"/>
        </w:rPr>
        <w:t>£</w:t>
      </w:r>
      <w:r w:rsidR="001F7E62">
        <w:rPr>
          <w:sz w:val="22"/>
          <w:szCs w:val="22"/>
          <w:lang w:eastAsia="en-GB"/>
        </w:rPr>
        <w:t>8.4</w:t>
      </w:r>
      <w:r w:rsidR="00CC3BAC">
        <w:rPr>
          <w:sz w:val="22"/>
          <w:szCs w:val="22"/>
          <w:lang w:eastAsia="en-GB"/>
        </w:rPr>
        <w:t>m</w:t>
      </w:r>
      <w:r w:rsidR="009478B0">
        <w:rPr>
          <w:sz w:val="22"/>
          <w:szCs w:val="22"/>
          <w:lang w:eastAsia="en-GB"/>
        </w:rPr>
        <w:t>)</w:t>
      </w:r>
      <w:r w:rsidR="00181135">
        <w:rPr>
          <w:sz w:val="22"/>
          <w:szCs w:val="22"/>
          <w:lang w:eastAsia="en-GB"/>
        </w:rPr>
        <w:t xml:space="preserve">. The movement is due to </w:t>
      </w:r>
      <w:r w:rsidR="007E68E0">
        <w:rPr>
          <w:sz w:val="22"/>
          <w:szCs w:val="22"/>
          <w:lang w:eastAsia="en-GB"/>
        </w:rPr>
        <w:t>an increase in def</w:t>
      </w:r>
      <w:r w:rsidR="009434FD">
        <w:rPr>
          <w:sz w:val="22"/>
          <w:szCs w:val="22"/>
          <w:lang w:eastAsia="en-GB"/>
        </w:rPr>
        <w:t xml:space="preserve">erred grant income </w:t>
      </w:r>
      <w:r w:rsidR="00106FA2">
        <w:rPr>
          <w:sz w:val="22"/>
          <w:szCs w:val="22"/>
          <w:lang w:eastAsia="en-GB"/>
        </w:rPr>
        <w:t>to be released in less than one year with</w:t>
      </w:r>
      <w:r w:rsidR="009434FD">
        <w:rPr>
          <w:sz w:val="22"/>
          <w:szCs w:val="22"/>
          <w:lang w:eastAsia="en-GB"/>
        </w:rPr>
        <w:t xml:space="preserve"> 10</w:t>
      </w:r>
      <w:r w:rsidR="00CA2E18">
        <w:rPr>
          <w:sz w:val="22"/>
          <w:szCs w:val="22"/>
          <w:lang w:eastAsia="en-GB"/>
        </w:rPr>
        <w:t>1</w:t>
      </w:r>
      <w:r w:rsidR="009434FD">
        <w:rPr>
          <w:sz w:val="22"/>
          <w:szCs w:val="22"/>
          <w:lang w:eastAsia="en-GB"/>
        </w:rPr>
        <w:t xml:space="preserve"> </w:t>
      </w:r>
      <w:r w:rsidR="00C76E5A">
        <w:rPr>
          <w:sz w:val="22"/>
          <w:szCs w:val="22"/>
          <w:lang w:eastAsia="en-GB"/>
        </w:rPr>
        <w:t>units expected</w:t>
      </w:r>
      <w:r w:rsidR="009434FD">
        <w:rPr>
          <w:sz w:val="22"/>
          <w:szCs w:val="22"/>
          <w:lang w:eastAsia="en-GB"/>
        </w:rPr>
        <w:t xml:space="preserve"> to complete in 2024/25</w:t>
      </w:r>
      <w:r w:rsidR="004A5B5B">
        <w:rPr>
          <w:sz w:val="22"/>
          <w:szCs w:val="22"/>
          <w:lang w:eastAsia="en-GB"/>
        </w:rPr>
        <w:t xml:space="preserve">. </w:t>
      </w:r>
      <w:r w:rsidR="00D628DA" w:rsidRPr="00737168">
        <w:rPr>
          <w:sz w:val="22"/>
          <w:szCs w:val="22"/>
          <w:lang w:eastAsia="en-GB"/>
        </w:rPr>
        <w:t xml:space="preserve"> </w:t>
      </w:r>
      <w:r w:rsidR="00B3154D" w:rsidRPr="00737168">
        <w:rPr>
          <w:sz w:val="22"/>
          <w:szCs w:val="22"/>
          <w:lang w:eastAsia="en-GB"/>
        </w:rPr>
        <w:t xml:space="preserve">Loan </w:t>
      </w:r>
      <w:r w:rsidR="00DF4C8F" w:rsidRPr="00737168">
        <w:rPr>
          <w:sz w:val="22"/>
          <w:szCs w:val="22"/>
          <w:lang w:eastAsia="en-GB"/>
        </w:rPr>
        <w:t xml:space="preserve">arrangements </w:t>
      </w:r>
      <w:r w:rsidR="00B3154D" w:rsidRPr="00737168">
        <w:rPr>
          <w:sz w:val="22"/>
          <w:szCs w:val="22"/>
          <w:lang w:eastAsia="en-GB"/>
        </w:rPr>
        <w:t xml:space="preserve">are </w:t>
      </w:r>
      <w:r w:rsidR="00DF4C8F" w:rsidRPr="00737168">
        <w:rPr>
          <w:sz w:val="22"/>
          <w:szCs w:val="22"/>
          <w:lang w:eastAsia="en-GB"/>
        </w:rPr>
        <w:t>in place which provide</w:t>
      </w:r>
      <w:r w:rsidR="00D21595" w:rsidRPr="00737168">
        <w:rPr>
          <w:sz w:val="22"/>
          <w:szCs w:val="22"/>
          <w:lang w:eastAsia="en-GB"/>
        </w:rPr>
        <w:t xml:space="preserve"> sufficient capacity along with</w:t>
      </w:r>
      <w:r w:rsidR="002E5C56" w:rsidRPr="00737168">
        <w:rPr>
          <w:sz w:val="22"/>
          <w:szCs w:val="22"/>
          <w:lang w:eastAsia="en-GB"/>
        </w:rPr>
        <w:t xml:space="preserve"> £</w:t>
      </w:r>
      <w:r w:rsidR="009434FD">
        <w:rPr>
          <w:sz w:val="22"/>
          <w:szCs w:val="22"/>
          <w:lang w:eastAsia="en-GB"/>
        </w:rPr>
        <w:t>5.</w:t>
      </w:r>
      <w:r w:rsidR="00504484">
        <w:rPr>
          <w:sz w:val="22"/>
          <w:szCs w:val="22"/>
          <w:lang w:eastAsia="en-GB"/>
        </w:rPr>
        <w:t>2</w:t>
      </w:r>
      <w:r w:rsidR="00244854" w:rsidRPr="00737168">
        <w:rPr>
          <w:sz w:val="22"/>
          <w:szCs w:val="22"/>
          <w:lang w:eastAsia="en-GB"/>
        </w:rPr>
        <w:t>m</w:t>
      </w:r>
      <w:r w:rsidR="00DF4C8F" w:rsidRPr="00737168">
        <w:rPr>
          <w:sz w:val="22"/>
          <w:szCs w:val="22"/>
          <w:lang w:eastAsia="en-GB"/>
        </w:rPr>
        <w:t xml:space="preserve"> cash balances at the year</w:t>
      </w:r>
      <w:r w:rsidR="00D21595" w:rsidRPr="00737168">
        <w:rPr>
          <w:sz w:val="22"/>
          <w:szCs w:val="22"/>
          <w:lang w:eastAsia="en-GB"/>
        </w:rPr>
        <w:t xml:space="preserve"> end</w:t>
      </w:r>
      <w:r w:rsidR="00DF4C8F" w:rsidRPr="00737168">
        <w:rPr>
          <w:sz w:val="22"/>
          <w:szCs w:val="22"/>
          <w:lang w:eastAsia="en-GB"/>
        </w:rPr>
        <w:t xml:space="preserve"> to allow </w:t>
      </w:r>
      <w:r>
        <w:rPr>
          <w:sz w:val="22"/>
          <w:szCs w:val="22"/>
          <w:lang w:eastAsia="en-GB"/>
        </w:rPr>
        <w:t>WHS</w:t>
      </w:r>
      <w:r w:rsidR="00D628DA" w:rsidRPr="00737168">
        <w:rPr>
          <w:sz w:val="22"/>
          <w:szCs w:val="22"/>
          <w:lang w:eastAsia="en-GB"/>
        </w:rPr>
        <w:t xml:space="preserve"> t</w:t>
      </w:r>
      <w:r w:rsidR="00DF4C8F" w:rsidRPr="00737168">
        <w:rPr>
          <w:sz w:val="22"/>
          <w:szCs w:val="22"/>
          <w:lang w:eastAsia="en-GB"/>
        </w:rPr>
        <w:t>o</w:t>
      </w:r>
      <w:r w:rsidR="00D628DA" w:rsidRPr="00737168">
        <w:rPr>
          <w:sz w:val="22"/>
          <w:szCs w:val="22"/>
          <w:lang w:eastAsia="en-GB"/>
        </w:rPr>
        <w:t xml:space="preserve"> </w:t>
      </w:r>
      <w:r w:rsidR="00DF4C8F" w:rsidRPr="00737168">
        <w:rPr>
          <w:sz w:val="22"/>
          <w:szCs w:val="22"/>
          <w:lang w:eastAsia="en-GB"/>
        </w:rPr>
        <w:t>meet</w:t>
      </w:r>
      <w:r w:rsidR="00AE52E8" w:rsidRPr="00737168">
        <w:rPr>
          <w:sz w:val="22"/>
          <w:szCs w:val="22"/>
          <w:lang w:eastAsia="en-GB"/>
        </w:rPr>
        <w:t xml:space="preserve"> liabilit</w:t>
      </w:r>
      <w:r w:rsidR="00B3154D" w:rsidRPr="00737168">
        <w:rPr>
          <w:sz w:val="22"/>
          <w:szCs w:val="22"/>
          <w:lang w:eastAsia="en-GB"/>
        </w:rPr>
        <w:t>ies as they fall due and enable</w:t>
      </w:r>
      <w:r w:rsidR="00AE52E8" w:rsidRPr="00737168">
        <w:rPr>
          <w:sz w:val="22"/>
          <w:szCs w:val="22"/>
          <w:lang w:eastAsia="en-GB"/>
        </w:rPr>
        <w:t xml:space="preserve"> further in</w:t>
      </w:r>
      <w:r w:rsidR="00DF4C8F" w:rsidRPr="00737168">
        <w:rPr>
          <w:sz w:val="22"/>
          <w:szCs w:val="22"/>
          <w:lang w:eastAsia="en-GB"/>
        </w:rPr>
        <w:t>vest</w:t>
      </w:r>
      <w:r w:rsidR="00B3154D" w:rsidRPr="00737168">
        <w:rPr>
          <w:sz w:val="22"/>
          <w:szCs w:val="22"/>
          <w:lang w:eastAsia="en-GB"/>
        </w:rPr>
        <w:t>ment</w:t>
      </w:r>
      <w:r w:rsidR="00DF4C8F" w:rsidRPr="00737168">
        <w:rPr>
          <w:sz w:val="22"/>
          <w:szCs w:val="22"/>
          <w:lang w:eastAsia="en-GB"/>
        </w:rPr>
        <w:t xml:space="preserve"> in </w:t>
      </w:r>
      <w:r w:rsidR="00B3154D" w:rsidRPr="00737168">
        <w:rPr>
          <w:sz w:val="22"/>
          <w:szCs w:val="22"/>
          <w:lang w:eastAsia="en-GB"/>
        </w:rPr>
        <w:t>existing stock and the</w:t>
      </w:r>
      <w:r w:rsidR="00AE52E8" w:rsidRPr="00737168">
        <w:rPr>
          <w:sz w:val="22"/>
          <w:szCs w:val="22"/>
          <w:lang w:eastAsia="en-GB"/>
        </w:rPr>
        <w:t xml:space="preserve"> new build programme.</w:t>
      </w:r>
    </w:p>
    <w:p w14:paraId="4700CB34" w14:textId="77777777" w:rsidR="00DF4C8F" w:rsidRPr="004D753B" w:rsidRDefault="00DF4C8F" w:rsidP="00885093">
      <w:pPr>
        <w:jc w:val="both"/>
        <w:rPr>
          <w:sz w:val="22"/>
          <w:szCs w:val="22"/>
        </w:rPr>
      </w:pPr>
    </w:p>
    <w:p w14:paraId="048060A9" w14:textId="77777777" w:rsidR="00D628DA" w:rsidRPr="004D753B" w:rsidRDefault="00D628DA" w:rsidP="00885093">
      <w:pPr>
        <w:jc w:val="both"/>
        <w:rPr>
          <w:b/>
          <w:sz w:val="22"/>
          <w:szCs w:val="22"/>
          <w:lang w:eastAsia="en-GB"/>
        </w:rPr>
      </w:pPr>
      <w:r w:rsidRPr="004D753B">
        <w:rPr>
          <w:b/>
          <w:sz w:val="22"/>
          <w:szCs w:val="22"/>
          <w:lang w:eastAsia="en-GB"/>
        </w:rPr>
        <w:t>Capital structure and treasury</w:t>
      </w:r>
    </w:p>
    <w:p w14:paraId="4C08F3E8" w14:textId="3868D386" w:rsidR="00D628DA" w:rsidRPr="004D753B" w:rsidRDefault="00F00A13" w:rsidP="00885093">
      <w:pPr>
        <w:jc w:val="both"/>
        <w:rPr>
          <w:sz w:val="22"/>
          <w:szCs w:val="22"/>
          <w:lang w:eastAsia="en-GB"/>
        </w:rPr>
      </w:pPr>
      <w:r>
        <w:rPr>
          <w:sz w:val="22"/>
          <w:szCs w:val="22"/>
          <w:lang w:eastAsia="en-GB"/>
        </w:rPr>
        <w:t>WHS</w:t>
      </w:r>
      <w:r w:rsidRPr="004D753B">
        <w:rPr>
          <w:sz w:val="22"/>
          <w:szCs w:val="22"/>
          <w:lang w:eastAsia="en-GB"/>
        </w:rPr>
        <w:t xml:space="preserve">’s activities are funded on the basis of a Business Plan which is updated annually. </w:t>
      </w:r>
      <w:r w:rsidR="00C60AF9">
        <w:rPr>
          <w:sz w:val="22"/>
          <w:szCs w:val="22"/>
          <w:lang w:eastAsia="en-GB"/>
        </w:rPr>
        <w:t>Fu</w:t>
      </w:r>
      <w:r>
        <w:rPr>
          <w:sz w:val="22"/>
          <w:szCs w:val="22"/>
          <w:lang w:eastAsia="en-GB"/>
        </w:rPr>
        <w:t xml:space="preserve">nding </w:t>
      </w:r>
      <w:r w:rsidR="001A072C">
        <w:rPr>
          <w:sz w:val="22"/>
          <w:szCs w:val="22"/>
          <w:lang w:eastAsia="en-GB"/>
        </w:rPr>
        <w:t>is</w:t>
      </w:r>
      <w:r>
        <w:rPr>
          <w:sz w:val="22"/>
          <w:szCs w:val="22"/>
          <w:lang w:eastAsia="en-GB"/>
        </w:rPr>
        <w:t xml:space="preserve"> administered through the Group’s RSL funding vehicle, Wheatley Funding No. 1 Limited. </w:t>
      </w:r>
      <w:r w:rsidR="00630595" w:rsidRPr="001A5C2E">
        <w:rPr>
          <w:sz w:val="22"/>
          <w:szCs w:val="22"/>
          <w:lang w:eastAsia="en-GB"/>
        </w:rPr>
        <w:t>External l</w:t>
      </w:r>
      <w:r w:rsidR="00D628DA" w:rsidRPr="001A5C2E">
        <w:rPr>
          <w:sz w:val="22"/>
          <w:szCs w:val="22"/>
          <w:lang w:eastAsia="en-GB"/>
        </w:rPr>
        <w:t xml:space="preserve">ong-term funding is </w:t>
      </w:r>
      <w:r w:rsidR="00630595" w:rsidRPr="001A5C2E">
        <w:rPr>
          <w:sz w:val="22"/>
          <w:szCs w:val="22"/>
          <w:lang w:eastAsia="en-GB"/>
        </w:rPr>
        <w:t xml:space="preserve">also </w:t>
      </w:r>
      <w:r w:rsidR="00D628DA" w:rsidRPr="001A5C2E">
        <w:rPr>
          <w:sz w:val="22"/>
          <w:szCs w:val="22"/>
          <w:lang w:eastAsia="en-GB"/>
        </w:rPr>
        <w:t>provided through</w:t>
      </w:r>
      <w:r w:rsidR="00DF4C8F" w:rsidRPr="001A5C2E">
        <w:rPr>
          <w:sz w:val="22"/>
          <w:szCs w:val="22"/>
          <w:lang w:eastAsia="en-GB"/>
        </w:rPr>
        <w:t xml:space="preserve"> access to facilities</w:t>
      </w:r>
      <w:r w:rsidR="00630595" w:rsidRPr="001A5C2E">
        <w:rPr>
          <w:sz w:val="22"/>
          <w:szCs w:val="22"/>
          <w:lang w:eastAsia="en-GB"/>
        </w:rPr>
        <w:t xml:space="preserve"> with</w:t>
      </w:r>
      <w:r w:rsidR="00C054D5" w:rsidRPr="001A5C2E">
        <w:rPr>
          <w:sz w:val="22"/>
          <w:szCs w:val="22"/>
          <w:lang w:eastAsia="en-GB"/>
        </w:rPr>
        <w:t xml:space="preserve"> </w:t>
      </w:r>
      <w:r w:rsidR="00DF4C8F" w:rsidRPr="001A5C2E">
        <w:rPr>
          <w:sz w:val="22"/>
          <w:szCs w:val="22"/>
          <w:lang w:eastAsia="en-GB"/>
        </w:rPr>
        <w:t>The Housing Finance Corporation</w:t>
      </w:r>
      <w:r w:rsidR="0057636D" w:rsidRPr="001A5C2E">
        <w:rPr>
          <w:sz w:val="22"/>
          <w:szCs w:val="22"/>
          <w:lang w:eastAsia="en-GB"/>
        </w:rPr>
        <w:t xml:space="preserve"> and</w:t>
      </w:r>
      <w:r w:rsidR="00DF4C8F" w:rsidRPr="001A5C2E">
        <w:rPr>
          <w:sz w:val="22"/>
          <w:szCs w:val="22"/>
          <w:lang w:eastAsia="en-GB"/>
        </w:rPr>
        <w:t xml:space="preserve"> Allia</w:t>
      </w:r>
      <w:r w:rsidR="002C78E3" w:rsidRPr="001A5C2E">
        <w:rPr>
          <w:sz w:val="22"/>
          <w:szCs w:val="22"/>
          <w:lang w:eastAsia="en-GB"/>
        </w:rPr>
        <w:t>,</w:t>
      </w:r>
      <w:r w:rsidR="0057636D" w:rsidRPr="001A5C2E">
        <w:rPr>
          <w:sz w:val="22"/>
          <w:szCs w:val="22"/>
          <w:lang w:eastAsia="en-GB"/>
        </w:rPr>
        <w:t xml:space="preserve"> </w:t>
      </w:r>
      <w:r w:rsidR="00DF4C8F" w:rsidRPr="001A5C2E">
        <w:rPr>
          <w:sz w:val="22"/>
          <w:szCs w:val="22"/>
          <w:lang w:eastAsia="en-GB"/>
        </w:rPr>
        <w:t>as detailed in note 2</w:t>
      </w:r>
      <w:r w:rsidR="00853C25" w:rsidRPr="001A5C2E">
        <w:rPr>
          <w:sz w:val="22"/>
          <w:szCs w:val="22"/>
          <w:lang w:eastAsia="en-GB"/>
        </w:rPr>
        <w:t>0</w:t>
      </w:r>
      <w:r w:rsidR="00DF4C8F" w:rsidRPr="001A5C2E">
        <w:rPr>
          <w:sz w:val="22"/>
          <w:szCs w:val="22"/>
          <w:lang w:eastAsia="en-GB"/>
        </w:rPr>
        <w:t>.</w:t>
      </w:r>
    </w:p>
    <w:p w14:paraId="0E81F42F" w14:textId="77777777" w:rsidR="00D628DA" w:rsidRPr="004D753B" w:rsidRDefault="00D628DA" w:rsidP="00D628DA">
      <w:pPr>
        <w:pStyle w:val="ACText"/>
        <w:spacing w:before="0"/>
        <w:rPr>
          <w:b/>
          <w:sz w:val="22"/>
          <w:szCs w:val="22"/>
        </w:rPr>
      </w:pPr>
    </w:p>
    <w:p w14:paraId="2A816DF1" w14:textId="77777777" w:rsidR="00D628DA" w:rsidRPr="004D753B" w:rsidRDefault="00D628DA" w:rsidP="00D628DA">
      <w:pPr>
        <w:jc w:val="both"/>
        <w:rPr>
          <w:b/>
          <w:color w:val="000000"/>
          <w:sz w:val="22"/>
          <w:szCs w:val="22"/>
        </w:rPr>
      </w:pPr>
      <w:r w:rsidRPr="004D753B">
        <w:rPr>
          <w:b/>
          <w:color w:val="000000"/>
          <w:sz w:val="22"/>
          <w:szCs w:val="22"/>
        </w:rPr>
        <w:t xml:space="preserve">Investment in tenants’ homes </w:t>
      </w:r>
    </w:p>
    <w:p w14:paraId="4263793D" w14:textId="494EA0E5" w:rsidR="00D628DA" w:rsidRPr="004D753B" w:rsidRDefault="00D628DA" w:rsidP="00D628DA">
      <w:pPr>
        <w:jc w:val="both"/>
        <w:rPr>
          <w:color w:val="000000"/>
          <w:sz w:val="22"/>
          <w:szCs w:val="22"/>
        </w:rPr>
      </w:pPr>
      <w:r w:rsidRPr="00AB62B7">
        <w:rPr>
          <w:color w:val="000000"/>
          <w:sz w:val="22"/>
          <w:szCs w:val="22"/>
        </w:rPr>
        <w:t xml:space="preserve">During the year we </w:t>
      </w:r>
      <w:r w:rsidRPr="00FA073C">
        <w:rPr>
          <w:color w:val="000000"/>
          <w:sz w:val="22"/>
          <w:szCs w:val="22"/>
        </w:rPr>
        <w:t>invested £</w:t>
      </w:r>
      <w:r w:rsidR="00C82173" w:rsidRPr="00FA073C">
        <w:rPr>
          <w:color w:val="000000"/>
          <w:sz w:val="22"/>
          <w:szCs w:val="22"/>
        </w:rPr>
        <w:t>1</w:t>
      </w:r>
      <w:r w:rsidR="00FA073C" w:rsidRPr="00FA073C">
        <w:rPr>
          <w:color w:val="000000"/>
          <w:sz w:val="22"/>
          <w:szCs w:val="22"/>
        </w:rPr>
        <w:t>7</w:t>
      </w:r>
      <w:r w:rsidR="00C82173" w:rsidRPr="00FA073C">
        <w:rPr>
          <w:color w:val="000000"/>
          <w:sz w:val="22"/>
          <w:szCs w:val="22"/>
        </w:rPr>
        <w:t>.</w:t>
      </w:r>
      <w:r w:rsidR="00E63AC5" w:rsidRPr="00FA073C">
        <w:rPr>
          <w:color w:val="000000"/>
          <w:sz w:val="22"/>
          <w:szCs w:val="22"/>
        </w:rPr>
        <w:t>2</w:t>
      </w:r>
      <w:r w:rsidR="00F6563A" w:rsidRPr="00FA073C">
        <w:rPr>
          <w:color w:val="000000"/>
          <w:sz w:val="22"/>
          <w:szCs w:val="22"/>
        </w:rPr>
        <w:t>m</w:t>
      </w:r>
      <w:r w:rsidRPr="00FA073C">
        <w:rPr>
          <w:color w:val="000000"/>
          <w:sz w:val="22"/>
          <w:szCs w:val="22"/>
        </w:rPr>
        <w:t xml:space="preserve"> in improving te</w:t>
      </w:r>
      <w:r w:rsidRPr="00AB62B7">
        <w:rPr>
          <w:color w:val="000000"/>
          <w:sz w:val="22"/>
          <w:szCs w:val="22"/>
        </w:rPr>
        <w:t>nant’s homes. At the year-end our housing stock (including housing under construction) w</w:t>
      </w:r>
      <w:r w:rsidRPr="00E862C4">
        <w:rPr>
          <w:color w:val="000000"/>
          <w:sz w:val="22"/>
          <w:szCs w:val="22"/>
        </w:rPr>
        <w:t>as valued at £</w:t>
      </w:r>
      <w:r w:rsidR="00986EBC" w:rsidRPr="00E862C4">
        <w:rPr>
          <w:sz w:val="22"/>
          <w:szCs w:val="22"/>
        </w:rPr>
        <w:t>4</w:t>
      </w:r>
      <w:r w:rsidR="00E862C4" w:rsidRPr="00E862C4">
        <w:rPr>
          <w:sz w:val="22"/>
          <w:szCs w:val="22"/>
        </w:rPr>
        <w:t>65.4</w:t>
      </w:r>
      <w:r w:rsidRPr="00E862C4">
        <w:rPr>
          <w:sz w:val="22"/>
          <w:szCs w:val="22"/>
        </w:rPr>
        <w:t>m</w:t>
      </w:r>
      <w:r w:rsidR="00A54642" w:rsidRPr="00E862C4">
        <w:rPr>
          <w:sz w:val="22"/>
          <w:szCs w:val="22"/>
        </w:rPr>
        <w:t xml:space="preserve"> </w:t>
      </w:r>
      <w:r w:rsidR="00A54642" w:rsidRPr="00E862C4">
        <w:rPr>
          <w:color w:val="000000"/>
          <w:sz w:val="22"/>
          <w:szCs w:val="22"/>
        </w:rPr>
        <w:t>(</w:t>
      </w:r>
      <w:r w:rsidR="00A54642" w:rsidRPr="009D5C05">
        <w:rPr>
          <w:color w:val="000000"/>
          <w:sz w:val="22"/>
          <w:szCs w:val="22"/>
        </w:rPr>
        <w:t>202</w:t>
      </w:r>
      <w:r w:rsidR="00BF1D7F">
        <w:rPr>
          <w:color w:val="000000"/>
          <w:sz w:val="22"/>
          <w:szCs w:val="22"/>
        </w:rPr>
        <w:t>3</w:t>
      </w:r>
      <w:r w:rsidR="00A54642" w:rsidRPr="00AB62B7">
        <w:rPr>
          <w:color w:val="000000"/>
          <w:sz w:val="22"/>
          <w:szCs w:val="22"/>
        </w:rPr>
        <w:t>: £</w:t>
      </w:r>
      <w:r w:rsidR="00C77713">
        <w:rPr>
          <w:color w:val="000000"/>
          <w:sz w:val="22"/>
          <w:szCs w:val="22"/>
        </w:rPr>
        <w:t>4</w:t>
      </w:r>
      <w:r w:rsidR="00BF1D7F">
        <w:rPr>
          <w:color w:val="000000"/>
          <w:sz w:val="22"/>
          <w:szCs w:val="22"/>
        </w:rPr>
        <w:t>23.6</w:t>
      </w:r>
      <w:r w:rsidRPr="00AB62B7">
        <w:rPr>
          <w:color w:val="000000"/>
          <w:sz w:val="22"/>
          <w:szCs w:val="22"/>
        </w:rPr>
        <w:t>m)</w:t>
      </w:r>
      <w:r w:rsidR="00AE52E8" w:rsidRPr="00AB62B7">
        <w:rPr>
          <w:color w:val="000000"/>
          <w:sz w:val="22"/>
          <w:szCs w:val="22"/>
        </w:rPr>
        <w:t>.</w:t>
      </w:r>
    </w:p>
    <w:p w14:paraId="41F82CBE" w14:textId="77777777" w:rsidR="00F905EE" w:rsidRPr="00AE52E8" w:rsidRDefault="00F905EE" w:rsidP="00F905EE">
      <w:pPr>
        <w:pStyle w:val="ACText"/>
        <w:spacing w:before="0"/>
        <w:rPr>
          <w:b/>
          <w:sz w:val="22"/>
          <w:szCs w:val="22"/>
        </w:rPr>
      </w:pPr>
    </w:p>
    <w:p w14:paraId="0B38EF2E" w14:textId="3C6469CD" w:rsidR="00D628DA" w:rsidRPr="004D753B" w:rsidRDefault="00D628DA" w:rsidP="00D628DA">
      <w:pPr>
        <w:jc w:val="both"/>
        <w:rPr>
          <w:b/>
          <w:color w:val="000000"/>
          <w:sz w:val="22"/>
          <w:szCs w:val="22"/>
        </w:rPr>
      </w:pPr>
      <w:r w:rsidRPr="004D753B">
        <w:rPr>
          <w:b/>
          <w:color w:val="000000"/>
          <w:sz w:val="22"/>
          <w:szCs w:val="22"/>
        </w:rPr>
        <w:t>New Build</w:t>
      </w:r>
    </w:p>
    <w:p w14:paraId="4AC0B30E" w14:textId="2AD639CD" w:rsidR="00716ABF" w:rsidRDefault="00D628DA" w:rsidP="009B4A40">
      <w:pPr>
        <w:jc w:val="both"/>
        <w:rPr>
          <w:color w:val="000000"/>
          <w:sz w:val="22"/>
          <w:szCs w:val="22"/>
        </w:rPr>
      </w:pPr>
      <w:r w:rsidRPr="004D753B">
        <w:rPr>
          <w:color w:val="000000"/>
          <w:sz w:val="22"/>
          <w:szCs w:val="22"/>
        </w:rPr>
        <w:t>During</w:t>
      </w:r>
      <w:r w:rsidR="002A4FC0" w:rsidRPr="004D753B">
        <w:rPr>
          <w:color w:val="000000"/>
          <w:sz w:val="22"/>
          <w:szCs w:val="22"/>
        </w:rPr>
        <w:t xml:space="preserve"> the financial year we</w:t>
      </w:r>
      <w:r w:rsidR="00E201AE" w:rsidRPr="004D753B">
        <w:rPr>
          <w:color w:val="000000"/>
          <w:sz w:val="22"/>
          <w:szCs w:val="22"/>
        </w:rPr>
        <w:t xml:space="preserve"> </w:t>
      </w:r>
      <w:r w:rsidR="00E201AE" w:rsidRPr="0007247C">
        <w:rPr>
          <w:color w:val="000000"/>
          <w:sz w:val="22"/>
          <w:szCs w:val="22"/>
        </w:rPr>
        <w:t xml:space="preserve">completed </w:t>
      </w:r>
      <w:r w:rsidR="002E2022" w:rsidRPr="0007247C">
        <w:rPr>
          <w:color w:val="000000"/>
          <w:sz w:val="22"/>
          <w:szCs w:val="22"/>
        </w:rPr>
        <w:t>3</w:t>
      </w:r>
      <w:r w:rsidR="00C753E0" w:rsidRPr="0007247C">
        <w:rPr>
          <w:color w:val="000000"/>
          <w:sz w:val="22"/>
          <w:szCs w:val="22"/>
        </w:rPr>
        <w:t>5</w:t>
      </w:r>
      <w:r w:rsidR="00E201AE" w:rsidRPr="0007247C">
        <w:rPr>
          <w:color w:val="000000"/>
          <w:sz w:val="22"/>
          <w:szCs w:val="22"/>
        </w:rPr>
        <w:t xml:space="preserve"> </w:t>
      </w:r>
      <w:r w:rsidR="009B4A40">
        <w:rPr>
          <w:color w:val="000000"/>
          <w:sz w:val="22"/>
          <w:szCs w:val="22"/>
        </w:rPr>
        <w:t>homes for social rent</w:t>
      </w:r>
      <w:r w:rsidR="00E201AE" w:rsidRPr="0007247C">
        <w:rPr>
          <w:color w:val="000000"/>
          <w:sz w:val="22"/>
          <w:szCs w:val="22"/>
        </w:rPr>
        <w:t xml:space="preserve"> properties at </w:t>
      </w:r>
      <w:r w:rsidR="00C753E0" w:rsidRPr="0007247C">
        <w:rPr>
          <w:color w:val="000000"/>
          <w:sz w:val="22"/>
          <w:szCs w:val="22"/>
        </w:rPr>
        <w:t>Curries Avenue</w:t>
      </w:r>
      <w:r w:rsidR="00E71950">
        <w:rPr>
          <w:color w:val="000000"/>
          <w:sz w:val="22"/>
          <w:szCs w:val="22"/>
        </w:rPr>
        <w:t>, Dumfries</w:t>
      </w:r>
      <w:r w:rsidR="007B45BC">
        <w:rPr>
          <w:color w:val="000000"/>
          <w:sz w:val="22"/>
          <w:szCs w:val="22"/>
        </w:rPr>
        <w:t>.</w:t>
      </w:r>
      <w:r w:rsidR="002E2022" w:rsidRPr="0007247C">
        <w:rPr>
          <w:color w:val="000000"/>
          <w:sz w:val="22"/>
          <w:szCs w:val="22"/>
        </w:rPr>
        <w:t xml:space="preserve"> </w:t>
      </w:r>
      <w:r w:rsidR="0007247C" w:rsidRPr="0007247C">
        <w:rPr>
          <w:sz w:val="22"/>
          <w:szCs w:val="22"/>
        </w:rPr>
        <w:t>Work is continuing on another 54 social rent homes at Curries Yard and on 47 homes for social rent at Ewart Place, Springholm.</w:t>
      </w:r>
      <w:r w:rsidR="0007247C" w:rsidRPr="545EE31C">
        <w:rPr>
          <w:rFonts w:ascii="Arial" w:hAnsi="Arial" w:cs="Arial"/>
        </w:rPr>
        <w:t xml:space="preserve"> </w:t>
      </w:r>
      <w:r w:rsidRPr="004D753B">
        <w:rPr>
          <w:color w:val="000000"/>
          <w:sz w:val="22"/>
          <w:szCs w:val="22"/>
        </w:rPr>
        <w:t xml:space="preserve">Our new build programme </w:t>
      </w:r>
      <w:r w:rsidRPr="00FA073C">
        <w:rPr>
          <w:color w:val="000000"/>
          <w:sz w:val="22"/>
          <w:szCs w:val="22"/>
        </w:rPr>
        <w:t>invested £</w:t>
      </w:r>
      <w:r w:rsidR="00FA073C" w:rsidRPr="00FA073C">
        <w:rPr>
          <w:color w:val="000000"/>
          <w:sz w:val="22"/>
          <w:szCs w:val="22"/>
        </w:rPr>
        <w:t>25.3</w:t>
      </w:r>
      <w:r w:rsidR="009D2C3D" w:rsidRPr="00FA073C">
        <w:rPr>
          <w:color w:val="000000"/>
          <w:sz w:val="22"/>
          <w:szCs w:val="22"/>
        </w:rPr>
        <w:t>m</w:t>
      </w:r>
      <w:r w:rsidRPr="00FA073C">
        <w:rPr>
          <w:color w:val="000000"/>
          <w:sz w:val="22"/>
          <w:szCs w:val="22"/>
        </w:rPr>
        <w:t xml:space="preserve"> in th</w:t>
      </w:r>
      <w:r w:rsidRPr="009D5C05">
        <w:rPr>
          <w:color w:val="000000"/>
          <w:sz w:val="22"/>
          <w:szCs w:val="22"/>
        </w:rPr>
        <w:t>e yea</w:t>
      </w:r>
      <w:r w:rsidRPr="004D753B">
        <w:rPr>
          <w:color w:val="000000"/>
          <w:sz w:val="22"/>
          <w:szCs w:val="22"/>
        </w:rPr>
        <w:t>r.</w:t>
      </w:r>
      <w:r w:rsidRPr="004D753B">
        <w:rPr>
          <w:color w:val="FF0000"/>
          <w:sz w:val="22"/>
          <w:szCs w:val="22"/>
        </w:rPr>
        <w:t xml:space="preserve"> </w:t>
      </w:r>
      <w:r w:rsidRPr="004D753B">
        <w:rPr>
          <w:color w:val="000000"/>
          <w:sz w:val="22"/>
          <w:szCs w:val="22"/>
        </w:rPr>
        <w:t xml:space="preserve">The Business Plan includes a </w:t>
      </w:r>
      <w:r w:rsidR="00AE52E8" w:rsidRPr="004D753B">
        <w:rPr>
          <w:color w:val="000000"/>
          <w:sz w:val="22"/>
          <w:szCs w:val="22"/>
        </w:rPr>
        <w:t>further project</w:t>
      </w:r>
      <w:r w:rsidR="00AE52E8" w:rsidRPr="009B1E28">
        <w:rPr>
          <w:color w:val="000000"/>
          <w:sz w:val="22"/>
          <w:szCs w:val="22"/>
        </w:rPr>
        <w:t xml:space="preserve">ed spend of </w:t>
      </w:r>
      <w:r w:rsidR="00E201AE" w:rsidRPr="009B1E28">
        <w:rPr>
          <w:color w:val="000000"/>
          <w:sz w:val="22"/>
          <w:szCs w:val="22"/>
        </w:rPr>
        <w:t>£</w:t>
      </w:r>
      <w:r w:rsidR="00031344" w:rsidRPr="009B1E28">
        <w:rPr>
          <w:color w:val="000000"/>
          <w:sz w:val="22"/>
          <w:szCs w:val="22"/>
        </w:rPr>
        <w:t>100.9</w:t>
      </w:r>
      <w:r w:rsidR="004A5777" w:rsidRPr="009B1E28">
        <w:rPr>
          <w:color w:val="000000"/>
          <w:sz w:val="22"/>
          <w:szCs w:val="22"/>
        </w:rPr>
        <w:t>m</w:t>
      </w:r>
      <w:r w:rsidRPr="00824D92">
        <w:rPr>
          <w:color w:val="000000"/>
          <w:sz w:val="22"/>
          <w:szCs w:val="22"/>
        </w:rPr>
        <w:t xml:space="preserve"> on the</w:t>
      </w:r>
      <w:r w:rsidR="00B3154D">
        <w:rPr>
          <w:color w:val="000000"/>
          <w:sz w:val="22"/>
          <w:szCs w:val="22"/>
        </w:rPr>
        <w:t xml:space="preserve"> new build programme </w:t>
      </w:r>
      <w:r w:rsidRPr="002A4FC0">
        <w:rPr>
          <w:color w:val="000000"/>
          <w:sz w:val="22"/>
          <w:szCs w:val="22"/>
        </w:rPr>
        <w:t>over the next five years.</w:t>
      </w:r>
    </w:p>
    <w:p w14:paraId="057A7344" w14:textId="77777777" w:rsidR="00D81927" w:rsidRPr="00F905EE" w:rsidRDefault="00D81927" w:rsidP="00F905EE">
      <w:pPr>
        <w:jc w:val="both"/>
        <w:rPr>
          <w:color w:val="000000"/>
          <w:sz w:val="22"/>
          <w:szCs w:val="22"/>
        </w:rPr>
      </w:pPr>
    </w:p>
    <w:p w14:paraId="0DF16EE4" w14:textId="77777777" w:rsidR="002339A4" w:rsidRDefault="002339A4" w:rsidP="00F905EE">
      <w:pPr>
        <w:jc w:val="both"/>
        <w:rPr>
          <w:color w:val="000000"/>
          <w:sz w:val="22"/>
          <w:szCs w:val="22"/>
        </w:rPr>
      </w:pPr>
    </w:p>
    <w:p w14:paraId="32CD0687" w14:textId="77777777" w:rsidR="002339A4" w:rsidRDefault="002339A4" w:rsidP="00F905EE">
      <w:pPr>
        <w:jc w:val="both"/>
        <w:rPr>
          <w:color w:val="000000"/>
          <w:sz w:val="22"/>
          <w:szCs w:val="22"/>
        </w:rPr>
      </w:pPr>
    </w:p>
    <w:p w14:paraId="163A2752" w14:textId="77777777" w:rsidR="002339A4" w:rsidRDefault="002339A4" w:rsidP="00F905EE">
      <w:pPr>
        <w:jc w:val="both"/>
        <w:rPr>
          <w:color w:val="000000"/>
          <w:sz w:val="22"/>
          <w:szCs w:val="22"/>
        </w:rPr>
      </w:pPr>
    </w:p>
    <w:p w14:paraId="22D399E5" w14:textId="77777777" w:rsidR="002339A4" w:rsidRDefault="002339A4" w:rsidP="00F905EE">
      <w:pPr>
        <w:jc w:val="both"/>
        <w:rPr>
          <w:color w:val="000000"/>
          <w:sz w:val="22"/>
          <w:szCs w:val="22"/>
        </w:rPr>
      </w:pPr>
    </w:p>
    <w:p w14:paraId="31F88C99" w14:textId="77777777" w:rsidR="002339A4" w:rsidRDefault="002339A4" w:rsidP="00F905EE">
      <w:pPr>
        <w:jc w:val="both"/>
        <w:rPr>
          <w:color w:val="000000"/>
          <w:sz w:val="22"/>
          <w:szCs w:val="22"/>
        </w:rPr>
      </w:pPr>
    </w:p>
    <w:p w14:paraId="7422CF2F" w14:textId="77777777" w:rsidR="002339A4" w:rsidRDefault="002339A4" w:rsidP="00F905EE">
      <w:pPr>
        <w:jc w:val="both"/>
        <w:rPr>
          <w:color w:val="000000"/>
          <w:sz w:val="22"/>
          <w:szCs w:val="22"/>
        </w:rPr>
      </w:pPr>
    </w:p>
    <w:p w14:paraId="3A46684A" w14:textId="77777777" w:rsidR="002339A4" w:rsidRDefault="002339A4" w:rsidP="00F905EE">
      <w:pPr>
        <w:jc w:val="both"/>
        <w:rPr>
          <w:color w:val="000000"/>
          <w:sz w:val="22"/>
          <w:szCs w:val="22"/>
        </w:rPr>
      </w:pPr>
    </w:p>
    <w:p w14:paraId="50BECE97" w14:textId="77777777" w:rsidR="002339A4" w:rsidRDefault="002339A4" w:rsidP="00F905EE">
      <w:pPr>
        <w:jc w:val="both"/>
        <w:rPr>
          <w:color w:val="000000"/>
          <w:sz w:val="22"/>
          <w:szCs w:val="22"/>
        </w:rPr>
      </w:pPr>
    </w:p>
    <w:p w14:paraId="32C17AAE" w14:textId="77777777" w:rsidR="002339A4" w:rsidRDefault="002339A4" w:rsidP="00F905EE">
      <w:pPr>
        <w:jc w:val="both"/>
        <w:rPr>
          <w:color w:val="000000"/>
          <w:sz w:val="22"/>
          <w:szCs w:val="22"/>
        </w:rPr>
      </w:pPr>
    </w:p>
    <w:p w14:paraId="4E9891EF" w14:textId="77777777" w:rsidR="002339A4" w:rsidRPr="00064466" w:rsidRDefault="002339A4" w:rsidP="002339A4">
      <w:pPr>
        <w:jc w:val="both"/>
        <w:rPr>
          <w:b/>
        </w:rPr>
      </w:pPr>
      <w:r w:rsidRPr="00A05B7E">
        <w:rPr>
          <w:b/>
        </w:rPr>
        <w:lastRenderedPageBreak/>
        <w:t>STRATEGIC REPORT (continued)</w:t>
      </w:r>
    </w:p>
    <w:p w14:paraId="4E235929" w14:textId="77777777" w:rsidR="002339A4" w:rsidRPr="001101AE" w:rsidRDefault="002339A4" w:rsidP="002339A4">
      <w:pPr>
        <w:pStyle w:val="ACText"/>
        <w:spacing w:before="0"/>
        <w:rPr>
          <w:b/>
          <w:sz w:val="22"/>
          <w:szCs w:val="22"/>
          <w:highlight w:val="yellow"/>
        </w:rPr>
      </w:pPr>
    </w:p>
    <w:p w14:paraId="3D2063D8" w14:textId="77777777" w:rsidR="002339A4" w:rsidRDefault="002339A4" w:rsidP="002339A4">
      <w:pPr>
        <w:pStyle w:val="ACText"/>
        <w:spacing w:before="0"/>
        <w:rPr>
          <w:b/>
          <w:sz w:val="22"/>
          <w:szCs w:val="22"/>
        </w:rPr>
      </w:pPr>
      <w:r w:rsidRPr="00AE52E8">
        <w:rPr>
          <w:b/>
          <w:sz w:val="22"/>
          <w:szCs w:val="22"/>
        </w:rPr>
        <w:t>FINANCIAL REVIEW (continued)</w:t>
      </w:r>
    </w:p>
    <w:p w14:paraId="0F051BA7" w14:textId="77777777" w:rsidR="002339A4" w:rsidRPr="00F905EE" w:rsidRDefault="002339A4" w:rsidP="00F905EE">
      <w:pPr>
        <w:jc w:val="both"/>
        <w:rPr>
          <w:color w:val="000000"/>
          <w:sz w:val="22"/>
          <w:szCs w:val="22"/>
        </w:rPr>
      </w:pPr>
    </w:p>
    <w:p w14:paraId="2E4ED137" w14:textId="77777777" w:rsidR="002806D0" w:rsidRPr="008A3221" w:rsidRDefault="002806D0" w:rsidP="002806D0">
      <w:pPr>
        <w:pStyle w:val="ACText"/>
        <w:spacing w:before="0"/>
        <w:rPr>
          <w:b/>
          <w:sz w:val="22"/>
          <w:szCs w:val="22"/>
        </w:rPr>
      </w:pPr>
      <w:r w:rsidRPr="008A3221">
        <w:rPr>
          <w:b/>
          <w:sz w:val="22"/>
          <w:szCs w:val="22"/>
        </w:rPr>
        <w:t>Reserves policy</w:t>
      </w:r>
    </w:p>
    <w:p w14:paraId="20BD051F" w14:textId="77777777" w:rsidR="002806D0" w:rsidRPr="008A3221" w:rsidRDefault="002806D0" w:rsidP="002806D0">
      <w:pPr>
        <w:jc w:val="both"/>
        <w:rPr>
          <w:rFonts w:eastAsia="Calibri"/>
          <w:sz w:val="22"/>
          <w:szCs w:val="22"/>
        </w:rPr>
      </w:pPr>
      <w:r w:rsidRPr="008A3221">
        <w:rPr>
          <w:rFonts w:eastAsia="Calibri"/>
          <w:sz w:val="22"/>
          <w:szCs w:val="22"/>
        </w:rPr>
        <w:t>Under the Statement of Recommended (Accounting) Practice (“SORP”) 2014 and Financial Reporting Standard (“FRS”) 102, the Company may operate with up to three principal reserves; a revenue reserve, a revaluation reserve and a pension reserve.</w:t>
      </w:r>
    </w:p>
    <w:p w14:paraId="0E7A3D72" w14:textId="77777777" w:rsidR="002806D0" w:rsidRPr="008A3221" w:rsidRDefault="002806D0" w:rsidP="002806D0">
      <w:pPr>
        <w:jc w:val="both"/>
        <w:rPr>
          <w:rFonts w:eastAsia="Calibri"/>
          <w:sz w:val="22"/>
          <w:szCs w:val="22"/>
        </w:rPr>
      </w:pPr>
    </w:p>
    <w:p w14:paraId="7E748BBD" w14:textId="77777777" w:rsidR="002806D0" w:rsidRPr="008A3221" w:rsidRDefault="002806D0" w:rsidP="002806D0">
      <w:pPr>
        <w:jc w:val="both"/>
        <w:rPr>
          <w:rFonts w:eastAsia="Calibri"/>
          <w:i/>
          <w:sz w:val="22"/>
          <w:szCs w:val="22"/>
          <w:u w:val="single"/>
        </w:rPr>
      </w:pPr>
      <w:r w:rsidRPr="008A3221">
        <w:rPr>
          <w:rFonts w:eastAsia="Calibri"/>
          <w:i/>
          <w:sz w:val="22"/>
          <w:szCs w:val="22"/>
          <w:u w:val="single"/>
        </w:rPr>
        <w:t>Revenue reserve</w:t>
      </w:r>
    </w:p>
    <w:p w14:paraId="5821C5CC" w14:textId="77777777" w:rsidR="002806D0" w:rsidRPr="008A3221" w:rsidRDefault="002806D0" w:rsidP="002806D0">
      <w:pPr>
        <w:jc w:val="both"/>
        <w:rPr>
          <w:rFonts w:eastAsia="Calibri"/>
          <w:sz w:val="22"/>
          <w:szCs w:val="22"/>
        </w:rPr>
      </w:pPr>
      <w:r w:rsidRPr="008A3221">
        <w:rPr>
          <w:rFonts w:eastAsia="Calibri"/>
          <w:sz w:val="22"/>
          <w:szCs w:val="22"/>
        </w:rPr>
        <w:t>Revenue reserve includes historic grant received in respect of the following:</w:t>
      </w:r>
    </w:p>
    <w:p w14:paraId="22AE11EE" w14:textId="77777777" w:rsidR="002806D0" w:rsidRPr="008A3221" w:rsidRDefault="002806D0" w:rsidP="002806D0">
      <w:pPr>
        <w:numPr>
          <w:ilvl w:val="0"/>
          <w:numId w:val="10"/>
        </w:numPr>
        <w:jc w:val="both"/>
        <w:rPr>
          <w:rFonts w:eastAsia="Calibri"/>
          <w:sz w:val="22"/>
          <w:szCs w:val="22"/>
        </w:rPr>
      </w:pPr>
      <w:r w:rsidRPr="008A3221">
        <w:rPr>
          <w:rFonts w:eastAsia="Calibri"/>
          <w:sz w:val="22"/>
          <w:szCs w:val="22"/>
        </w:rPr>
        <w:t>new build housing properties</w:t>
      </w:r>
    </w:p>
    <w:p w14:paraId="54AF9F24" w14:textId="653D4035" w:rsidR="00F905EE" w:rsidRDefault="002806D0" w:rsidP="00B36E12">
      <w:pPr>
        <w:numPr>
          <w:ilvl w:val="0"/>
          <w:numId w:val="10"/>
        </w:numPr>
        <w:jc w:val="both"/>
        <w:rPr>
          <w:rFonts w:eastAsia="Calibri"/>
          <w:sz w:val="22"/>
          <w:szCs w:val="22"/>
        </w:rPr>
      </w:pPr>
      <w:r w:rsidRPr="008A3221">
        <w:rPr>
          <w:rFonts w:eastAsia="Calibri"/>
          <w:sz w:val="22"/>
          <w:szCs w:val="22"/>
        </w:rPr>
        <w:t>specific projects for which subsidy has been received, such as investment in the energy efficiency of our homes</w:t>
      </w:r>
    </w:p>
    <w:p w14:paraId="7F1152A0" w14:textId="77777777" w:rsidR="002339A4" w:rsidRPr="002339A4" w:rsidRDefault="002339A4" w:rsidP="002339A4">
      <w:pPr>
        <w:ind w:left="720"/>
        <w:jc w:val="both"/>
        <w:rPr>
          <w:rFonts w:eastAsia="Calibri"/>
          <w:sz w:val="22"/>
          <w:szCs w:val="22"/>
        </w:rPr>
      </w:pPr>
    </w:p>
    <w:p w14:paraId="7E3CB555" w14:textId="77777777" w:rsidR="00D628DA" w:rsidRPr="008A3221" w:rsidRDefault="00D628DA" w:rsidP="00D628DA">
      <w:pPr>
        <w:jc w:val="both"/>
        <w:rPr>
          <w:rFonts w:eastAsia="Calibri"/>
          <w:sz w:val="22"/>
          <w:szCs w:val="22"/>
        </w:rPr>
      </w:pPr>
      <w:r w:rsidRPr="008A3221">
        <w:rPr>
          <w:rFonts w:eastAsia="Calibri"/>
          <w:sz w:val="22"/>
          <w:szCs w:val="22"/>
        </w:rPr>
        <w:t>These grants have been invested for the specific purposes prescribed in the related grant conditions, with this activity typically resulting in an increase in the value of housi</w:t>
      </w:r>
      <w:r w:rsidR="008A3221" w:rsidRPr="008A3221">
        <w:rPr>
          <w:rFonts w:eastAsia="Calibri"/>
          <w:sz w:val="22"/>
          <w:szCs w:val="22"/>
        </w:rPr>
        <w:t>ng properties in the Company</w:t>
      </w:r>
      <w:r w:rsidRPr="008A3221">
        <w:rPr>
          <w:rFonts w:eastAsia="Calibri"/>
          <w:sz w:val="22"/>
          <w:szCs w:val="22"/>
        </w:rPr>
        <w:t>’s Statement of Fin</w:t>
      </w:r>
      <w:r w:rsidR="008A3221" w:rsidRPr="008A3221">
        <w:rPr>
          <w:rFonts w:eastAsia="Calibri"/>
          <w:sz w:val="22"/>
          <w:szCs w:val="22"/>
        </w:rPr>
        <w:t>ancial Position. The Company</w:t>
      </w:r>
      <w:r w:rsidRPr="008A3221">
        <w:rPr>
          <w:rFonts w:eastAsia="Calibri"/>
          <w:sz w:val="22"/>
          <w:szCs w:val="22"/>
        </w:rPr>
        <w:t xml:space="preserve"> has no ability to realise new cash from this element of reserves, since selling the related assets which were constructed or improved with the grant funds would trigger clawback conditions and require repayment of grant to the Scottish Government or other grant providers. Furthermore, it is not the</w:t>
      </w:r>
      <w:r w:rsidR="008A3221" w:rsidRPr="008A3221">
        <w:rPr>
          <w:rFonts w:eastAsia="Calibri"/>
          <w:sz w:val="22"/>
          <w:szCs w:val="22"/>
        </w:rPr>
        <w:t xml:space="preserve"> Company</w:t>
      </w:r>
      <w:r w:rsidRPr="008A3221">
        <w:rPr>
          <w:rFonts w:eastAsia="Calibri"/>
          <w:sz w:val="22"/>
          <w:szCs w:val="22"/>
        </w:rPr>
        <w:t>'s policy to sell social housing assets; on the contrary, continuing to own and support these while providing excellent services to cust</w:t>
      </w:r>
      <w:r w:rsidR="008A3221" w:rsidRPr="008A3221">
        <w:rPr>
          <w:rFonts w:eastAsia="Calibri"/>
          <w:sz w:val="22"/>
          <w:szCs w:val="22"/>
        </w:rPr>
        <w:t>omers is core to the Company</w:t>
      </w:r>
      <w:r w:rsidRPr="008A3221">
        <w:rPr>
          <w:rFonts w:eastAsia="Calibri"/>
          <w:sz w:val="22"/>
          <w:szCs w:val="22"/>
        </w:rPr>
        <w:t>’s charitable purpose.</w:t>
      </w:r>
    </w:p>
    <w:p w14:paraId="7A05765C" w14:textId="77777777" w:rsidR="00D628DA" w:rsidRPr="008A3221" w:rsidRDefault="00D628DA" w:rsidP="00D628DA">
      <w:pPr>
        <w:jc w:val="both"/>
        <w:rPr>
          <w:rFonts w:eastAsia="Calibri"/>
          <w:sz w:val="22"/>
          <w:szCs w:val="22"/>
        </w:rPr>
      </w:pPr>
      <w:r w:rsidRPr="008A3221">
        <w:rPr>
          <w:rFonts w:eastAsia="Calibri"/>
          <w:sz w:val="22"/>
          <w:szCs w:val="22"/>
        </w:rPr>
        <w:br/>
        <w:t>The residual amount of revenue reserves, not represented by grant, ma</w:t>
      </w:r>
      <w:r w:rsidR="008A3221" w:rsidRPr="008A3221">
        <w:rPr>
          <w:rFonts w:eastAsia="Calibri"/>
          <w:sz w:val="22"/>
          <w:szCs w:val="22"/>
        </w:rPr>
        <w:t>y be invested by the Company</w:t>
      </w:r>
      <w:r w:rsidRPr="008A3221">
        <w:rPr>
          <w:rFonts w:eastAsia="Calibri"/>
          <w:sz w:val="22"/>
          <w:szCs w:val="22"/>
        </w:rPr>
        <w:t xml:space="preserve"> in line with its 30-year business plan financial projections. Such investme</w:t>
      </w:r>
      <w:r w:rsidR="008A3221" w:rsidRPr="008A3221">
        <w:rPr>
          <w:rFonts w:eastAsia="Calibri"/>
          <w:sz w:val="22"/>
          <w:szCs w:val="22"/>
        </w:rPr>
        <w:t>nt is subject to the Company</w:t>
      </w:r>
      <w:r w:rsidRPr="008A3221">
        <w:rPr>
          <w:rFonts w:eastAsia="Calibri"/>
          <w:sz w:val="22"/>
          <w:szCs w:val="22"/>
        </w:rPr>
        <w:t xml:space="preserve"> maintaining a viable financial profile over the life of its business plan, as well as approval by the Wheatley Group Boa</w:t>
      </w:r>
      <w:r w:rsidR="008A3221" w:rsidRPr="008A3221">
        <w:rPr>
          <w:rFonts w:eastAsia="Calibri"/>
          <w:sz w:val="22"/>
          <w:szCs w:val="22"/>
        </w:rPr>
        <w:t>rd. In approving the Company</w:t>
      </w:r>
      <w:r w:rsidRPr="008A3221">
        <w:rPr>
          <w:rFonts w:eastAsia="Calibri"/>
          <w:sz w:val="22"/>
          <w:szCs w:val="22"/>
        </w:rPr>
        <w:t xml:space="preserve">’s business plan annually, the Wheatley Group Board will take into account projected compliance with the loan covenants which apply, as well as the impact of sensitivity analysis and other risk factors which may apply.  </w:t>
      </w:r>
    </w:p>
    <w:p w14:paraId="3E9AAA9F" w14:textId="77777777" w:rsidR="00D628DA" w:rsidRPr="008A3221" w:rsidRDefault="00D628DA" w:rsidP="00D628DA">
      <w:pPr>
        <w:jc w:val="both"/>
        <w:rPr>
          <w:rFonts w:eastAsia="Calibri"/>
          <w:sz w:val="22"/>
          <w:szCs w:val="22"/>
        </w:rPr>
      </w:pPr>
    </w:p>
    <w:p w14:paraId="4E9071B3" w14:textId="77777777" w:rsidR="00D628DA" w:rsidRPr="008A3221" w:rsidRDefault="00D628DA" w:rsidP="00D628DA">
      <w:pPr>
        <w:jc w:val="both"/>
        <w:rPr>
          <w:rFonts w:eastAsia="Calibri"/>
          <w:i/>
          <w:sz w:val="22"/>
          <w:szCs w:val="22"/>
          <w:u w:val="single"/>
        </w:rPr>
      </w:pPr>
      <w:r w:rsidRPr="008A3221">
        <w:rPr>
          <w:rFonts w:eastAsia="Calibri"/>
          <w:i/>
          <w:sz w:val="22"/>
          <w:szCs w:val="22"/>
          <w:u w:val="single"/>
        </w:rPr>
        <w:t>Revaluation reserve</w:t>
      </w:r>
    </w:p>
    <w:p w14:paraId="76864DB2" w14:textId="77777777" w:rsidR="00791817" w:rsidRDefault="00D628DA" w:rsidP="00D628DA">
      <w:pPr>
        <w:jc w:val="both"/>
        <w:rPr>
          <w:rFonts w:eastAsia="Calibri"/>
          <w:sz w:val="22"/>
          <w:szCs w:val="22"/>
        </w:rPr>
      </w:pPr>
      <w:r w:rsidRPr="008A3221">
        <w:rPr>
          <w:rFonts w:eastAsia="Calibri"/>
          <w:sz w:val="22"/>
          <w:szCs w:val="22"/>
        </w:rPr>
        <w:t>The revaluation reserve represents, to the extent applicable, the increase in valuation which has occurred over and above the cost</w:t>
      </w:r>
      <w:r w:rsidR="008A3221" w:rsidRPr="008A3221">
        <w:rPr>
          <w:rFonts w:eastAsia="Calibri"/>
          <w:sz w:val="22"/>
          <w:szCs w:val="22"/>
        </w:rPr>
        <w:t xml:space="preserve"> of additions to the Company</w:t>
      </w:r>
      <w:r w:rsidRPr="008A3221">
        <w:rPr>
          <w:rFonts w:eastAsia="Calibri"/>
          <w:sz w:val="22"/>
          <w:szCs w:val="22"/>
        </w:rPr>
        <w:t>’s property. This reserve is therefore also not realisable, on the basis that to do so would involve selling social housing assets and would the</w:t>
      </w:r>
      <w:r w:rsidR="008A3221" w:rsidRPr="008A3221">
        <w:rPr>
          <w:rFonts w:eastAsia="Calibri"/>
          <w:sz w:val="22"/>
          <w:szCs w:val="22"/>
        </w:rPr>
        <w:t>refore undermine the Company</w:t>
      </w:r>
      <w:r w:rsidRPr="008A3221">
        <w:rPr>
          <w:rFonts w:eastAsia="Calibri"/>
          <w:sz w:val="22"/>
          <w:szCs w:val="22"/>
        </w:rPr>
        <w:t>’s core charitable purpose.</w:t>
      </w:r>
      <w:r w:rsidRPr="0084780B">
        <w:rPr>
          <w:rFonts w:eastAsia="Calibri"/>
          <w:sz w:val="22"/>
          <w:szCs w:val="22"/>
        </w:rPr>
        <w:t>   </w:t>
      </w:r>
    </w:p>
    <w:p w14:paraId="7D3A73B9" w14:textId="77777777" w:rsidR="00064466" w:rsidRPr="0084780B" w:rsidRDefault="00064466" w:rsidP="00D628DA">
      <w:pPr>
        <w:jc w:val="both"/>
        <w:rPr>
          <w:rFonts w:eastAsia="Calibri"/>
          <w:sz w:val="22"/>
          <w:szCs w:val="22"/>
        </w:rPr>
      </w:pPr>
    </w:p>
    <w:p w14:paraId="46767F49" w14:textId="1C1F1524" w:rsidR="007D5A08" w:rsidRPr="008A3221" w:rsidRDefault="007D5A08" w:rsidP="007D5A08">
      <w:pPr>
        <w:jc w:val="both"/>
        <w:rPr>
          <w:b/>
          <w:sz w:val="22"/>
        </w:rPr>
      </w:pPr>
      <w:r w:rsidRPr="008A3221">
        <w:rPr>
          <w:b/>
          <w:sz w:val="22"/>
        </w:rPr>
        <w:t>Princi</w:t>
      </w:r>
      <w:r w:rsidR="008A3221" w:rsidRPr="008A3221">
        <w:rPr>
          <w:b/>
          <w:sz w:val="22"/>
        </w:rPr>
        <w:t xml:space="preserve">pal risks facing the </w:t>
      </w:r>
      <w:r w:rsidR="00241BDD">
        <w:rPr>
          <w:b/>
          <w:sz w:val="22"/>
        </w:rPr>
        <w:t>c</w:t>
      </w:r>
      <w:r w:rsidR="008A3221" w:rsidRPr="008A3221">
        <w:rPr>
          <w:b/>
          <w:sz w:val="22"/>
        </w:rPr>
        <w:t>ompany</w:t>
      </w:r>
    </w:p>
    <w:p w14:paraId="4AFDEFC2" w14:textId="46E97228" w:rsidR="007D5A08" w:rsidRDefault="007D5A08" w:rsidP="007D5A08">
      <w:pPr>
        <w:jc w:val="both"/>
        <w:rPr>
          <w:sz w:val="22"/>
        </w:rPr>
      </w:pPr>
      <w:r w:rsidRPr="008A3221">
        <w:rPr>
          <w:sz w:val="22"/>
        </w:rPr>
        <w:t>The Board are responsible for as</w:t>
      </w:r>
      <w:r w:rsidR="008A3221" w:rsidRPr="008A3221">
        <w:rPr>
          <w:sz w:val="22"/>
        </w:rPr>
        <w:t xml:space="preserve">sessing the risks facing </w:t>
      </w:r>
      <w:r w:rsidR="00D81927">
        <w:rPr>
          <w:sz w:val="22"/>
        </w:rPr>
        <w:t>WHS</w:t>
      </w:r>
      <w:r w:rsidRPr="008A3221">
        <w:rPr>
          <w:sz w:val="22"/>
        </w:rPr>
        <w:t>. As a subsidiary of Wheatley Housing Group, the principal risks are broadly similar to those facing the</w:t>
      </w:r>
      <w:r w:rsidR="008A3221" w:rsidRPr="008A3221">
        <w:rPr>
          <w:sz w:val="22"/>
        </w:rPr>
        <w:t xml:space="preserve"> Wheatley</w:t>
      </w:r>
      <w:r w:rsidRPr="008A3221">
        <w:rPr>
          <w:sz w:val="22"/>
        </w:rPr>
        <w:t xml:space="preserve"> Group and can be seen in the consolidated financial statements of the</w:t>
      </w:r>
      <w:r w:rsidR="008A3221" w:rsidRPr="008A3221">
        <w:rPr>
          <w:sz w:val="22"/>
        </w:rPr>
        <w:t xml:space="preserve"> Wheatley</w:t>
      </w:r>
      <w:r w:rsidRPr="008A3221">
        <w:rPr>
          <w:sz w:val="22"/>
        </w:rPr>
        <w:t xml:space="preserve"> Group.</w:t>
      </w:r>
    </w:p>
    <w:p w14:paraId="0AE3AFF5" w14:textId="77777777" w:rsidR="00D628DA" w:rsidRPr="0084780B" w:rsidRDefault="00D628DA" w:rsidP="00D628DA">
      <w:pPr>
        <w:pStyle w:val="ACText"/>
        <w:spacing w:before="0"/>
        <w:rPr>
          <w:b/>
          <w:sz w:val="22"/>
          <w:szCs w:val="22"/>
        </w:rPr>
      </w:pPr>
    </w:p>
    <w:p w14:paraId="5BE2129C" w14:textId="77777777" w:rsidR="00D628DA" w:rsidRPr="0084780B" w:rsidRDefault="00D628DA" w:rsidP="00D628DA">
      <w:pPr>
        <w:pStyle w:val="ACSectionTOCHeading"/>
        <w:rPr>
          <w:b w:val="0"/>
          <w:sz w:val="22"/>
          <w:szCs w:val="22"/>
        </w:rPr>
      </w:pPr>
      <w:r w:rsidRPr="0084780B">
        <w:rPr>
          <w:b w:val="0"/>
          <w:sz w:val="22"/>
          <w:szCs w:val="22"/>
        </w:rPr>
        <w:t>By order of the Board</w:t>
      </w:r>
    </w:p>
    <w:p w14:paraId="0AF0C4E4" w14:textId="77777777" w:rsidR="005F19B0" w:rsidRPr="0084780B" w:rsidRDefault="005F19B0" w:rsidP="009A00BF">
      <w:pPr>
        <w:overflowPunct w:val="0"/>
        <w:autoSpaceDE w:val="0"/>
        <w:autoSpaceDN w:val="0"/>
        <w:adjustRightInd w:val="0"/>
        <w:jc w:val="both"/>
        <w:textAlignment w:val="baseline"/>
        <w:rPr>
          <w:b/>
          <w:sz w:val="22"/>
          <w:szCs w:val="20"/>
        </w:rPr>
        <w:sectPr w:rsidR="005F19B0" w:rsidRPr="0084780B" w:rsidSect="00100191">
          <w:headerReference w:type="default" r:id="rId19"/>
          <w:footerReference w:type="default" r:id="rId20"/>
          <w:pgSz w:w="11906" w:h="16838" w:code="9"/>
          <w:pgMar w:top="575" w:right="1466" w:bottom="720" w:left="1797" w:header="709" w:footer="709" w:gutter="0"/>
          <w:cols w:space="708"/>
          <w:docGrid w:linePitch="360"/>
        </w:sectPr>
      </w:pPr>
    </w:p>
    <w:tbl>
      <w:tblPr>
        <w:tblW w:w="8810" w:type="dxa"/>
        <w:tblLayout w:type="fixed"/>
        <w:tblLook w:val="0000" w:firstRow="0" w:lastRow="0" w:firstColumn="0" w:lastColumn="0" w:noHBand="0" w:noVBand="0"/>
      </w:tblPr>
      <w:tblGrid>
        <w:gridCol w:w="4405"/>
        <w:gridCol w:w="4405"/>
      </w:tblGrid>
      <w:tr w:rsidR="00D628DA" w:rsidRPr="00D75EFC" w14:paraId="674E4491" w14:textId="77777777" w:rsidTr="009A00BF">
        <w:tc>
          <w:tcPr>
            <w:tcW w:w="4405" w:type="dxa"/>
          </w:tcPr>
          <w:p w14:paraId="51BE069D" w14:textId="77777777" w:rsidR="00D628DA" w:rsidRPr="00E803CA" w:rsidRDefault="00D628DA" w:rsidP="009A00BF">
            <w:pPr>
              <w:overflowPunct w:val="0"/>
              <w:autoSpaceDE w:val="0"/>
              <w:autoSpaceDN w:val="0"/>
              <w:adjustRightInd w:val="0"/>
              <w:jc w:val="both"/>
              <w:textAlignment w:val="baseline"/>
              <w:rPr>
                <w:b/>
                <w:sz w:val="22"/>
                <w:szCs w:val="20"/>
              </w:rPr>
            </w:pPr>
          </w:p>
          <w:p w14:paraId="042524DC" w14:textId="77777777" w:rsidR="0052031A" w:rsidRPr="00E803CA" w:rsidRDefault="0052031A" w:rsidP="009A00BF">
            <w:pPr>
              <w:overflowPunct w:val="0"/>
              <w:autoSpaceDE w:val="0"/>
              <w:autoSpaceDN w:val="0"/>
              <w:adjustRightInd w:val="0"/>
              <w:jc w:val="both"/>
              <w:textAlignment w:val="baseline"/>
              <w:rPr>
                <w:b/>
                <w:sz w:val="22"/>
                <w:szCs w:val="20"/>
              </w:rPr>
            </w:pPr>
          </w:p>
          <w:p w14:paraId="0C9B7BD2" w14:textId="77777777" w:rsidR="00D628DA" w:rsidRPr="00E803CA" w:rsidRDefault="00D628DA" w:rsidP="009A00BF">
            <w:pPr>
              <w:overflowPunct w:val="0"/>
              <w:autoSpaceDE w:val="0"/>
              <w:autoSpaceDN w:val="0"/>
              <w:adjustRightInd w:val="0"/>
              <w:jc w:val="both"/>
              <w:textAlignment w:val="baseline"/>
              <w:rPr>
                <w:b/>
                <w:sz w:val="22"/>
                <w:szCs w:val="20"/>
              </w:rPr>
            </w:pPr>
          </w:p>
          <w:p w14:paraId="2F0D93B2" w14:textId="77777777" w:rsidR="00E81A89" w:rsidRPr="00E803CA" w:rsidRDefault="00E81A89" w:rsidP="009A00BF">
            <w:pPr>
              <w:overflowPunct w:val="0"/>
              <w:autoSpaceDE w:val="0"/>
              <w:autoSpaceDN w:val="0"/>
              <w:adjustRightInd w:val="0"/>
              <w:jc w:val="both"/>
              <w:textAlignment w:val="baseline"/>
              <w:rPr>
                <w:b/>
                <w:sz w:val="22"/>
                <w:szCs w:val="20"/>
              </w:rPr>
            </w:pPr>
          </w:p>
          <w:p w14:paraId="7FAF5BB2" w14:textId="77777777" w:rsidR="0094135D" w:rsidRDefault="007C077F" w:rsidP="0084780B">
            <w:pPr>
              <w:overflowPunct w:val="0"/>
              <w:autoSpaceDE w:val="0"/>
              <w:autoSpaceDN w:val="0"/>
              <w:adjustRightInd w:val="0"/>
              <w:jc w:val="both"/>
              <w:textAlignment w:val="baseline"/>
              <w:rPr>
                <w:sz w:val="22"/>
                <w:szCs w:val="20"/>
              </w:rPr>
            </w:pPr>
            <w:r>
              <w:rPr>
                <w:b/>
                <w:sz w:val="22"/>
                <w:szCs w:val="20"/>
              </w:rPr>
              <w:t>Jo</w:t>
            </w:r>
            <w:r w:rsidR="00105C0D">
              <w:rPr>
                <w:b/>
                <w:sz w:val="22"/>
                <w:szCs w:val="20"/>
              </w:rPr>
              <w:t>sephine</w:t>
            </w:r>
            <w:r>
              <w:rPr>
                <w:b/>
                <w:sz w:val="22"/>
                <w:szCs w:val="20"/>
              </w:rPr>
              <w:t xml:space="preserve"> Boaden</w:t>
            </w:r>
            <w:r w:rsidR="00942915">
              <w:rPr>
                <w:b/>
                <w:sz w:val="22"/>
                <w:szCs w:val="20"/>
              </w:rPr>
              <w:t xml:space="preserve"> CBE</w:t>
            </w:r>
            <w:r w:rsidR="00D628DA" w:rsidRPr="00E803CA">
              <w:rPr>
                <w:b/>
                <w:sz w:val="22"/>
                <w:szCs w:val="20"/>
              </w:rPr>
              <w:t xml:space="preserve">, </w:t>
            </w:r>
            <w:r w:rsidR="00901466" w:rsidRPr="00E803CA">
              <w:rPr>
                <w:b/>
                <w:sz w:val="22"/>
                <w:szCs w:val="20"/>
              </w:rPr>
              <w:t>Chair</w:t>
            </w:r>
          </w:p>
          <w:p w14:paraId="7E941633" w14:textId="2953B1E1" w:rsidR="00D628DA" w:rsidRPr="00E803CA" w:rsidRDefault="0094135D" w:rsidP="0084780B">
            <w:pPr>
              <w:overflowPunct w:val="0"/>
              <w:autoSpaceDE w:val="0"/>
              <w:autoSpaceDN w:val="0"/>
              <w:adjustRightInd w:val="0"/>
              <w:jc w:val="both"/>
              <w:textAlignment w:val="baseline"/>
              <w:rPr>
                <w:sz w:val="22"/>
                <w:szCs w:val="20"/>
              </w:rPr>
            </w:pPr>
            <w:r>
              <w:rPr>
                <w:sz w:val="22"/>
                <w:szCs w:val="20"/>
              </w:rPr>
              <w:t xml:space="preserve">   </w:t>
            </w:r>
            <w:r w:rsidR="00343D71" w:rsidRPr="0094135D">
              <w:rPr>
                <w:sz w:val="22"/>
                <w:szCs w:val="20"/>
              </w:rPr>
              <w:t>September</w:t>
            </w:r>
            <w:r w:rsidR="006D659C" w:rsidRPr="0094135D">
              <w:rPr>
                <w:sz w:val="22"/>
                <w:szCs w:val="20"/>
              </w:rPr>
              <w:t xml:space="preserve"> 202</w:t>
            </w:r>
            <w:r w:rsidR="00AD77F6" w:rsidRPr="0094135D">
              <w:rPr>
                <w:sz w:val="22"/>
                <w:szCs w:val="20"/>
              </w:rPr>
              <w:t>4</w:t>
            </w:r>
          </w:p>
        </w:tc>
        <w:tc>
          <w:tcPr>
            <w:tcW w:w="4405" w:type="dxa"/>
          </w:tcPr>
          <w:p w14:paraId="12248E0D" w14:textId="77777777" w:rsidR="00D628DA" w:rsidRPr="00D75EFC" w:rsidRDefault="00D628DA" w:rsidP="009A00BF">
            <w:pPr>
              <w:overflowPunct w:val="0"/>
              <w:autoSpaceDE w:val="0"/>
              <w:autoSpaceDN w:val="0"/>
              <w:adjustRightInd w:val="0"/>
              <w:jc w:val="both"/>
              <w:textAlignment w:val="baseline"/>
              <w:rPr>
                <w:b/>
                <w:sz w:val="22"/>
                <w:szCs w:val="20"/>
              </w:rPr>
            </w:pPr>
          </w:p>
          <w:p w14:paraId="1F6A5560" w14:textId="77777777" w:rsidR="007D5A08" w:rsidRPr="00D75EFC" w:rsidRDefault="007D5A08" w:rsidP="00716ABF">
            <w:pPr>
              <w:overflowPunct w:val="0"/>
              <w:autoSpaceDE w:val="0"/>
              <w:autoSpaceDN w:val="0"/>
              <w:adjustRightInd w:val="0"/>
              <w:textAlignment w:val="baseline"/>
              <w:rPr>
                <w:sz w:val="22"/>
                <w:szCs w:val="20"/>
              </w:rPr>
            </w:pPr>
          </w:p>
          <w:p w14:paraId="1F42A552" w14:textId="77777777" w:rsidR="00D628DA" w:rsidRPr="00D75EFC" w:rsidRDefault="00D75EFC" w:rsidP="00E81A89">
            <w:pPr>
              <w:overflowPunct w:val="0"/>
              <w:autoSpaceDE w:val="0"/>
              <w:autoSpaceDN w:val="0"/>
              <w:adjustRightInd w:val="0"/>
              <w:jc w:val="right"/>
              <w:textAlignment w:val="baseline"/>
              <w:rPr>
                <w:sz w:val="22"/>
                <w:szCs w:val="20"/>
              </w:rPr>
            </w:pPr>
            <w:r w:rsidRPr="00D75EFC">
              <w:rPr>
                <w:sz w:val="22"/>
                <w:szCs w:val="20"/>
              </w:rPr>
              <w:t>Wheatley House</w:t>
            </w:r>
          </w:p>
          <w:p w14:paraId="5ACCF4C8" w14:textId="77777777" w:rsidR="00D75EFC" w:rsidRPr="00D75EFC" w:rsidRDefault="00D75EFC" w:rsidP="006D659C">
            <w:pPr>
              <w:overflowPunct w:val="0"/>
              <w:autoSpaceDE w:val="0"/>
              <w:autoSpaceDN w:val="0"/>
              <w:adjustRightInd w:val="0"/>
              <w:jc w:val="right"/>
              <w:textAlignment w:val="baseline"/>
              <w:rPr>
                <w:sz w:val="22"/>
                <w:szCs w:val="20"/>
              </w:rPr>
            </w:pPr>
            <w:r w:rsidRPr="00D75EFC">
              <w:rPr>
                <w:sz w:val="22"/>
                <w:szCs w:val="20"/>
              </w:rPr>
              <w:t>25 Cochrane Street</w:t>
            </w:r>
          </w:p>
          <w:p w14:paraId="03D78D21" w14:textId="77777777" w:rsidR="00D75EFC" w:rsidRPr="00D75EFC" w:rsidRDefault="00D75EFC" w:rsidP="006D659C">
            <w:pPr>
              <w:overflowPunct w:val="0"/>
              <w:autoSpaceDE w:val="0"/>
              <w:autoSpaceDN w:val="0"/>
              <w:adjustRightInd w:val="0"/>
              <w:jc w:val="right"/>
              <w:textAlignment w:val="baseline"/>
              <w:rPr>
                <w:sz w:val="22"/>
                <w:szCs w:val="20"/>
              </w:rPr>
            </w:pPr>
            <w:r w:rsidRPr="00D75EFC">
              <w:rPr>
                <w:sz w:val="22"/>
                <w:szCs w:val="20"/>
              </w:rPr>
              <w:t>Gla</w:t>
            </w:r>
            <w:r>
              <w:rPr>
                <w:sz w:val="22"/>
                <w:szCs w:val="20"/>
              </w:rPr>
              <w:t>s</w:t>
            </w:r>
            <w:r w:rsidRPr="00D75EFC">
              <w:rPr>
                <w:sz w:val="22"/>
                <w:szCs w:val="20"/>
              </w:rPr>
              <w:t xml:space="preserve">gow </w:t>
            </w:r>
          </w:p>
          <w:p w14:paraId="7F4DD0C0" w14:textId="77777777" w:rsidR="00D75EFC" w:rsidRPr="00D75EFC" w:rsidRDefault="00D75EFC" w:rsidP="006D659C">
            <w:pPr>
              <w:overflowPunct w:val="0"/>
              <w:autoSpaceDE w:val="0"/>
              <w:autoSpaceDN w:val="0"/>
              <w:adjustRightInd w:val="0"/>
              <w:jc w:val="right"/>
              <w:textAlignment w:val="baseline"/>
              <w:rPr>
                <w:sz w:val="22"/>
                <w:szCs w:val="20"/>
              </w:rPr>
            </w:pPr>
            <w:r w:rsidRPr="00D75EFC">
              <w:rPr>
                <w:sz w:val="22"/>
                <w:szCs w:val="20"/>
              </w:rPr>
              <w:t>G1 1HL</w:t>
            </w:r>
          </w:p>
        </w:tc>
      </w:tr>
    </w:tbl>
    <w:p w14:paraId="0576B170" w14:textId="77777777" w:rsidR="00C87C78" w:rsidRDefault="00C87C78" w:rsidP="00DB35B8">
      <w:pPr>
        <w:rPr>
          <w:rFonts w:eastAsia="Calibri"/>
          <w:b/>
          <w:color w:val="10253F"/>
          <w:szCs w:val="22"/>
        </w:rPr>
      </w:pPr>
    </w:p>
    <w:p w14:paraId="301CF9FA" w14:textId="77777777" w:rsidR="00111915" w:rsidRDefault="00111915">
      <w:pPr>
        <w:rPr>
          <w:rFonts w:eastAsia="Calibri"/>
          <w:b/>
          <w:color w:val="10253F"/>
          <w:szCs w:val="22"/>
        </w:rPr>
      </w:pPr>
      <w:r>
        <w:rPr>
          <w:rFonts w:eastAsia="Calibri"/>
          <w:b/>
          <w:color w:val="10253F"/>
          <w:szCs w:val="22"/>
        </w:rPr>
        <w:br w:type="page"/>
      </w:r>
    </w:p>
    <w:p w14:paraId="47154437" w14:textId="62B7614F" w:rsidR="00DB35B8" w:rsidRDefault="00DB35B8" w:rsidP="00DB35B8">
      <w:pPr>
        <w:rPr>
          <w:rFonts w:eastAsia="Calibri"/>
          <w:b/>
          <w:color w:val="10253F"/>
          <w:szCs w:val="22"/>
        </w:rPr>
      </w:pPr>
      <w:r>
        <w:rPr>
          <w:rFonts w:eastAsia="Calibri"/>
          <w:b/>
          <w:color w:val="10253F"/>
          <w:szCs w:val="22"/>
        </w:rPr>
        <w:lastRenderedPageBreak/>
        <w:t>DIRECTORS’ REPORT</w:t>
      </w:r>
    </w:p>
    <w:p w14:paraId="4664B0A6" w14:textId="77777777" w:rsidR="005B1263" w:rsidRDefault="005B1263" w:rsidP="00D628DA">
      <w:pPr>
        <w:pStyle w:val="ACText"/>
        <w:spacing w:before="0"/>
        <w:rPr>
          <w:b/>
          <w:sz w:val="22"/>
          <w:szCs w:val="22"/>
        </w:rPr>
      </w:pPr>
    </w:p>
    <w:p w14:paraId="51CCECF8" w14:textId="20646433" w:rsidR="00D628DA" w:rsidRPr="00AE52E8" w:rsidRDefault="00455129" w:rsidP="00D628DA">
      <w:pPr>
        <w:pStyle w:val="ACText"/>
        <w:spacing w:before="0"/>
        <w:rPr>
          <w:b/>
          <w:sz w:val="22"/>
          <w:szCs w:val="22"/>
        </w:rPr>
      </w:pPr>
      <w:r>
        <w:rPr>
          <w:b/>
          <w:sz w:val="22"/>
          <w:szCs w:val="22"/>
        </w:rPr>
        <w:t xml:space="preserve">WHEATLEY HOMES SOUTH </w:t>
      </w:r>
      <w:r w:rsidR="009974A1" w:rsidRPr="00DB35B8">
        <w:rPr>
          <w:b/>
          <w:sz w:val="22"/>
          <w:szCs w:val="22"/>
        </w:rPr>
        <w:t>BOARD, COMMITTEE STRUCTURE AND RELATED MATTERS</w:t>
      </w:r>
    </w:p>
    <w:p w14:paraId="3DABCC26" w14:textId="77777777" w:rsidR="00D628DA" w:rsidRPr="00AE52E8" w:rsidRDefault="00D628DA" w:rsidP="00D628DA">
      <w:pPr>
        <w:ind w:left="720"/>
        <w:outlineLvl w:val="0"/>
        <w:rPr>
          <w:sz w:val="22"/>
          <w:szCs w:val="22"/>
        </w:rPr>
      </w:pPr>
    </w:p>
    <w:p w14:paraId="02C3906C" w14:textId="77777777" w:rsidR="00D628DA" w:rsidRPr="00AE52E8" w:rsidRDefault="00275B33" w:rsidP="00D628DA">
      <w:pPr>
        <w:rPr>
          <w:b/>
          <w:sz w:val="22"/>
          <w:szCs w:val="22"/>
        </w:rPr>
      </w:pPr>
      <w:r w:rsidRPr="00AE52E8">
        <w:rPr>
          <w:b/>
          <w:sz w:val="22"/>
          <w:szCs w:val="22"/>
        </w:rPr>
        <w:t>Directors and D</w:t>
      </w:r>
      <w:r w:rsidR="00D628DA" w:rsidRPr="00AE52E8">
        <w:rPr>
          <w:b/>
          <w:sz w:val="22"/>
          <w:szCs w:val="22"/>
        </w:rPr>
        <w:t>irectors’ interests</w:t>
      </w:r>
    </w:p>
    <w:p w14:paraId="23881EB5" w14:textId="77777777" w:rsidR="00D628DA" w:rsidRPr="00AE52E8" w:rsidRDefault="00275B33" w:rsidP="00D628DA">
      <w:pPr>
        <w:jc w:val="both"/>
        <w:rPr>
          <w:sz w:val="22"/>
          <w:szCs w:val="22"/>
        </w:rPr>
      </w:pPr>
      <w:r w:rsidRPr="00AE52E8">
        <w:rPr>
          <w:sz w:val="22"/>
          <w:szCs w:val="22"/>
        </w:rPr>
        <w:t>The D</w:t>
      </w:r>
      <w:r w:rsidR="00B3154D">
        <w:rPr>
          <w:sz w:val="22"/>
          <w:szCs w:val="22"/>
        </w:rPr>
        <w:t>irectors of the Company</w:t>
      </w:r>
      <w:r w:rsidR="00D628DA" w:rsidRPr="00AE52E8">
        <w:rPr>
          <w:sz w:val="22"/>
          <w:szCs w:val="22"/>
        </w:rPr>
        <w:t xml:space="preserve"> who held office during the year and up to the signing of the financial statements were:</w:t>
      </w:r>
    </w:p>
    <w:p w14:paraId="380EC452" w14:textId="77777777" w:rsidR="00D628DA" w:rsidRPr="00AE52E8" w:rsidRDefault="00D628DA" w:rsidP="00D628DA">
      <w:pPr>
        <w:rPr>
          <w:sz w:val="22"/>
          <w:szCs w:val="22"/>
        </w:rPr>
      </w:pPr>
    </w:p>
    <w:tbl>
      <w:tblPr>
        <w:tblW w:w="7797" w:type="dxa"/>
        <w:tblLook w:val="04A0" w:firstRow="1" w:lastRow="0" w:firstColumn="1" w:lastColumn="0" w:noHBand="0" w:noVBand="1"/>
      </w:tblPr>
      <w:tblGrid>
        <w:gridCol w:w="3402"/>
        <w:gridCol w:w="2268"/>
        <w:gridCol w:w="2127"/>
      </w:tblGrid>
      <w:tr w:rsidR="0075728E" w:rsidRPr="00AE52E8" w14:paraId="6740F5B9" w14:textId="77777777" w:rsidTr="00DA2C79">
        <w:trPr>
          <w:trHeight w:val="450"/>
        </w:trPr>
        <w:tc>
          <w:tcPr>
            <w:tcW w:w="3402" w:type="dxa"/>
            <w:shd w:val="clear" w:color="auto" w:fill="auto"/>
          </w:tcPr>
          <w:p w14:paraId="298E61F8" w14:textId="77777777" w:rsidR="0075728E" w:rsidRPr="00AE52E8" w:rsidRDefault="0075728E" w:rsidP="00D628DA">
            <w:pPr>
              <w:rPr>
                <w:b/>
                <w:sz w:val="20"/>
                <w:szCs w:val="22"/>
              </w:rPr>
            </w:pPr>
            <w:r w:rsidRPr="00AE52E8">
              <w:rPr>
                <w:b/>
                <w:sz w:val="20"/>
                <w:szCs w:val="22"/>
              </w:rPr>
              <w:t>Name</w:t>
            </w:r>
          </w:p>
        </w:tc>
        <w:tc>
          <w:tcPr>
            <w:tcW w:w="2268" w:type="dxa"/>
            <w:shd w:val="clear" w:color="auto" w:fill="auto"/>
          </w:tcPr>
          <w:p w14:paraId="56513B50" w14:textId="77777777" w:rsidR="0075728E" w:rsidRPr="00AE52E8" w:rsidRDefault="0075728E" w:rsidP="00D628DA">
            <w:pPr>
              <w:rPr>
                <w:b/>
                <w:sz w:val="20"/>
                <w:szCs w:val="22"/>
              </w:rPr>
            </w:pPr>
            <w:r>
              <w:rPr>
                <w:b/>
                <w:sz w:val="20"/>
                <w:szCs w:val="22"/>
              </w:rPr>
              <w:t>Appointed</w:t>
            </w:r>
          </w:p>
        </w:tc>
        <w:tc>
          <w:tcPr>
            <w:tcW w:w="2127" w:type="dxa"/>
            <w:shd w:val="clear" w:color="auto" w:fill="auto"/>
          </w:tcPr>
          <w:p w14:paraId="055D4C33" w14:textId="77777777" w:rsidR="0075728E" w:rsidRPr="00AE52E8" w:rsidRDefault="0075728E" w:rsidP="00D628DA">
            <w:pPr>
              <w:rPr>
                <w:b/>
                <w:sz w:val="20"/>
                <w:szCs w:val="22"/>
              </w:rPr>
            </w:pPr>
            <w:r>
              <w:rPr>
                <w:b/>
                <w:sz w:val="20"/>
                <w:szCs w:val="22"/>
              </w:rPr>
              <w:t>Resigned</w:t>
            </w:r>
          </w:p>
        </w:tc>
      </w:tr>
      <w:tr w:rsidR="0075728E" w:rsidRPr="00AE52E8" w14:paraId="3F9B4400" w14:textId="77777777" w:rsidTr="00DA2C79">
        <w:trPr>
          <w:trHeight w:val="450"/>
        </w:trPr>
        <w:tc>
          <w:tcPr>
            <w:tcW w:w="3402" w:type="dxa"/>
            <w:shd w:val="clear" w:color="auto" w:fill="auto"/>
          </w:tcPr>
          <w:p w14:paraId="421FB910" w14:textId="6A0982F5" w:rsidR="0075728E" w:rsidRPr="008A3BC5" w:rsidRDefault="0075728E" w:rsidP="00D628DA">
            <w:pPr>
              <w:rPr>
                <w:bCs/>
                <w:sz w:val="22"/>
                <w:szCs w:val="22"/>
              </w:rPr>
            </w:pPr>
            <w:r w:rsidRPr="008A3BC5">
              <w:rPr>
                <w:bCs/>
                <w:sz w:val="22"/>
                <w:szCs w:val="22"/>
              </w:rPr>
              <w:t>Maureen Dowden (</w:t>
            </w:r>
            <w:r w:rsidR="0018645F">
              <w:rPr>
                <w:bCs/>
                <w:sz w:val="22"/>
                <w:szCs w:val="22"/>
              </w:rPr>
              <w:t>C</w:t>
            </w:r>
            <w:r w:rsidRPr="008A3BC5">
              <w:rPr>
                <w:bCs/>
                <w:sz w:val="22"/>
                <w:szCs w:val="22"/>
              </w:rPr>
              <w:t>hair</w:t>
            </w:r>
            <w:r w:rsidR="00287EED">
              <w:rPr>
                <w:bCs/>
                <w:sz w:val="22"/>
                <w:szCs w:val="22"/>
              </w:rPr>
              <w:t xml:space="preserve"> to 20 September 2023</w:t>
            </w:r>
            <w:r w:rsidRPr="008A3BC5">
              <w:rPr>
                <w:bCs/>
                <w:sz w:val="22"/>
                <w:szCs w:val="22"/>
              </w:rPr>
              <w:t>)</w:t>
            </w:r>
          </w:p>
        </w:tc>
        <w:tc>
          <w:tcPr>
            <w:tcW w:w="2268" w:type="dxa"/>
            <w:shd w:val="clear" w:color="auto" w:fill="auto"/>
          </w:tcPr>
          <w:p w14:paraId="560B6225" w14:textId="77777777" w:rsidR="0075728E" w:rsidRPr="008A3BC5" w:rsidRDefault="0075728E" w:rsidP="00D628DA">
            <w:pPr>
              <w:rPr>
                <w:bCs/>
                <w:sz w:val="22"/>
                <w:szCs w:val="22"/>
              </w:rPr>
            </w:pPr>
            <w:r w:rsidRPr="008A3BC5">
              <w:rPr>
                <w:bCs/>
                <w:sz w:val="22"/>
                <w:szCs w:val="22"/>
              </w:rPr>
              <w:t>28 March 2018</w:t>
            </w:r>
          </w:p>
        </w:tc>
        <w:tc>
          <w:tcPr>
            <w:tcW w:w="2127" w:type="dxa"/>
            <w:shd w:val="clear" w:color="auto" w:fill="auto"/>
          </w:tcPr>
          <w:p w14:paraId="0DC0FC49" w14:textId="0DF74B59" w:rsidR="0075728E" w:rsidRPr="0075728E" w:rsidRDefault="007C077F" w:rsidP="00D628DA">
            <w:pPr>
              <w:rPr>
                <w:bCs/>
                <w:sz w:val="20"/>
                <w:szCs w:val="22"/>
              </w:rPr>
            </w:pPr>
            <w:r w:rsidRPr="0018645F">
              <w:rPr>
                <w:sz w:val="22"/>
                <w:szCs w:val="22"/>
              </w:rPr>
              <w:t>20 September 2023</w:t>
            </w:r>
          </w:p>
        </w:tc>
      </w:tr>
      <w:tr w:rsidR="00F62A7E" w:rsidRPr="00AE52E8" w14:paraId="4012E620" w14:textId="77777777" w:rsidTr="00F62A7E">
        <w:trPr>
          <w:trHeight w:val="68"/>
        </w:trPr>
        <w:tc>
          <w:tcPr>
            <w:tcW w:w="3402" w:type="dxa"/>
            <w:shd w:val="clear" w:color="auto" w:fill="auto"/>
          </w:tcPr>
          <w:p w14:paraId="56580536" w14:textId="77777777" w:rsidR="00F62A7E" w:rsidRPr="008A3BC5" w:rsidRDefault="00F62A7E" w:rsidP="00D628DA">
            <w:pPr>
              <w:rPr>
                <w:bCs/>
                <w:sz w:val="22"/>
                <w:szCs w:val="22"/>
              </w:rPr>
            </w:pPr>
          </w:p>
        </w:tc>
        <w:tc>
          <w:tcPr>
            <w:tcW w:w="2268" w:type="dxa"/>
            <w:shd w:val="clear" w:color="auto" w:fill="auto"/>
          </w:tcPr>
          <w:p w14:paraId="09CCDC3C" w14:textId="77777777" w:rsidR="00F62A7E" w:rsidRPr="008A3BC5" w:rsidRDefault="00F62A7E" w:rsidP="00D628DA">
            <w:pPr>
              <w:rPr>
                <w:bCs/>
                <w:sz w:val="22"/>
                <w:szCs w:val="22"/>
              </w:rPr>
            </w:pPr>
          </w:p>
        </w:tc>
        <w:tc>
          <w:tcPr>
            <w:tcW w:w="2127" w:type="dxa"/>
            <w:shd w:val="clear" w:color="auto" w:fill="auto"/>
          </w:tcPr>
          <w:p w14:paraId="1329A7B1" w14:textId="77777777" w:rsidR="00F62A7E" w:rsidRPr="0018645F" w:rsidRDefault="00F62A7E" w:rsidP="00D628DA">
            <w:pPr>
              <w:rPr>
                <w:sz w:val="22"/>
                <w:szCs w:val="22"/>
              </w:rPr>
            </w:pPr>
          </w:p>
        </w:tc>
      </w:tr>
      <w:tr w:rsidR="00F56E9D" w:rsidRPr="00AE52E8" w14:paraId="5CF2FDF6" w14:textId="77777777" w:rsidTr="00DA2C79">
        <w:trPr>
          <w:trHeight w:val="450"/>
        </w:trPr>
        <w:tc>
          <w:tcPr>
            <w:tcW w:w="3402" w:type="dxa"/>
            <w:shd w:val="clear" w:color="auto" w:fill="auto"/>
          </w:tcPr>
          <w:p w14:paraId="4BD2E790" w14:textId="0EEBF3A3" w:rsidR="00F56E9D" w:rsidRPr="00534F31" w:rsidRDefault="00F56E9D" w:rsidP="00F56E9D">
            <w:pPr>
              <w:rPr>
                <w:bCs/>
                <w:sz w:val="22"/>
                <w:szCs w:val="22"/>
              </w:rPr>
            </w:pPr>
            <w:r w:rsidRPr="00534F31">
              <w:rPr>
                <w:sz w:val="22"/>
                <w:szCs w:val="22"/>
              </w:rPr>
              <w:t>Fiona Burden</w:t>
            </w:r>
          </w:p>
        </w:tc>
        <w:tc>
          <w:tcPr>
            <w:tcW w:w="2268" w:type="dxa"/>
            <w:shd w:val="clear" w:color="auto" w:fill="auto"/>
          </w:tcPr>
          <w:p w14:paraId="750A5B9F" w14:textId="097D4FAA" w:rsidR="00F56E9D" w:rsidRPr="0075728E" w:rsidRDefault="00F56E9D" w:rsidP="00F56E9D">
            <w:pPr>
              <w:rPr>
                <w:bCs/>
                <w:sz w:val="22"/>
                <w:szCs w:val="22"/>
              </w:rPr>
            </w:pPr>
            <w:r>
              <w:rPr>
                <w:sz w:val="22"/>
                <w:szCs w:val="22"/>
              </w:rPr>
              <w:t>23 March 2020</w:t>
            </w:r>
          </w:p>
        </w:tc>
        <w:tc>
          <w:tcPr>
            <w:tcW w:w="2127" w:type="dxa"/>
            <w:shd w:val="clear" w:color="auto" w:fill="auto"/>
          </w:tcPr>
          <w:p w14:paraId="2969DA93" w14:textId="2CD51835" w:rsidR="00F56E9D" w:rsidRPr="0075728E" w:rsidRDefault="003F0EEF" w:rsidP="00F56E9D">
            <w:pPr>
              <w:rPr>
                <w:bCs/>
                <w:sz w:val="20"/>
                <w:szCs w:val="22"/>
              </w:rPr>
            </w:pPr>
            <w:r w:rsidRPr="00056755">
              <w:rPr>
                <w:sz w:val="22"/>
                <w:szCs w:val="22"/>
              </w:rPr>
              <w:t>29 May 2024</w:t>
            </w:r>
          </w:p>
        </w:tc>
      </w:tr>
      <w:tr w:rsidR="007F1CB7" w:rsidRPr="00AE52E8" w14:paraId="4071B99E" w14:textId="77777777" w:rsidTr="00DA2C79">
        <w:trPr>
          <w:trHeight w:val="450"/>
        </w:trPr>
        <w:tc>
          <w:tcPr>
            <w:tcW w:w="3402" w:type="dxa"/>
            <w:shd w:val="clear" w:color="auto" w:fill="auto"/>
          </w:tcPr>
          <w:p w14:paraId="43490AA3" w14:textId="1158716B" w:rsidR="007F1CB7" w:rsidRPr="00534F31" w:rsidRDefault="007F1CB7" w:rsidP="00F56E9D">
            <w:pPr>
              <w:rPr>
                <w:sz w:val="22"/>
                <w:szCs w:val="22"/>
              </w:rPr>
            </w:pPr>
            <w:r>
              <w:rPr>
                <w:sz w:val="22"/>
                <w:szCs w:val="22"/>
              </w:rPr>
              <w:t>Gary Legg</w:t>
            </w:r>
          </w:p>
        </w:tc>
        <w:tc>
          <w:tcPr>
            <w:tcW w:w="2268" w:type="dxa"/>
            <w:shd w:val="clear" w:color="auto" w:fill="auto"/>
          </w:tcPr>
          <w:p w14:paraId="6429ECA6" w14:textId="1B6B794C" w:rsidR="007F1CB7" w:rsidRDefault="001351EA" w:rsidP="00F56E9D">
            <w:pPr>
              <w:rPr>
                <w:sz w:val="22"/>
                <w:szCs w:val="22"/>
              </w:rPr>
            </w:pPr>
            <w:r>
              <w:rPr>
                <w:sz w:val="22"/>
                <w:szCs w:val="22"/>
              </w:rPr>
              <w:t>20 September 2023</w:t>
            </w:r>
          </w:p>
        </w:tc>
        <w:tc>
          <w:tcPr>
            <w:tcW w:w="2127" w:type="dxa"/>
            <w:shd w:val="clear" w:color="auto" w:fill="auto"/>
          </w:tcPr>
          <w:p w14:paraId="3768898D" w14:textId="05192950" w:rsidR="007F1CB7" w:rsidRDefault="001351EA" w:rsidP="00F56E9D">
            <w:pPr>
              <w:rPr>
                <w:sz w:val="22"/>
                <w:szCs w:val="22"/>
              </w:rPr>
            </w:pPr>
            <w:r>
              <w:rPr>
                <w:sz w:val="22"/>
                <w:szCs w:val="22"/>
              </w:rPr>
              <w:t>-</w:t>
            </w:r>
          </w:p>
        </w:tc>
      </w:tr>
      <w:tr w:rsidR="00AD0B43" w:rsidRPr="00AE52E8" w14:paraId="0F7E1FAA" w14:textId="77777777" w:rsidTr="00DA2C79">
        <w:trPr>
          <w:trHeight w:val="450"/>
        </w:trPr>
        <w:tc>
          <w:tcPr>
            <w:tcW w:w="3402" w:type="dxa"/>
            <w:shd w:val="clear" w:color="auto" w:fill="auto"/>
          </w:tcPr>
          <w:p w14:paraId="7CEBA8C4" w14:textId="78B49F8A" w:rsidR="00AD0B43" w:rsidRPr="00534F31" w:rsidRDefault="00AD0B43" w:rsidP="00AD0B43">
            <w:pPr>
              <w:rPr>
                <w:sz w:val="22"/>
                <w:szCs w:val="22"/>
              </w:rPr>
            </w:pPr>
            <w:r w:rsidRPr="00534F31">
              <w:rPr>
                <w:sz w:val="22"/>
                <w:szCs w:val="22"/>
              </w:rPr>
              <w:t>Michael Greaves-Mackintosh*</w:t>
            </w:r>
          </w:p>
        </w:tc>
        <w:tc>
          <w:tcPr>
            <w:tcW w:w="2268" w:type="dxa"/>
            <w:shd w:val="clear" w:color="auto" w:fill="auto"/>
          </w:tcPr>
          <w:p w14:paraId="77B665E7" w14:textId="445977EE" w:rsidR="00AD0B43" w:rsidRDefault="00AD0B43" w:rsidP="00AD0B43">
            <w:pPr>
              <w:rPr>
                <w:sz w:val="22"/>
                <w:szCs w:val="22"/>
              </w:rPr>
            </w:pPr>
            <w:r>
              <w:rPr>
                <w:sz w:val="22"/>
                <w:szCs w:val="22"/>
              </w:rPr>
              <w:t>28 September 2017</w:t>
            </w:r>
          </w:p>
        </w:tc>
        <w:tc>
          <w:tcPr>
            <w:tcW w:w="2127" w:type="dxa"/>
            <w:shd w:val="clear" w:color="auto" w:fill="auto"/>
          </w:tcPr>
          <w:p w14:paraId="2B70551E" w14:textId="375AB69C" w:rsidR="00AD0B43" w:rsidRDefault="00AD0B43" w:rsidP="00AD0B43">
            <w:pPr>
              <w:rPr>
                <w:sz w:val="22"/>
                <w:szCs w:val="22"/>
              </w:rPr>
            </w:pPr>
            <w:r>
              <w:rPr>
                <w:sz w:val="22"/>
                <w:szCs w:val="22"/>
              </w:rPr>
              <w:t>-</w:t>
            </w:r>
          </w:p>
        </w:tc>
      </w:tr>
      <w:tr w:rsidR="0028512D" w:rsidRPr="00AE52E8" w14:paraId="681BE20E" w14:textId="77777777" w:rsidTr="00DA2C79">
        <w:trPr>
          <w:trHeight w:val="450"/>
        </w:trPr>
        <w:tc>
          <w:tcPr>
            <w:tcW w:w="3402" w:type="dxa"/>
            <w:shd w:val="clear" w:color="auto" w:fill="auto"/>
          </w:tcPr>
          <w:p w14:paraId="1A0EA435" w14:textId="19FB8BB1" w:rsidR="0028512D" w:rsidRPr="00534F31" w:rsidRDefault="0028512D" w:rsidP="0028512D">
            <w:pPr>
              <w:rPr>
                <w:sz w:val="22"/>
                <w:szCs w:val="22"/>
              </w:rPr>
            </w:pPr>
            <w:r w:rsidRPr="00534F31">
              <w:rPr>
                <w:sz w:val="22"/>
                <w:szCs w:val="22"/>
              </w:rPr>
              <w:t>John Henderson</w:t>
            </w:r>
          </w:p>
        </w:tc>
        <w:tc>
          <w:tcPr>
            <w:tcW w:w="2268" w:type="dxa"/>
            <w:shd w:val="clear" w:color="auto" w:fill="auto"/>
          </w:tcPr>
          <w:p w14:paraId="3EBE350F" w14:textId="622AC8A9" w:rsidR="0028512D" w:rsidRDefault="0028512D" w:rsidP="0028512D">
            <w:pPr>
              <w:rPr>
                <w:sz w:val="22"/>
                <w:szCs w:val="22"/>
              </w:rPr>
            </w:pPr>
            <w:r>
              <w:rPr>
                <w:sz w:val="22"/>
                <w:szCs w:val="22"/>
              </w:rPr>
              <w:t>27 September 2018</w:t>
            </w:r>
          </w:p>
        </w:tc>
        <w:tc>
          <w:tcPr>
            <w:tcW w:w="2127" w:type="dxa"/>
            <w:shd w:val="clear" w:color="auto" w:fill="auto"/>
          </w:tcPr>
          <w:p w14:paraId="220655F2" w14:textId="1E60E08D" w:rsidR="0028512D" w:rsidRDefault="0028512D" w:rsidP="0028512D">
            <w:pPr>
              <w:rPr>
                <w:sz w:val="22"/>
                <w:szCs w:val="22"/>
              </w:rPr>
            </w:pPr>
            <w:r w:rsidRPr="00AE52E8">
              <w:rPr>
                <w:sz w:val="22"/>
                <w:szCs w:val="22"/>
              </w:rPr>
              <w:t>-</w:t>
            </w:r>
          </w:p>
        </w:tc>
      </w:tr>
      <w:tr w:rsidR="0098676E" w:rsidRPr="00AE52E8" w14:paraId="24026E06" w14:textId="77777777" w:rsidTr="00DA2C79">
        <w:trPr>
          <w:trHeight w:val="450"/>
        </w:trPr>
        <w:tc>
          <w:tcPr>
            <w:tcW w:w="3402" w:type="dxa"/>
            <w:shd w:val="clear" w:color="auto" w:fill="auto"/>
          </w:tcPr>
          <w:p w14:paraId="6B9BEBEE" w14:textId="13F701D1" w:rsidR="0098676E" w:rsidRPr="00534F31" w:rsidRDefault="0098676E" w:rsidP="0028512D">
            <w:pPr>
              <w:rPr>
                <w:sz w:val="22"/>
                <w:szCs w:val="22"/>
              </w:rPr>
            </w:pPr>
            <w:r w:rsidRPr="00534F31">
              <w:rPr>
                <w:sz w:val="22"/>
                <w:szCs w:val="22"/>
              </w:rPr>
              <w:t>Hugh Martin</w:t>
            </w:r>
            <w:r w:rsidR="00C240EF" w:rsidRPr="00534F31">
              <w:rPr>
                <w:sz w:val="22"/>
                <w:szCs w:val="22"/>
              </w:rPr>
              <w:t>*</w:t>
            </w:r>
          </w:p>
        </w:tc>
        <w:tc>
          <w:tcPr>
            <w:tcW w:w="2268" w:type="dxa"/>
            <w:shd w:val="clear" w:color="auto" w:fill="auto"/>
          </w:tcPr>
          <w:p w14:paraId="57B6F32F" w14:textId="5D297F5A" w:rsidR="0098676E" w:rsidRDefault="0098676E" w:rsidP="0028512D">
            <w:pPr>
              <w:rPr>
                <w:sz w:val="22"/>
                <w:szCs w:val="22"/>
              </w:rPr>
            </w:pPr>
            <w:r>
              <w:rPr>
                <w:sz w:val="22"/>
                <w:szCs w:val="22"/>
              </w:rPr>
              <w:t>30 March 2022</w:t>
            </w:r>
          </w:p>
        </w:tc>
        <w:tc>
          <w:tcPr>
            <w:tcW w:w="2127" w:type="dxa"/>
            <w:shd w:val="clear" w:color="auto" w:fill="auto"/>
          </w:tcPr>
          <w:p w14:paraId="209C374E" w14:textId="57996A60" w:rsidR="0098676E" w:rsidRDefault="005162A4" w:rsidP="0028512D">
            <w:pPr>
              <w:rPr>
                <w:sz w:val="22"/>
                <w:szCs w:val="22"/>
              </w:rPr>
            </w:pPr>
            <w:r>
              <w:rPr>
                <w:sz w:val="22"/>
                <w:szCs w:val="22"/>
              </w:rPr>
              <w:t>-</w:t>
            </w:r>
          </w:p>
        </w:tc>
      </w:tr>
      <w:tr w:rsidR="0028512D" w:rsidRPr="00AE52E8" w14:paraId="476409E0" w14:textId="77777777" w:rsidTr="00DA2C79">
        <w:trPr>
          <w:trHeight w:val="450"/>
        </w:trPr>
        <w:tc>
          <w:tcPr>
            <w:tcW w:w="3402" w:type="dxa"/>
            <w:shd w:val="clear" w:color="auto" w:fill="auto"/>
          </w:tcPr>
          <w:p w14:paraId="2BD047E5" w14:textId="59983556" w:rsidR="0028512D" w:rsidRPr="00534F31" w:rsidRDefault="0028512D" w:rsidP="0028512D">
            <w:pPr>
              <w:rPr>
                <w:sz w:val="22"/>
                <w:szCs w:val="22"/>
              </w:rPr>
            </w:pPr>
            <w:r w:rsidRPr="00534F31">
              <w:rPr>
                <w:sz w:val="22"/>
                <w:szCs w:val="22"/>
              </w:rPr>
              <w:t>John McCraw*</w:t>
            </w:r>
          </w:p>
        </w:tc>
        <w:tc>
          <w:tcPr>
            <w:tcW w:w="2268" w:type="dxa"/>
            <w:shd w:val="clear" w:color="auto" w:fill="auto"/>
          </w:tcPr>
          <w:p w14:paraId="7062F847" w14:textId="3F42FBE9" w:rsidR="0028512D" w:rsidRDefault="0028512D" w:rsidP="0028512D">
            <w:pPr>
              <w:rPr>
                <w:sz w:val="22"/>
                <w:szCs w:val="22"/>
              </w:rPr>
            </w:pPr>
            <w:r>
              <w:rPr>
                <w:sz w:val="22"/>
                <w:szCs w:val="22"/>
              </w:rPr>
              <w:t>17 September 2019</w:t>
            </w:r>
          </w:p>
        </w:tc>
        <w:tc>
          <w:tcPr>
            <w:tcW w:w="2127" w:type="dxa"/>
            <w:shd w:val="clear" w:color="auto" w:fill="auto"/>
          </w:tcPr>
          <w:p w14:paraId="1FDB9EB3" w14:textId="07C6E10E" w:rsidR="0028512D" w:rsidRDefault="0028512D" w:rsidP="0028512D">
            <w:pPr>
              <w:rPr>
                <w:sz w:val="22"/>
                <w:szCs w:val="22"/>
              </w:rPr>
            </w:pPr>
            <w:r>
              <w:rPr>
                <w:sz w:val="22"/>
                <w:szCs w:val="22"/>
              </w:rPr>
              <w:t>-</w:t>
            </w:r>
          </w:p>
        </w:tc>
      </w:tr>
      <w:tr w:rsidR="005162A4" w:rsidRPr="00AE52E8" w14:paraId="7248A12A" w14:textId="77777777" w:rsidTr="00DA2C79">
        <w:trPr>
          <w:trHeight w:val="450"/>
        </w:trPr>
        <w:tc>
          <w:tcPr>
            <w:tcW w:w="3402" w:type="dxa"/>
            <w:shd w:val="clear" w:color="auto" w:fill="auto"/>
          </w:tcPr>
          <w:p w14:paraId="1A2DD255" w14:textId="7FC74BDB" w:rsidR="005162A4" w:rsidRPr="0075728E" w:rsidRDefault="005162A4" w:rsidP="0028512D">
            <w:pPr>
              <w:rPr>
                <w:sz w:val="22"/>
                <w:szCs w:val="22"/>
              </w:rPr>
            </w:pPr>
            <w:r>
              <w:rPr>
                <w:sz w:val="22"/>
                <w:szCs w:val="22"/>
              </w:rPr>
              <w:t>Josephine Boaden</w:t>
            </w:r>
            <w:r w:rsidR="00F664CD">
              <w:rPr>
                <w:sz w:val="22"/>
                <w:szCs w:val="22"/>
              </w:rPr>
              <w:t xml:space="preserve"> </w:t>
            </w:r>
            <w:r w:rsidR="00F664CD" w:rsidRPr="00287EED">
              <w:rPr>
                <w:sz w:val="22"/>
                <w:szCs w:val="22"/>
              </w:rPr>
              <w:t>(</w:t>
            </w:r>
            <w:r w:rsidR="00287EED">
              <w:rPr>
                <w:sz w:val="22"/>
                <w:szCs w:val="22"/>
              </w:rPr>
              <w:t>Chair from</w:t>
            </w:r>
            <w:r w:rsidR="00F664CD" w:rsidRPr="00287EED">
              <w:rPr>
                <w:sz w:val="22"/>
                <w:szCs w:val="22"/>
              </w:rPr>
              <w:t xml:space="preserve"> </w:t>
            </w:r>
            <w:r w:rsidR="00F664CD">
              <w:rPr>
                <w:sz w:val="22"/>
                <w:szCs w:val="22"/>
              </w:rPr>
              <w:t>20 Sept</w:t>
            </w:r>
            <w:r w:rsidR="00287EED">
              <w:rPr>
                <w:sz w:val="22"/>
                <w:szCs w:val="22"/>
              </w:rPr>
              <w:t>ember</w:t>
            </w:r>
            <w:r w:rsidR="00F664CD">
              <w:rPr>
                <w:sz w:val="22"/>
                <w:szCs w:val="22"/>
              </w:rPr>
              <w:t xml:space="preserve"> 2023</w:t>
            </w:r>
            <w:r w:rsidR="00287EED">
              <w:rPr>
                <w:sz w:val="22"/>
                <w:szCs w:val="22"/>
              </w:rPr>
              <w:t>)</w:t>
            </w:r>
            <w:r w:rsidR="00F664CD">
              <w:rPr>
                <w:sz w:val="22"/>
                <w:szCs w:val="22"/>
              </w:rPr>
              <w:t xml:space="preserve"> </w:t>
            </w:r>
          </w:p>
        </w:tc>
        <w:tc>
          <w:tcPr>
            <w:tcW w:w="2268" w:type="dxa"/>
            <w:shd w:val="clear" w:color="auto" w:fill="auto"/>
          </w:tcPr>
          <w:p w14:paraId="6AEABEA0" w14:textId="4F2EF596" w:rsidR="005162A4" w:rsidRDefault="005162A4" w:rsidP="0028512D">
            <w:pPr>
              <w:rPr>
                <w:sz w:val="22"/>
                <w:szCs w:val="22"/>
              </w:rPr>
            </w:pPr>
            <w:r>
              <w:rPr>
                <w:sz w:val="22"/>
                <w:szCs w:val="22"/>
              </w:rPr>
              <w:t>21 September 2022</w:t>
            </w:r>
          </w:p>
        </w:tc>
        <w:tc>
          <w:tcPr>
            <w:tcW w:w="2127" w:type="dxa"/>
            <w:shd w:val="clear" w:color="auto" w:fill="auto"/>
          </w:tcPr>
          <w:p w14:paraId="4A9FDF5C" w14:textId="57905854" w:rsidR="005162A4" w:rsidRDefault="005162A4" w:rsidP="0028512D">
            <w:pPr>
              <w:rPr>
                <w:sz w:val="22"/>
                <w:szCs w:val="22"/>
              </w:rPr>
            </w:pPr>
            <w:r>
              <w:rPr>
                <w:sz w:val="22"/>
                <w:szCs w:val="22"/>
              </w:rPr>
              <w:t>-</w:t>
            </w:r>
          </w:p>
        </w:tc>
      </w:tr>
      <w:tr w:rsidR="004558DF" w:rsidRPr="00AE52E8" w14:paraId="15618E65" w14:textId="77777777" w:rsidTr="004558DF">
        <w:trPr>
          <w:trHeight w:val="132"/>
        </w:trPr>
        <w:tc>
          <w:tcPr>
            <w:tcW w:w="3402" w:type="dxa"/>
            <w:shd w:val="clear" w:color="auto" w:fill="auto"/>
          </w:tcPr>
          <w:p w14:paraId="493EEA97" w14:textId="77777777" w:rsidR="004558DF" w:rsidRDefault="004558DF" w:rsidP="0028512D">
            <w:pPr>
              <w:rPr>
                <w:sz w:val="22"/>
                <w:szCs w:val="22"/>
              </w:rPr>
            </w:pPr>
          </w:p>
        </w:tc>
        <w:tc>
          <w:tcPr>
            <w:tcW w:w="2268" w:type="dxa"/>
            <w:shd w:val="clear" w:color="auto" w:fill="auto"/>
          </w:tcPr>
          <w:p w14:paraId="0DBA6DCA" w14:textId="77777777" w:rsidR="004558DF" w:rsidRDefault="004558DF" w:rsidP="0028512D">
            <w:pPr>
              <w:rPr>
                <w:sz w:val="22"/>
                <w:szCs w:val="22"/>
              </w:rPr>
            </w:pPr>
          </w:p>
        </w:tc>
        <w:tc>
          <w:tcPr>
            <w:tcW w:w="2127" w:type="dxa"/>
            <w:shd w:val="clear" w:color="auto" w:fill="auto"/>
          </w:tcPr>
          <w:p w14:paraId="44128412" w14:textId="77777777" w:rsidR="004558DF" w:rsidRDefault="004558DF" w:rsidP="0028512D">
            <w:pPr>
              <w:rPr>
                <w:sz w:val="22"/>
                <w:szCs w:val="22"/>
              </w:rPr>
            </w:pPr>
          </w:p>
        </w:tc>
      </w:tr>
      <w:tr w:rsidR="00540A8C" w:rsidRPr="00AE52E8" w14:paraId="6D6F9B89" w14:textId="77777777" w:rsidTr="004558DF">
        <w:trPr>
          <w:trHeight w:val="535"/>
        </w:trPr>
        <w:tc>
          <w:tcPr>
            <w:tcW w:w="3402" w:type="dxa"/>
            <w:shd w:val="clear" w:color="auto" w:fill="auto"/>
          </w:tcPr>
          <w:p w14:paraId="2510E3E7" w14:textId="795D6946" w:rsidR="0018645F" w:rsidRDefault="00540A8C" w:rsidP="0028512D">
            <w:pPr>
              <w:rPr>
                <w:sz w:val="22"/>
                <w:szCs w:val="22"/>
              </w:rPr>
            </w:pPr>
            <w:r>
              <w:rPr>
                <w:sz w:val="22"/>
                <w:szCs w:val="22"/>
              </w:rPr>
              <w:t>Karen Hunter</w:t>
            </w:r>
          </w:p>
        </w:tc>
        <w:tc>
          <w:tcPr>
            <w:tcW w:w="2268" w:type="dxa"/>
            <w:shd w:val="clear" w:color="auto" w:fill="auto"/>
          </w:tcPr>
          <w:p w14:paraId="1CC60601" w14:textId="77777777" w:rsidR="00540A8C" w:rsidRDefault="00540A8C" w:rsidP="0028512D">
            <w:pPr>
              <w:rPr>
                <w:sz w:val="22"/>
                <w:szCs w:val="22"/>
              </w:rPr>
            </w:pPr>
            <w:r>
              <w:rPr>
                <w:sz w:val="22"/>
                <w:szCs w:val="22"/>
              </w:rPr>
              <w:t>29 March 2023</w:t>
            </w:r>
          </w:p>
          <w:p w14:paraId="1403D31D" w14:textId="16AC5998" w:rsidR="0018645F" w:rsidRDefault="0018645F" w:rsidP="0028512D">
            <w:pPr>
              <w:rPr>
                <w:sz w:val="22"/>
                <w:szCs w:val="22"/>
              </w:rPr>
            </w:pPr>
          </w:p>
        </w:tc>
        <w:tc>
          <w:tcPr>
            <w:tcW w:w="2127" w:type="dxa"/>
            <w:shd w:val="clear" w:color="auto" w:fill="auto"/>
          </w:tcPr>
          <w:p w14:paraId="5206FA67" w14:textId="570C1BF2" w:rsidR="007C077F" w:rsidRDefault="00540A8C" w:rsidP="0028512D">
            <w:pPr>
              <w:rPr>
                <w:sz w:val="22"/>
                <w:szCs w:val="22"/>
              </w:rPr>
            </w:pPr>
            <w:r>
              <w:rPr>
                <w:sz w:val="22"/>
                <w:szCs w:val="22"/>
              </w:rPr>
              <w:t>-</w:t>
            </w:r>
          </w:p>
          <w:p w14:paraId="71C6A9DE" w14:textId="6CF5D2FD" w:rsidR="0018645F" w:rsidRDefault="0018645F" w:rsidP="0028512D">
            <w:pPr>
              <w:rPr>
                <w:sz w:val="22"/>
                <w:szCs w:val="22"/>
              </w:rPr>
            </w:pPr>
          </w:p>
        </w:tc>
      </w:tr>
      <w:tr w:rsidR="00F919D3" w:rsidRPr="00AE52E8" w14:paraId="2EACB68D" w14:textId="77777777" w:rsidTr="004558DF">
        <w:trPr>
          <w:trHeight w:val="535"/>
        </w:trPr>
        <w:tc>
          <w:tcPr>
            <w:tcW w:w="3402" w:type="dxa"/>
            <w:shd w:val="clear" w:color="auto" w:fill="auto"/>
          </w:tcPr>
          <w:p w14:paraId="1FE898B4" w14:textId="1CD6F0B4" w:rsidR="00F919D3" w:rsidRDefault="00F919D3" w:rsidP="00A023AF">
            <w:pPr>
              <w:rPr>
                <w:sz w:val="22"/>
                <w:szCs w:val="22"/>
              </w:rPr>
            </w:pPr>
            <w:r>
              <w:rPr>
                <w:sz w:val="22"/>
                <w:szCs w:val="22"/>
              </w:rPr>
              <w:t>Martin Dorby</w:t>
            </w:r>
          </w:p>
        </w:tc>
        <w:tc>
          <w:tcPr>
            <w:tcW w:w="2268" w:type="dxa"/>
            <w:shd w:val="clear" w:color="auto" w:fill="auto"/>
          </w:tcPr>
          <w:p w14:paraId="3936FDF8" w14:textId="53F0C5FB" w:rsidR="00F919D3" w:rsidRDefault="00056755" w:rsidP="0028512D">
            <w:pPr>
              <w:rPr>
                <w:sz w:val="22"/>
                <w:szCs w:val="22"/>
              </w:rPr>
            </w:pPr>
            <w:r>
              <w:rPr>
                <w:sz w:val="22"/>
                <w:szCs w:val="22"/>
              </w:rPr>
              <w:t>2</w:t>
            </w:r>
            <w:r w:rsidR="00DB414D">
              <w:rPr>
                <w:sz w:val="22"/>
                <w:szCs w:val="22"/>
              </w:rPr>
              <w:t>9 May 2024</w:t>
            </w:r>
          </w:p>
        </w:tc>
        <w:tc>
          <w:tcPr>
            <w:tcW w:w="2127" w:type="dxa"/>
            <w:shd w:val="clear" w:color="auto" w:fill="auto"/>
          </w:tcPr>
          <w:p w14:paraId="0DB9DF00" w14:textId="2E88304C" w:rsidR="00F919D3" w:rsidRDefault="00DB414D" w:rsidP="0028512D">
            <w:pPr>
              <w:rPr>
                <w:sz w:val="22"/>
                <w:szCs w:val="22"/>
              </w:rPr>
            </w:pPr>
            <w:r>
              <w:rPr>
                <w:sz w:val="22"/>
                <w:szCs w:val="22"/>
              </w:rPr>
              <w:t>-</w:t>
            </w:r>
          </w:p>
        </w:tc>
      </w:tr>
    </w:tbl>
    <w:p w14:paraId="0BF87467" w14:textId="77777777" w:rsidR="00D628DA" w:rsidRPr="00885093" w:rsidRDefault="008A3221" w:rsidP="00D628DA">
      <w:pPr>
        <w:rPr>
          <w:sz w:val="22"/>
          <w:szCs w:val="22"/>
        </w:rPr>
      </w:pPr>
      <w:r w:rsidRPr="00AF5D1B">
        <w:rPr>
          <w:sz w:val="22"/>
          <w:szCs w:val="22"/>
        </w:rPr>
        <w:t>* tenant of the Company</w:t>
      </w:r>
    </w:p>
    <w:p w14:paraId="55964AA4" w14:textId="77777777" w:rsidR="00D628DA" w:rsidRPr="00885093" w:rsidRDefault="00D628DA" w:rsidP="00D628DA">
      <w:pPr>
        <w:rPr>
          <w:sz w:val="22"/>
          <w:szCs w:val="22"/>
        </w:rPr>
      </w:pPr>
    </w:p>
    <w:p w14:paraId="01BA55E7" w14:textId="77777777" w:rsidR="00D628DA" w:rsidRPr="00885093" w:rsidRDefault="00D628DA" w:rsidP="007D5A08">
      <w:pPr>
        <w:pStyle w:val="ACText"/>
        <w:spacing w:before="0"/>
        <w:rPr>
          <w:sz w:val="22"/>
          <w:szCs w:val="22"/>
        </w:rPr>
      </w:pPr>
      <w:r w:rsidRPr="00885093">
        <w:rPr>
          <w:sz w:val="22"/>
          <w:szCs w:val="22"/>
        </w:rPr>
        <w:t>No directors who held office during the year held any disclosable interest in the shares of the company.</w:t>
      </w:r>
    </w:p>
    <w:p w14:paraId="647E3251" w14:textId="77777777" w:rsidR="00D628DA" w:rsidRPr="00885093" w:rsidRDefault="00D628DA" w:rsidP="007D5A08">
      <w:pPr>
        <w:jc w:val="both"/>
        <w:rPr>
          <w:sz w:val="22"/>
          <w:szCs w:val="22"/>
        </w:rPr>
      </w:pPr>
    </w:p>
    <w:p w14:paraId="585D3E7E" w14:textId="3961E0F8" w:rsidR="00D628DA" w:rsidRPr="00885093" w:rsidRDefault="00D628DA" w:rsidP="007D5A08">
      <w:pPr>
        <w:jc w:val="both"/>
        <w:rPr>
          <w:sz w:val="22"/>
          <w:szCs w:val="22"/>
        </w:rPr>
      </w:pPr>
      <w:r w:rsidRPr="00885093">
        <w:rPr>
          <w:sz w:val="22"/>
          <w:szCs w:val="22"/>
        </w:rPr>
        <w:t>The Directors are also trustees of the charity and are appointed b</w:t>
      </w:r>
      <w:r w:rsidR="00B3154D">
        <w:rPr>
          <w:sz w:val="22"/>
          <w:szCs w:val="22"/>
        </w:rPr>
        <w:t>y the members of the Company</w:t>
      </w:r>
      <w:r w:rsidRPr="00885093">
        <w:rPr>
          <w:sz w:val="22"/>
          <w:szCs w:val="22"/>
        </w:rPr>
        <w:t xml:space="preserve"> at its Annua</w:t>
      </w:r>
      <w:r w:rsidR="00DF6C06">
        <w:rPr>
          <w:sz w:val="22"/>
          <w:szCs w:val="22"/>
        </w:rPr>
        <w:t>l General Meeting</w:t>
      </w:r>
      <w:r w:rsidRPr="00885093">
        <w:rPr>
          <w:sz w:val="22"/>
          <w:szCs w:val="22"/>
        </w:rPr>
        <w:t>.</w:t>
      </w:r>
      <w:r w:rsidRPr="00885093">
        <w:rPr>
          <w:sz w:val="22"/>
          <w:szCs w:val="22"/>
        </w:rPr>
        <w:fldChar w:fldCharType="begin"/>
      </w:r>
      <w:r w:rsidRPr="00885093">
        <w:rPr>
          <w:sz w:val="22"/>
          <w:szCs w:val="22"/>
        </w:rPr>
        <w:instrText xml:space="preserve"> TC "</w:instrText>
      </w:r>
      <w:bookmarkStart w:id="3" w:name="_Toc394330775"/>
      <w:bookmarkStart w:id="4" w:name="_Toc394330983"/>
      <w:r w:rsidRPr="00885093">
        <w:rPr>
          <w:sz w:val="22"/>
          <w:szCs w:val="22"/>
        </w:rPr>
        <w:instrText>MANAGEMENT COMMITTEE REPORT</w:instrText>
      </w:r>
      <w:bookmarkEnd w:id="3"/>
      <w:bookmarkEnd w:id="4"/>
      <w:r w:rsidRPr="00885093">
        <w:rPr>
          <w:sz w:val="22"/>
          <w:szCs w:val="22"/>
        </w:rPr>
        <w:instrText xml:space="preserve">" \f C \l "1" </w:instrText>
      </w:r>
      <w:r w:rsidRPr="00885093">
        <w:rPr>
          <w:sz w:val="22"/>
          <w:szCs w:val="22"/>
        </w:rPr>
        <w:fldChar w:fldCharType="end"/>
      </w:r>
    </w:p>
    <w:p w14:paraId="0C335C4A" w14:textId="77777777" w:rsidR="00D628DA" w:rsidRPr="00885093" w:rsidRDefault="00D628DA" w:rsidP="007D5A08">
      <w:pPr>
        <w:jc w:val="both"/>
        <w:rPr>
          <w:sz w:val="22"/>
          <w:szCs w:val="22"/>
        </w:rPr>
      </w:pPr>
    </w:p>
    <w:p w14:paraId="296847AB" w14:textId="77777777" w:rsidR="00D628DA" w:rsidRPr="00885093" w:rsidRDefault="00D628DA" w:rsidP="007D5A08">
      <w:pPr>
        <w:jc w:val="both"/>
        <w:rPr>
          <w:b/>
          <w:sz w:val="22"/>
          <w:szCs w:val="22"/>
        </w:rPr>
      </w:pPr>
      <w:r w:rsidRPr="00885093">
        <w:rPr>
          <w:b/>
          <w:sz w:val="22"/>
          <w:szCs w:val="22"/>
        </w:rPr>
        <w:t>Creditor payment policy</w:t>
      </w:r>
    </w:p>
    <w:p w14:paraId="20923B39" w14:textId="758C9A54" w:rsidR="00D628DA" w:rsidRPr="00885093" w:rsidRDefault="00FF5922" w:rsidP="007D5A08">
      <w:pPr>
        <w:jc w:val="both"/>
        <w:rPr>
          <w:sz w:val="22"/>
          <w:szCs w:val="22"/>
        </w:rPr>
      </w:pPr>
      <w:r>
        <w:rPr>
          <w:sz w:val="22"/>
          <w:szCs w:val="22"/>
        </w:rPr>
        <w:t>WHS</w:t>
      </w:r>
      <w:r w:rsidR="00D628DA" w:rsidRPr="00885093">
        <w:rPr>
          <w:sz w:val="22"/>
          <w:szCs w:val="22"/>
        </w:rPr>
        <w:t xml:space="preserve"> agrees payment terms with its suppliers when it enters into contracts. The average creditor payment period for the year was within 30 days.</w:t>
      </w:r>
    </w:p>
    <w:p w14:paraId="24F6B3DA" w14:textId="77777777" w:rsidR="00D628DA" w:rsidRPr="00885093" w:rsidRDefault="00D628DA" w:rsidP="007D5A08">
      <w:pPr>
        <w:jc w:val="both"/>
        <w:rPr>
          <w:b/>
          <w:sz w:val="22"/>
          <w:szCs w:val="22"/>
        </w:rPr>
      </w:pPr>
    </w:p>
    <w:p w14:paraId="275E8A3D" w14:textId="77777777" w:rsidR="00D628DA" w:rsidRPr="00885093" w:rsidRDefault="00D628DA" w:rsidP="00D628DA">
      <w:pPr>
        <w:pStyle w:val="ACText"/>
        <w:spacing w:before="0"/>
        <w:rPr>
          <w:b/>
          <w:sz w:val="22"/>
          <w:szCs w:val="22"/>
        </w:rPr>
      </w:pPr>
      <w:r w:rsidRPr="00885093">
        <w:rPr>
          <w:b/>
          <w:sz w:val="22"/>
          <w:szCs w:val="22"/>
        </w:rPr>
        <w:t>Disclosure of information to auditor</w:t>
      </w:r>
    </w:p>
    <w:p w14:paraId="5D903790" w14:textId="2632EFA1" w:rsidR="001B3E45" w:rsidRDefault="00D628DA" w:rsidP="00D628DA">
      <w:pPr>
        <w:jc w:val="both"/>
        <w:rPr>
          <w:sz w:val="22"/>
          <w:szCs w:val="20"/>
        </w:rPr>
      </w:pPr>
      <w:r w:rsidRPr="00885093">
        <w:rPr>
          <w:sz w:val="22"/>
          <w:szCs w:val="20"/>
        </w:rPr>
        <w:t>The Board members who held office at the date of approval of these statements confirm that, so far as they are each aware, there is no relevant information</w:t>
      </w:r>
      <w:r w:rsidR="004365CB" w:rsidRPr="00885093">
        <w:rPr>
          <w:sz w:val="22"/>
          <w:szCs w:val="20"/>
        </w:rPr>
        <w:t xml:space="preserve"> of which the Company’s auditor is</w:t>
      </w:r>
      <w:r w:rsidRPr="00885093">
        <w:rPr>
          <w:sz w:val="22"/>
          <w:szCs w:val="20"/>
        </w:rPr>
        <w:t xml:space="preserve"> unaware; and each Board member has taken all the steps that he/she ought to have taken as a Board member to make himself/herself aware of any relevant audit information and to estab</w:t>
      </w:r>
      <w:r w:rsidR="004365CB" w:rsidRPr="00885093">
        <w:rPr>
          <w:sz w:val="22"/>
          <w:szCs w:val="20"/>
        </w:rPr>
        <w:t>lish that the Company’s auditor is</w:t>
      </w:r>
      <w:r w:rsidRPr="00885093">
        <w:rPr>
          <w:sz w:val="22"/>
          <w:szCs w:val="20"/>
        </w:rPr>
        <w:t xml:space="preserve"> aware of that information.</w:t>
      </w:r>
    </w:p>
    <w:p w14:paraId="2BB99558" w14:textId="77777777" w:rsidR="0075728E" w:rsidRDefault="0075728E" w:rsidP="00D628DA">
      <w:pPr>
        <w:jc w:val="both"/>
        <w:rPr>
          <w:sz w:val="22"/>
          <w:szCs w:val="20"/>
        </w:rPr>
      </w:pPr>
    </w:p>
    <w:p w14:paraId="3CEBE251" w14:textId="77777777" w:rsidR="00FF5922" w:rsidRDefault="00FF5922" w:rsidP="00D628DA">
      <w:pPr>
        <w:jc w:val="both"/>
        <w:rPr>
          <w:sz w:val="22"/>
          <w:szCs w:val="20"/>
        </w:rPr>
      </w:pPr>
    </w:p>
    <w:p w14:paraId="73EF777C" w14:textId="77777777" w:rsidR="00B67E9E" w:rsidRDefault="00B67E9E">
      <w:pPr>
        <w:rPr>
          <w:rFonts w:eastAsia="Calibri"/>
          <w:b/>
          <w:color w:val="10253F"/>
          <w:szCs w:val="22"/>
        </w:rPr>
      </w:pPr>
      <w:bookmarkStart w:id="5" w:name="_Hlk74322976"/>
      <w:r>
        <w:rPr>
          <w:rFonts w:eastAsia="Calibri"/>
          <w:b/>
          <w:color w:val="10253F"/>
          <w:szCs w:val="22"/>
        </w:rPr>
        <w:br w:type="page"/>
      </w:r>
    </w:p>
    <w:p w14:paraId="5F0EFFE9" w14:textId="577D1084" w:rsidR="00064466" w:rsidRDefault="00064466" w:rsidP="00064466">
      <w:pPr>
        <w:rPr>
          <w:rFonts w:eastAsia="Calibri"/>
          <w:b/>
          <w:color w:val="10253F"/>
          <w:szCs w:val="22"/>
        </w:rPr>
      </w:pPr>
      <w:r>
        <w:rPr>
          <w:rFonts w:eastAsia="Calibri"/>
          <w:b/>
          <w:color w:val="10253F"/>
          <w:szCs w:val="22"/>
        </w:rPr>
        <w:lastRenderedPageBreak/>
        <w:t>DIRECTORS’ REPORT (Continued)</w:t>
      </w:r>
    </w:p>
    <w:bookmarkEnd w:id="5"/>
    <w:p w14:paraId="5D7C8800" w14:textId="77777777" w:rsidR="001B3E45" w:rsidRDefault="001B3E45" w:rsidP="00064466">
      <w:pPr>
        <w:rPr>
          <w:rFonts w:eastAsia="Calibri"/>
          <w:b/>
          <w:color w:val="10253F"/>
          <w:szCs w:val="22"/>
        </w:rPr>
      </w:pPr>
    </w:p>
    <w:p w14:paraId="765FB416" w14:textId="77777777" w:rsidR="00122047" w:rsidRPr="00122047" w:rsidRDefault="00122047" w:rsidP="00122047">
      <w:pPr>
        <w:jc w:val="both"/>
        <w:rPr>
          <w:rFonts w:cs="Arial"/>
          <w:b/>
          <w:sz w:val="22"/>
          <w:szCs w:val="22"/>
        </w:rPr>
      </w:pPr>
      <w:r w:rsidRPr="00122047">
        <w:rPr>
          <w:rFonts w:cs="Arial"/>
          <w:b/>
          <w:sz w:val="22"/>
          <w:szCs w:val="22"/>
        </w:rPr>
        <w:t>DIRECTORS’ STATEMENT ON INTERNAL FINANCIAL CONTROL</w:t>
      </w:r>
    </w:p>
    <w:p w14:paraId="508CB151" w14:textId="77777777" w:rsidR="00122047" w:rsidRPr="00122047" w:rsidRDefault="00122047" w:rsidP="00122047">
      <w:pPr>
        <w:jc w:val="both"/>
        <w:rPr>
          <w:rFonts w:cs="Arial"/>
          <w:b/>
          <w:sz w:val="22"/>
          <w:szCs w:val="22"/>
        </w:rPr>
      </w:pPr>
    </w:p>
    <w:p w14:paraId="407B5E0C" w14:textId="77777777" w:rsidR="00122047" w:rsidRPr="002500EC" w:rsidRDefault="00275B33" w:rsidP="00122047">
      <w:pPr>
        <w:jc w:val="both"/>
        <w:rPr>
          <w:sz w:val="22"/>
          <w:szCs w:val="22"/>
        </w:rPr>
      </w:pPr>
      <w:r w:rsidRPr="002500EC">
        <w:rPr>
          <w:sz w:val="22"/>
          <w:szCs w:val="22"/>
        </w:rPr>
        <w:t>The D</w:t>
      </w:r>
      <w:r w:rsidR="00122047" w:rsidRPr="002500EC">
        <w:rPr>
          <w:sz w:val="22"/>
          <w:szCs w:val="22"/>
        </w:rPr>
        <w:t xml:space="preserve">irectors acknowledge their responsibility for ensuring that the </w:t>
      </w:r>
      <w:r w:rsidR="00AC353F">
        <w:rPr>
          <w:sz w:val="22"/>
          <w:szCs w:val="22"/>
        </w:rPr>
        <w:t>C</w:t>
      </w:r>
      <w:r w:rsidR="00122047" w:rsidRPr="002500EC">
        <w:rPr>
          <w:sz w:val="22"/>
          <w:szCs w:val="22"/>
        </w:rPr>
        <w:t>ompany has in place systems of control that are appropriate to its business environment. These controls are designed to give reasonable assurance with respect to:</w:t>
      </w:r>
    </w:p>
    <w:p w14:paraId="57D3C23B" w14:textId="77777777" w:rsidR="00122047" w:rsidRPr="002500EC" w:rsidRDefault="00122047" w:rsidP="00122047">
      <w:pPr>
        <w:jc w:val="both"/>
        <w:rPr>
          <w:sz w:val="22"/>
          <w:szCs w:val="22"/>
        </w:rPr>
      </w:pPr>
    </w:p>
    <w:p w14:paraId="71CF4366" w14:textId="77777777" w:rsidR="00122047" w:rsidRPr="002500EC" w:rsidRDefault="00122047" w:rsidP="00007D61">
      <w:pPr>
        <w:numPr>
          <w:ilvl w:val="0"/>
          <w:numId w:val="9"/>
        </w:numPr>
        <w:jc w:val="both"/>
        <w:rPr>
          <w:sz w:val="22"/>
          <w:szCs w:val="22"/>
        </w:rPr>
      </w:pPr>
      <w:r w:rsidRPr="002500EC">
        <w:rPr>
          <w:sz w:val="22"/>
          <w:szCs w:val="22"/>
        </w:rPr>
        <w:t>The reliability of financial in</w:t>
      </w:r>
      <w:r w:rsidR="008A3221">
        <w:rPr>
          <w:sz w:val="22"/>
          <w:szCs w:val="22"/>
        </w:rPr>
        <w:t>formation within the Company</w:t>
      </w:r>
      <w:r w:rsidRPr="002500EC">
        <w:rPr>
          <w:sz w:val="22"/>
          <w:szCs w:val="22"/>
        </w:rPr>
        <w:t>, or for publication;</w:t>
      </w:r>
    </w:p>
    <w:p w14:paraId="37598476" w14:textId="77777777" w:rsidR="00122047" w:rsidRPr="002500EC" w:rsidRDefault="00122047" w:rsidP="00007D61">
      <w:pPr>
        <w:numPr>
          <w:ilvl w:val="0"/>
          <w:numId w:val="9"/>
        </w:numPr>
        <w:jc w:val="both"/>
        <w:rPr>
          <w:sz w:val="22"/>
          <w:szCs w:val="22"/>
        </w:rPr>
      </w:pPr>
      <w:r w:rsidRPr="002500EC">
        <w:rPr>
          <w:sz w:val="22"/>
          <w:szCs w:val="22"/>
        </w:rPr>
        <w:t>The maintenance of proper accounting records;</w:t>
      </w:r>
      <w:r w:rsidR="00AC353F">
        <w:rPr>
          <w:sz w:val="22"/>
          <w:szCs w:val="22"/>
        </w:rPr>
        <w:t xml:space="preserve"> and</w:t>
      </w:r>
    </w:p>
    <w:p w14:paraId="003B65A2" w14:textId="77777777" w:rsidR="00122047" w:rsidRPr="002500EC" w:rsidRDefault="00122047" w:rsidP="00007D61">
      <w:pPr>
        <w:numPr>
          <w:ilvl w:val="0"/>
          <w:numId w:val="9"/>
        </w:numPr>
        <w:jc w:val="both"/>
        <w:rPr>
          <w:sz w:val="22"/>
          <w:szCs w:val="22"/>
        </w:rPr>
      </w:pPr>
      <w:r w:rsidRPr="002500EC">
        <w:rPr>
          <w:sz w:val="22"/>
          <w:szCs w:val="22"/>
        </w:rPr>
        <w:t>The safeguarding of assets against unauthorised use or disposition.</w:t>
      </w:r>
    </w:p>
    <w:p w14:paraId="01B6A543" w14:textId="77777777" w:rsidR="00122047" w:rsidRPr="002500EC" w:rsidRDefault="00122047" w:rsidP="00122047">
      <w:pPr>
        <w:jc w:val="both"/>
        <w:rPr>
          <w:sz w:val="22"/>
          <w:szCs w:val="22"/>
        </w:rPr>
      </w:pPr>
    </w:p>
    <w:p w14:paraId="56EEB1AA" w14:textId="77777777" w:rsidR="00122047" w:rsidRPr="002500EC" w:rsidRDefault="00122047" w:rsidP="00122047">
      <w:pPr>
        <w:jc w:val="both"/>
        <w:rPr>
          <w:sz w:val="22"/>
          <w:szCs w:val="22"/>
        </w:rPr>
      </w:pPr>
      <w:r w:rsidRPr="002500EC">
        <w:rPr>
          <w:sz w:val="22"/>
          <w:szCs w:val="22"/>
        </w:rPr>
        <w:t>The systems of internal financial control, which are under regular review, are designed to manage rather than to eliminate risk. They can only provide reasonable and not absolute assurance against material misstatement or loss.</w:t>
      </w:r>
    </w:p>
    <w:p w14:paraId="1E22A30F" w14:textId="77777777" w:rsidR="00122047" w:rsidRPr="002500EC" w:rsidRDefault="00122047" w:rsidP="00122047">
      <w:pPr>
        <w:jc w:val="both"/>
        <w:rPr>
          <w:sz w:val="22"/>
          <w:szCs w:val="22"/>
        </w:rPr>
      </w:pPr>
    </w:p>
    <w:p w14:paraId="31D647F9" w14:textId="77777777" w:rsidR="00122047" w:rsidRPr="002500EC" w:rsidRDefault="00122047" w:rsidP="00122047">
      <w:pPr>
        <w:jc w:val="both"/>
        <w:rPr>
          <w:sz w:val="22"/>
          <w:szCs w:val="22"/>
        </w:rPr>
      </w:pPr>
      <w:r w:rsidRPr="002500EC">
        <w:rPr>
          <w:sz w:val="22"/>
          <w:szCs w:val="22"/>
        </w:rPr>
        <w:t>The key procedures which have been established are as follows:</w:t>
      </w:r>
    </w:p>
    <w:p w14:paraId="0493E6EA" w14:textId="77777777" w:rsidR="00122047" w:rsidRPr="002500EC" w:rsidRDefault="00122047" w:rsidP="00122047">
      <w:pPr>
        <w:jc w:val="both"/>
        <w:rPr>
          <w:sz w:val="22"/>
          <w:szCs w:val="22"/>
        </w:rPr>
      </w:pPr>
    </w:p>
    <w:p w14:paraId="390E4F1D" w14:textId="77777777" w:rsidR="00122047" w:rsidRPr="002500EC" w:rsidRDefault="00122047" w:rsidP="00007D61">
      <w:pPr>
        <w:numPr>
          <w:ilvl w:val="0"/>
          <w:numId w:val="9"/>
        </w:numPr>
        <w:jc w:val="both"/>
        <w:rPr>
          <w:sz w:val="22"/>
          <w:szCs w:val="22"/>
        </w:rPr>
      </w:pPr>
      <w:r w:rsidRPr="002500EC">
        <w:rPr>
          <w:sz w:val="22"/>
          <w:szCs w:val="22"/>
        </w:rPr>
        <w:t>Detailed standing orders covering Board structure, election, membership and meetings;</w:t>
      </w:r>
    </w:p>
    <w:p w14:paraId="74FDD689" w14:textId="77777777" w:rsidR="00122047" w:rsidRPr="002500EC" w:rsidRDefault="00122047" w:rsidP="00007D61">
      <w:pPr>
        <w:numPr>
          <w:ilvl w:val="0"/>
          <w:numId w:val="9"/>
        </w:numPr>
        <w:jc w:val="both"/>
        <w:rPr>
          <w:sz w:val="22"/>
          <w:szCs w:val="22"/>
        </w:rPr>
      </w:pPr>
      <w:r w:rsidRPr="002500EC">
        <w:rPr>
          <w:sz w:val="22"/>
          <w:szCs w:val="22"/>
        </w:rPr>
        <w:t>Financial regulations and procedures with clear authorisation limits;</w:t>
      </w:r>
    </w:p>
    <w:p w14:paraId="491C3F27" w14:textId="77777777" w:rsidR="00122047" w:rsidRPr="002500EC" w:rsidRDefault="00122047" w:rsidP="00007D61">
      <w:pPr>
        <w:numPr>
          <w:ilvl w:val="0"/>
          <w:numId w:val="9"/>
        </w:numPr>
        <w:jc w:val="both"/>
        <w:rPr>
          <w:sz w:val="22"/>
          <w:szCs w:val="22"/>
        </w:rPr>
      </w:pPr>
      <w:r w:rsidRPr="002500EC">
        <w:rPr>
          <w:sz w:val="22"/>
          <w:szCs w:val="22"/>
        </w:rPr>
        <w:t>Regular Board meetings, focusing on areas of concern, reviewing management reports;</w:t>
      </w:r>
    </w:p>
    <w:p w14:paraId="5BAF9EE5" w14:textId="77777777" w:rsidR="00122047" w:rsidRPr="002500EC" w:rsidRDefault="00122047" w:rsidP="00007D61">
      <w:pPr>
        <w:numPr>
          <w:ilvl w:val="0"/>
          <w:numId w:val="9"/>
        </w:numPr>
        <w:jc w:val="both"/>
        <w:rPr>
          <w:sz w:val="22"/>
          <w:szCs w:val="22"/>
        </w:rPr>
      </w:pPr>
      <w:r w:rsidRPr="002500EC">
        <w:rPr>
          <w:sz w:val="22"/>
          <w:szCs w:val="22"/>
        </w:rPr>
        <w:t>Audit and Compliance reporting focussing on areas of concern and reviewing management reports;</w:t>
      </w:r>
    </w:p>
    <w:p w14:paraId="7B6FAE53" w14:textId="77777777" w:rsidR="00122047" w:rsidRPr="002500EC" w:rsidRDefault="00122047" w:rsidP="00007D61">
      <w:pPr>
        <w:numPr>
          <w:ilvl w:val="0"/>
          <w:numId w:val="9"/>
        </w:numPr>
        <w:jc w:val="both"/>
        <w:rPr>
          <w:sz w:val="22"/>
          <w:szCs w:val="22"/>
        </w:rPr>
      </w:pPr>
      <w:r w:rsidRPr="002500EC">
        <w:rPr>
          <w:sz w:val="22"/>
          <w:szCs w:val="22"/>
        </w:rPr>
        <w:t>Regular review of cashflow and loan portfolio performance;</w:t>
      </w:r>
    </w:p>
    <w:p w14:paraId="067F9F04" w14:textId="77777777" w:rsidR="00122047" w:rsidRPr="002500EC" w:rsidRDefault="00122047" w:rsidP="00007D61">
      <w:pPr>
        <w:numPr>
          <w:ilvl w:val="0"/>
          <w:numId w:val="9"/>
        </w:numPr>
        <w:jc w:val="both"/>
        <w:rPr>
          <w:sz w:val="22"/>
          <w:szCs w:val="22"/>
        </w:rPr>
      </w:pPr>
      <w:r w:rsidRPr="002500EC">
        <w:rPr>
          <w:sz w:val="22"/>
          <w:szCs w:val="22"/>
        </w:rPr>
        <w:t>Regular review of tendering process, rent accounting, arrears control and treasury management;</w:t>
      </w:r>
    </w:p>
    <w:p w14:paraId="69040F7A" w14:textId="77777777" w:rsidR="00122047" w:rsidRPr="002500EC" w:rsidRDefault="00122047" w:rsidP="00007D61">
      <w:pPr>
        <w:numPr>
          <w:ilvl w:val="0"/>
          <w:numId w:val="9"/>
        </w:numPr>
        <w:jc w:val="both"/>
        <w:rPr>
          <w:sz w:val="22"/>
          <w:szCs w:val="22"/>
        </w:rPr>
      </w:pPr>
      <w:r w:rsidRPr="002500EC">
        <w:rPr>
          <w:sz w:val="22"/>
          <w:szCs w:val="22"/>
        </w:rPr>
        <w:t>Segregation of duties of those involved in finance;</w:t>
      </w:r>
    </w:p>
    <w:p w14:paraId="5BD2AFE8" w14:textId="77777777" w:rsidR="00122047" w:rsidRPr="002500EC" w:rsidRDefault="00122047" w:rsidP="00007D61">
      <w:pPr>
        <w:numPr>
          <w:ilvl w:val="0"/>
          <w:numId w:val="9"/>
        </w:numPr>
        <w:jc w:val="both"/>
        <w:rPr>
          <w:sz w:val="22"/>
        </w:rPr>
      </w:pPr>
      <w:r w:rsidRPr="002500EC">
        <w:rPr>
          <w:sz w:val="22"/>
        </w:rPr>
        <w:t>Identification and monitoring of key risks by the management committee; and</w:t>
      </w:r>
    </w:p>
    <w:p w14:paraId="3CB34966" w14:textId="77777777" w:rsidR="00122047" w:rsidRPr="002500EC" w:rsidRDefault="00122047" w:rsidP="00007D61">
      <w:pPr>
        <w:numPr>
          <w:ilvl w:val="0"/>
          <w:numId w:val="9"/>
        </w:numPr>
        <w:jc w:val="both"/>
        <w:rPr>
          <w:sz w:val="22"/>
        </w:rPr>
      </w:pPr>
      <w:r w:rsidRPr="002500EC">
        <w:rPr>
          <w:sz w:val="22"/>
        </w:rPr>
        <w:t>Monitoring the operation of the internal financial control system by considering regular reports from management, internal and external auditors and ensuring appropriate corrective action is taken to address any weaknesses.</w:t>
      </w:r>
    </w:p>
    <w:p w14:paraId="45139A08" w14:textId="77777777" w:rsidR="00122047" w:rsidRPr="002500EC" w:rsidRDefault="00122047" w:rsidP="00122047">
      <w:pPr>
        <w:jc w:val="both"/>
        <w:rPr>
          <w:sz w:val="22"/>
        </w:rPr>
      </w:pPr>
    </w:p>
    <w:p w14:paraId="1C0905CB" w14:textId="77777777" w:rsidR="00122047" w:rsidRPr="00122047" w:rsidRDefault="00275B33" w:rsidP="00122047">
      <w:pPr>
        <w:jc w:val="both"/>
        <w:rPr>
          <w:sz w:val="22"/>
        </w:rPr>
      </w:pPr>
      <w:r w:rsidRPr="002500EC">
        <w:rPr>
          <w:sz w:val="22"/>
        </w:rPr>
        <w:t>The D</w:t>
      </w:r>
      <w:r w:rsidR="00122047" w:rsidRPr="002500EC">
        <w:rPr>
          <w:sz w:val="22"/>
        </w:rPr>
        <w:t>irectors confirm that they have reviewed the effectiveness of the systems of internal control. No weaknesses have been found which would have resulted in material losses, contingencies or uncertainties which require to be disclosed in the financial statements.</w:t>
      </w:r>
    </w:p>
    <w:p w14:paraId="212FEAE7" w14:textId="77777777" w:rsidR="00D628DA" w:rsidRPr="00652487" w:rsidRDefault="00D628DA" w:rsidP="00D628DA">
      <w:pPr>
        <w:jc w:val="both"/>
        <w:rPr>
          <w:sz w:val="22"/>
        </w:rPr>
      </w:pPr>
      <w:r>
        <w:rPr>
          <w:rFonts w:ascii="Arial" w:hAnsi="Arial" w:cs="Arial"/>
          <w:sz w:val="20"/>
          <w:szCs w:val="20"/>
        </w:rPr>
        <w:br/>
      </w:r>
    </w:p>
    <w:p w14:paraId="46537590" w14:textId="77777777" w:rsidR="00D628DA" w:rsidRDefault="00D628DA" w:rsidP="00D628DA">
      <w:pPr>
        <w:pStyle w:val="ACText"/>
      </w:pPr>
    </w:p>
    <w:p w14:paraId="0AD1E065" w14:textId="77777777" w:rsidR="00D628DA" w:rsidRDefault="00D628DA" w:rsidP="00D628DA">
      <w:pPr>
        <w:pStyle w:val="ACText"/>
      </w:pPr>
    </w:p>
    <w:p w14:paraId="309A3651" w14:textId="77777777" w:rsidR="00D628DA" w:rsidRDefault="00D628DA" w:rsidP="00D628DA">
      <w:pPr>
        <w:pStyle w:val="ACText"/>
      </w:pPr>
    </w:p>
    <w:p w14:paraId="2722A109" w14:textId="77777777" w:rsidR="00D628DA" w:rsidRDefault="00D628DA" w:rsidP="00D628DA">
      <w:pPr>
        <w:pStyle w:val="ACText"/>
      </w:pPr>
    </w:p>
    <w:p w14:paraId="7688A76A" w14:textId="77777777" w:rsidR="00D628DA" w:rsidRDefault="00D628DA" w:rsidP="00D628DA">
      <w:pPr>
        <w:pStyle w:val="ACText"/>
      </w:pPr>
    </w:p>
    <w:p w14:paraId="738B82D8" w14:textId="77777777" w:rsidR="00D628DA" w:rsidRDefault="00D628DA" w:rsidP="00D628DA">
      <w:pPr>
        <w:pStyle w:val="ACText"/>
      </w:pPr>
    </w:p>
    <w:p w14:paraId="4A2783B1" w14:textId="77777777" w:rsidR="00D628DA" w:rsidRDefault="00D628DA" w:rsidP="00D628DA">
      <w:pPr>
        <w:pStyle w:val="ACText"/>
      </w:pPr>
    </w:p>
    <w:p w14:paraId="68F3F471" w14:textId="77777777" w:rsidR="00D628DA" w:rsidRPr="002C0779" w:rsidRDefault="00D628DA" w:rsidP="00D628DA">
      <w:pPr>
        <w:jc w:val="both"/>
        <w:rPr>
          <w:color w:val="000000"/>
          <w:sz w:val="22"/>
          <w:szCs w:val="22"/>
        </w:rPr>
        <w:sectPr w:rsidR="00D628DA" w:rsidRPr="002C0779" w:rsidSect="00100191">
          <w:type w:val="continuous"/>
          <w:pgSz w:w="11906" w:h="16838" w:code="9"/>
          <w:pgMar w:top="575" w:right="1466" w:bottom="851" w:left="1797" w:header="709" w:footer="1367" w:gutter="0"/>
          <w:cols w:space="708"/>
          <w:docGrid w:linePitch="360"/>
        </w:sectPr>
      </w:pPr>
    </w:p>
    <w:bookmarkEnd w:id="0"/>
    <w:bookmarkEnd w:id="1"/>
    <w:p w14:paraId="70CC4813" w14:textId="77777777" w:rsidR="00DB35B8" w:rsidRDefault="00DB35B8" w:rsidP="00DB35B8">
      <w:pPr>
        <w:rPr>
          <w:rFonts w:eastAsia="Calibri"/>
          <w:b/>
          <w:color w:val="10253F"/>
          <w:szCs w:val="22"/>
        </w:rPr>
      </w:pPr>
      <w:r>
        <w:rPr>
          <w:rFonts w:eastAsia="Calibri"/>
          <w:b/>
          <w:color w:val="10253F"/>
          <w:szCs w:val="22"/>
        </w:rPr>
        <w:lastRenderedPageBreak/>
        <w:t>DIRECTORS’ REPORT (Continued)</w:t>
      </w:r>
    </w:p>
    <w:p w14:paraId="5308B4E1" w14:textId="77777777" w:rsidR="00640C63" w:rsidRDefault="00640C63" w:rsidP="009A347E">
      <w:pPr>
        <w:spacing w:after="120"/>
        <w:rPr>
          <w:b/>
          <w:szCs w:val="22"/>
          <w:lang w:eastAsia="en-GB"/>
        </w:rPr>
      </w:pPr>
    </w:p>
    <w:p w14:paraId="0E98D594" w14:textId="176D314A" w:rsidR="009A347E" w:rsidRPr="00AA212B" w:rsidRDefault="009A347E" w:rsidP="009A347E">
      <w:pPr>
        <w:spacing w:after="120"/>
        <w:rPr>
          <w:b/>
          <w:szCs w:val="22"/>
          <w:lang w:eastAsia="en-GB"/>
        </w:rPr>
      </w:pPr>
      <w:r w:rsidRPr="00AA212B">
        <w:rPr>
          <w:b/>
          <w:szCs w:val="22"/>
          <w:lang w:eastAsia="en-GB"/>
        </w:rPr>
        <w:t>Statement of Directors responsibilities in respect of the Annual Report</w:t>
      </w:r>
      <w:r w:rsidRPr="00AA212B">
        <w:rPr>
          <w:b/>
          <w:bCs/>
          <w:szCs w:val="22"/>
        </w:rPr>
        <w:t xml:space="preserve"> </w:t>
      </w:r>
      <w:r w:rsidRPr="00AA212B">
        <w:rPr>
          <w:b/>
          <w:szCs w:val="22"/>
          <w:lang w:eastAsia="en-GB"/>
        </w:rPr>
        <w:t xml:space="preserve">and the financial statements  </w:t>
      </w:r>
    </w:p>
    <w:p w14:paraId="18463DAC" w14:textId="77777777" w:rsidR="009A347E" w:rsidRPr="00AA212B" w:rsidRDefault="009A347E" w:rsidP="00D35275">
      <w:pPr>
        <w:spacing w:after="120"/>
        <w:jc w:val="both"/>
        <w:rPr>
          <w:sz w:val="22"/>
          <w:szCs w:val="22"/>
        </w:rPr>
      </w:pPr>
      <w:r w:rsidRPr="00AA212B">
        <w:rPr>
          <w:sz w:val="22"/>
          <w:szCs w:val="22"/>
        </w:rPr>
        <w:t xml:space="preserve">The directors are responsible for preparing the Annual Report and the group and parent charitable company financial statements in accordance with applicable law and regulations.  </w:t>
      </w:r>
    </w:p>
    <w:p w14:paraId="59B8BE15" w14:textId="77777777" w:rsidR="009A347E" w:rsidRPr="00AA212B" w:rsidRDefault="009A347E" w:rsidP="00D35275">
      <w:pPr>
        <w:spacing w:after="120"/>
        <w:jc w:val="both"/>
        <w:rPr>
          <w:sz w:val="22"/>
          <w:szCs w:val="22"/>
        </w:rPr>
      </w:pPr>
      <w:r w:rsidRPr="00AA212B">
        <w:rPr>
          <w:sz w:val="22"/>
          <w:szCs w:val="22"/>
        </w:rPr>
        <w:t>Company and charity law requires the directors to prepare financial statements for each financial year.  Under that law they have are required to prepare the group and parent charitable company financial statements in accordance with UK Accounting Standards and applicable law (UK</w:t>
      </w:r>
      <w:r w:rsidRPr="00AA212B">
        <w:rPr>
          <w:sz w:val="22"/>
          <w:szCs w:val="22"/>
          <w:lang w:eastAsia="en-GB"/>
        </w:rPr>
        <w:t xml:space="preserve"> Generally Accepted Accounting Practice)</w:t>
      </w:r>
      <w:r w:rsidRPr="00AA212B">
        <w:rPr>
          <w:sz w:val="22"/>
          <w:szCs w:val="22"/>
        </w:rPr>
        <w:t xml:space="preserve">, including FRS 102 </w:t>
      </w:r>
      <w:r w:rsidRPr="00AA212B">
        <w:rPr>
          <w:i/>
          <w:sz w:val="22"/>
          <w:szCs w:val="22"/>
        </w:rPr>
        <w:t>The Financial Reporting Standard applicable in the UK and Republic of Ireland</w:t>
      </w:r>
      <w:r w:rsidRPr="00AA212B">
        <w:rPr>
          <w:sz w:val="22"/>
          <w:szCs w:val="22"/>
        </w:rPr>
        <w:t xml:space="preserve">.  </w:t>
      </w:r>
    </w:p>
    <w:p w14:paraId="1F611A3A" w14:textId="77777777" w:rsidR="009A347E" w:rsidRPr="00AA212B" w:rsidRDefault="009A347E" w:rsidP="00D35275">
      <w:pPr>
        <w:spacing w:after="120"/>
        <w:jc w:val="both"/>
        <w:rPr>
          <w:sz w:val="22"/>
          <w:szCs w:val="22"/>
        </w:rPr>
      </w:pPr>
      <w:r w:rsidRPr="00AA212B">
        <w:rPr>
          <w:sz w:val="22"/>
          <w:szCs w:val="22"/>
        </w:rPr>
        <w:t xml:space="preserve">Under company law the directors must not approve the financial statements unless they are satisfied that they give a true and fair view of the state of affairs of the group and parent charitable company and of the group’s income and expenditure for that period.  In preparing each of the group and parent charitable company financial statements, the directors are required to:  </w:t>
      </w:r>
    </w:p>
    <w:p w14:paraId="6B37DA71"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select suitable accounting policies and then apply them consistently;  </w:t>
      </w:r>
    </w:p>
    <w:p w14:paraId="58C403CE"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make </w:t>
      </w:r>
      <w:r w:rsidRPr="00AA212B">
        <w:rPr>
          <w:sz w:val="22"/>
          <w:szCs w:val="22"/>
          <w:lang w:eastAsia="en-GB"/>
        </w:rPr>
        <w:t>judgements</w:t>
      </w:r>
      <w:r w:rsidRPr="00AA212B">
        <w:rPr>
          <w:sz w:val="22"/>
          <w:szCs w:val="22"/>
        </w:rPr>
        <w:t xml:space="preserve"> and estimates that are reasonable and prudent;  </w:t>
      </w:r>
    </w:p>
    <w:p w14:paraId="72D2DF42"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state whether applicable UK Accounting Standards and the Statement of Recommended Practice have been followed, subject to any material departures disclosed and explained in the financial statements; </w:t>
      </w:r>
    </w:p>
    <w:p w14:paraId="1ECBD69F"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assess the group’s and the parent charitable company’s ability to continue as a going concern, disclosing, as applicable, matters related to going concern; and </w:t>
      </w:r>
    </w:p>
    <w:p w14:paraId="0CF55E1E" w14:textId="77777777" w:rsidR="009A347E" w:rsidRPr="00AA212B" w:rsidRDefault="009A347E" w:rsidP="009A347E">
      <w:pPr>
        <w:numPr>
          <w:ilvl w:val="0"/>
          <w:numId w:val="14"/>
        </w:numPr>
        <w:tabs>
          <w:tab w:val="clear" w:pos="720"/>
        </w:tabs>
        <w:autoSpaceDE w:val="0"/>
        <w:autoSpaceDN w:val="0"/>
        <w:adjustRightInd w:val="0"/>
        <w:spacing w:after="120"/>
        <w:ind w:left="360"/>
        <w:jc w:val="both"/>
        <w:rPr>
          <w:sz w:val="22"/>
          <w:szCs w:val="22"/>
        </w:rPr>
      </w:pPr>
      <w:r w:rsidRPr="00AA212B">
        <w:rPr>
          <w:sz w:val="22"/>
          <w:szCs w:val="22"/>
        </w:rPr>
        <w:t xml:space="preserve">use the going concern basis of accounting unless they either intend to liquidate the group or the parent charitable company or to cease operations, or have no realistic alternative but to do so.  </w:t>
      </w:r>
      <w:r w:rsidRPr="00AA212B">
        <w:rPr>
          <w:sz w:val="22"/>
          <w:szCs w:val="22"/>
          <w:lang w:eastAsia="en-GB"/>
        </w:rPr>
        <w:t xml:space="preserve">  </w:t>
      </w:r>
      <w:r w:rsidRPr="00AA212B">
        <w:rPr>
          <w:sz w:val="22"/>
          <w:szCs w:val="22"/>
        </w:rPr>
        <w:t xml:space="preserve">  </w:t>
      </w:r>
    </w:p>
    <w:p w14:paraId="3C285BE5" w14:textId="6AEAECE6" w:rsidR="009A347E" w:rsidRPr="00AA212B" w:rsidRDefault="009A347E" w:rsidP="00D35275">
      <w:pPr>
        <w:spacing w:after="120"/>
        <w:jc w:val="both"/>
        <w:rPr>
          <w:sz w:val="22"/>
          <w:szCs w:val="22"/>
        </w:rPr>
      </w:pPr>
      <w:r w:rsidRPr="00AA212B">
        <w:rPr>
          <w:sz w:val="22"/>
          <w:szCs w:val="22"/>
        </w:rPr>
        <w:t xml:space="preserve">The directors are responsible for keeping adequate and proper accounting records that are sufficient to show and explain the parent charitable company’s transactions and disclose with reasonable accuracy at any time the financial position of the parent charitable company and enable them to ensure that its financial statements comply with the Companies Act 2006, </w:t>
      </w:r>
      <w:r w:rsidRPr="00AA212B">
        <w:rPr>
          <w:sz w:val="22"/>
          <w:szCs w:val="22"/>
          <w:lang w:eastAsia="en-GB"/>
        </w:rPr>
        <w:t>the Charities and Trustee Investment (Scotland) Act 2005, regulation 8 of the Charities Accounts (Scotland) Regulations 2006 (as amended)</w:t>
      </w:r>
      <w:r w:rsidRPr="00AA212B">
        <w:rPr>
          <w:sz w:val="22"/>
          <w:szCs w:val="22"/>
        </w:rPr>
        <w:t xml:space="preserve"> the Housing (Scotland) Act 2010 and the Registered Social Landlords Determination of Accounting Requirements 20</w:t>
      </w:r>
      <w:r w:rsidR="00D524D9">
        <w:rPr>
          <w:sz w:val="22"/>
          <w:szCs w:val="22"/>
        </w:rPr>
        <w:t>24</w:t>
      </w:r>
      <w:r w:rsidRPr="00AA212B">
        <w:rPr>
          <w:sz w:val="22"/>
          <w:szCs w:val="22"/>
        </w:rPr>
        <w:t xml:space="preserve">. They are responsible for such internal control as they determine is necessary to enable the preparation of financial statements that are free from material misstatement, whether due to fraud or error, and have general responsibility for taking such steps as are reasonably open to them to safeguard the assets of the group and to prevent and detect fraud and other irregularities.  </w:t>
      </w:r>
    </w:p>
    <w:p w14:paraId="735A4677" w14:textId="77777777" w:rsidR="009A347E" w:rsidRPr="00AA212B" w:rsidRDefault="009A347E" w:rsidP="009A347E">
      <w:pPr>
        <w:pStyle w:val="NormalWeb"/>
        <w:rPr>
          <w:sz w:val="22"/>
          <w:szCs w:val="22"/>
        </w:rPr>
      </w:pPr>
      <w:r w:rsidRPr="00AA212B">
        <w:rPr>
          <w:sz w:val="22"/>
          <w:szCs w:val="22"/>
        </w:rPr>
        <w:t>By order of the Board</w:t>
      </w:r>
    </w:p>
    <w:p w14:paraId="1E0F2DAC" w14:textId="77777777" w:rsidR="00217735" w:rsidRPr="00AA212B" w:rsidRDefault="00217735" w:rsidP="009A00BF">
      <w:pPr>
        <w:overflowPunct w:val="0"/>
        <w:autoSpaceDE w:val="0"/>
        <w:autoSpaceDN w:val="0"/>
        <w:adjustRightInd w:val="0"/>
        <w:jc w:val="both"/>
        <w:textAlignment w:val="baseline"/>
        <w:rPr>
          <w:b/>
          <w:sz w:val="22"/>
          <w:szCs w:val="22"/>
        </w:rPr>
        <w:sectPr w:rsidR="00217735" w:rsidRPr="00AA212B" w:rsidSect="00100191">
          <w:headerReference w:type="even" r:id="rId21"/>
          <w:headerReference w:type="default" r:id="rId22"/>
          <w:headerReference w:type="first" r:id="rId23"/>
          <w:pgSz w:w="11906" w:h="16838" w:code="9"/>
          <w:pgMar w:top="992" w:right="1361" w:bottom="1259" w:left="1361" w:header="709" w:footer="709" w:gutter="0"/>
          <w:cols w:space="708"/>
          <w:docGrid w:linePitch="360"/>
        </w:sectPr>
      </w:pPr>
    </w:p>
    <w:p w14:paraId="3310A8A9" w14:textId="77777777" w:rsidR="005F19B0" w:rsidRPr="00AA212B" w:rsidRDefault="005F19B0" w:rsidP="009A00BF">
      <w:pPr>
        <w:overflowPunct w:val="0"/>
        <w:autoSpaceDE w:val="0"/>
        <w:autoSpaceDN w:val="0"/>
        <w:adjustRightInd w:val="0"/>
        <w:jc w:val="both"/>
        <w:textAlignment w:val="baseline"/>
        <w:rPr>
          <w:b/>
          <w:sz w:val="22"/>
          <w:szCs w:val="22"/>
        </w:rPr>
      </w:pPr>
    </w:p>
    <w:p w14:paraId="5B42F88F" w14:textId="77777777" w:rsidR="009A347E" w:rsidRPr="00AA212B" w:rsidRDefault="009A347E" w:rsidP="009A00BF">
      <w:pPr>
        <w:overflowPunct w:val="0"/>
        <w:autoSpaceDE w:val="0"/>
        <w:autoSpaceDN w:val="0"/>
        <w:adjustRightInd w:val="0"/>
        <w:jc w:val="both"/>
        <w:textAlignment w:val="baseline"/>
        <w:rPr>
          <w:b/>
          <w:sz w:val="22"/>
          <w:szCs w:val="22"/>
        </w:rPr>
      </w:pPr>
    </w:p>
    <w:p w14:paraId="4445A92A" w14:textId="77777777" w:rsidR="009A347E" w:rsidRPr="00AA212B" w:rsidRDefault="009A347E" w:rsidP="009A00BF">
      <w:pPr>
        <w:overflowPunct w:val="0"/>
        <w:autoSpaceDE w:val="0"/>
        <w:autoSpaceDN w:val="0"/>
        <w:adjustRightInd w:val="0"/>
        <w:jc w:val="both"/>
        <w:textAlignment w:val="baseline"/>
        <w:rPr>
          <w:b/>
          <w:sz w:val="22"/>
          <w:szCs w:val="22"/>
        </w:rPr>
      </w:pPr>
    </w:p>
    <w:p w14:paraId="4757ECA9" w14:textId="708F4B38" w:rsidR="009A347E" w:rsidRPr="00AA212B" w:rsidRDefault="009A347E" w:rsidP="009A00BF">
      <w:pPr>
        <w:overflowPunct w:val="0"/>
        <w:autoSpaceDE w:val="0"/>
        <w:autoSpaceDN w:val="0"/>
        <w:adjustRightInd w:val="0"/>
        <w:jc w:val="both"/>
        <w:textAlignment w:val="baseline"/>
        <w:rPr>
          <w:b/>
          <w:sz w:val="22"/>
          <w:szCs w:val="22"/>
        </w:rPr>
        <w:sectPr w:rsidR="009A347E" w:rsidRPr="00AA212B" w:rsidSect="00100191">
          <w:type w:val="continuous"/>
          <w:pgSz w:w="11906" w:h="16838" w:code="9"/>
          <w:pgMar w:top="992" w:right="1361" w:bottom="1259" w:left="1361" w:header="709" w:footer="709" w:gutter="0"/>
          <w:cols w:space="708"/>
          <w:docGrid w:linePitch="360"/>
        </w:sectPr>
      </w:pPr>
    </w:p>
    <w:tbl>
      <w:tblPr>
        <w:tblW w:w="8810" w:type="dxa"/>
        <w:tblLayout w:type="fixed"/>
        <w:tblLook w:val="0000" w:firstRow="0" w:lastRow="0" w:firstColumn="0" w:lastColumn="0" w:noHBand="0" w:noVBand="0"/>
      </w:tblPr>
      <w:tblGrid>
        <w:gridCol w:w="4405"/>
        <w:gridCol w:w="4405"/>
      </w:tblGrid>
      <w:tr w:rsidR="00217735" w:rsidRPr="00AA212B" w14:paraId="2E6BCCF6" w14:textId="77777777" w:rsidTr="00217735">
        <w:tc>
          <w:tcPr>
            <w:tcW w:w="4405" w:type="dxa"/>
          </w:tcPr>
          <w:p w14:paraId="131EECAF" w14:textId="72E9AEEA" w:rsidR="00217735" w:rsidRPr="009138C5" w:rsidRDefault="0018645F" w:rsidP="00217735">
            <w:pPr>
              <w:overflowPunct w:val="0"/>
              <w:autoSpaceDE w:val="0"/>
              <w:autoSpaceDN w:val="0"/>
              <w:adjustRightInd w:val="0"/>
              <w:jc w:val="both"/>
              <w:textAlignment w:val="baseline"/>
              <w:rPr>
                <w:sz w:val="22"/>
                <w:szCs w:val="22"/>
              </w:rPr>
            </w:pPr>
            <w:r w:rsidRPr="009138C5">
              <w:rPr>
                <w:b/>
                <w:sz w:val="22"/>
                <w:szCs w:val="22"/>
              </w:rPr>
              <w:t>Jo</w:t>
            </w:r>
            <w:r w:rsidR="00105C0D">
              <w:rPr>
                <w:b/>
                <w:sz w:val="22"/>
                <w:szCs w:val="22"/>
              </w:rPr>
              <w:t>sephine</w:t>
            </w:r>
            <w:r w:rsidRPr="009138C5">
              <w:rPr>
                <w:b/>
                <w:sz w:val="22"/>
                <w:szCs w:val="22"/>
              </w:rPr>
              <w:t xml:space="preserve"> Boaden</w:t>
            </w:r>
            <w:r w:rsidR="00197561">
              <w:rPr>
                <w:b/>
                <w:sz w:val="22"/>
                <w:szCs w:val="22"/>
              </w:rPr>
              <w:t xml:space="preserve"> CBE</w:t>
            </w:r>
            <w:r w:rsidR="00217735" w:rsidRPr="009138C5">
              <w:rPr>
                <w:b/>
                <w:sz w:val="22"/>
                <w:szCs w:val="22"/>
              </w:rPr>
              <w:t>, Chair</w:t>
            </w:r>
          </w:p>
          <w:p w14:paraId="246AAE86" w14:textId="5B75683F" w:rsidR="00217735" w:rsidRPr="00AA212B" w:rsidRDefault="00C81090" w:rsidP="00217735">
            <w:pPr>
              <w:overflowPunct w:val="0"/>
              <w:autoSpaceDE w:val="0"/>
              <w:autoSpaceDN w:val="0"/>
              <w:adjustRightInd w:val="0"/>
              <w:jc w:val="both"/>
              <w:textAlignment w:val="baseline"/>
              <w:rPr>
                <w:b/>
                <w:sz w:val="22"/>
                <w:szCs w:val="22"/>
              </w:rPr>
            </w:pPr>
            <w:r w:rsidRPr="00C81090">
              <w:rPr>
                <w:sz w:val="22"/>
                <w:szCs w:val="22"/>
              </w:rPr>
              <w:t xml:space="preserve">   </w:t>
            </w:r>
            <w:r w:rsidR="00A82D0D" w:rsidRPr="00C81090">
              <w:rPr>
                <w:sz w:val="22"/>
                <w:szCs w:val="22"/>
              </w:rPr>
              <w:t>September</w:t>
            </w:r>
            <w:r w:rsidR="006D659C" w:rsidRPr="00C81090">
              <w:rPr>
                <w:sz w:val="22"/>
                <w:szCs w:val="22"/>
              </w:rPr>
              <w:t xml:space="preserve"> 202</w:t>
            </w:r>
            <w:r w:rsidR="00E30A8F" w:rsidRPr="00C81090">
              <w:rPr>
                <w:sz w:val="22"/>
                <w:szCs w:val="22"/>
              </w:rPr>
              <w:t>4</w:t>
            </w:r>
          </w:p>
        </w:tc>
        <w:tc>
          <w:tcPr>
            <w:tcW w:w="4405" w:type="dxa"/>
          </w:tcPr>
          <w:p w14:paraId="2BB5FFF5" w14:textId="77777777" w:rsidR="00D75EFC" w:rsidRPr="00AA212B" w:rsidRDefault="00D75EFC" w:rsidP="00D75EFC">
            <w:pPr>
              <w:overflowPunct w:val="0"/>
              <w:autoSpaceDE w:val="0"/>
              <w:autoSpaceDN w:val="0"/>
              <w:adjustRightInd w:val="0"/>
              <w:jc w:val="right"/>
              <w:textAlignment w:val="baseline"/>
              <w:rPr>
                <w:sz w:val="22"/>
                <w:szCs w:val="22"/>
              </w:rPr>
            </w:pPr>
            <w:r w:rsidRPr="00AA212B">
              <w:rPr>
                <w:sz w:val="22"/>
                <w:szCs w:val="22"/>
              </w:rPr>
              <w:t>Wheatley House</w:t>
            </w:r>
          </w:p>
          <w:p w14:paraId="0029131A" w14:textId="77777777" w:rsidR="00D75EFC" w:rsidRPr="00AA212B" w:rsidRDefault="00D75EFC" w:rsidP="00D75EFC">
            <w:pPr>
              <w:overflowPunct w:val="0"/>
              <w:autoSpaceDE w:val="0"/>
              <w:autoSpaceDN w:val="0"/>
              <w:adjustRightInd w:val="0"/>
              <w:jc w:val="right"/>
              <w:textAlignment w:val="baseline"/>
              <w:rPr>
                <w:sz w:val="22"/>
                <w:szCs w:val="22"/>
              </w:rPr>
            </w:pPr>
            <w:r w:rsidRPr="00AA212B">
              <w:rPr>
                <w:sz w:val="22"/>
                <w:szCs w:val="22"/>
              </w:rPr>
              <w:t>25 Cochrane Street</w:t>
            </w:r>
          </w:p>
          <w:p w14:paraId="42CE8FA8" w14:textId="77777777" w:rsidR="00D75EFC" w:rsidRPr="00AA212B" w:rsidRDefault="00D75EFC" w:rsidP="00D75EFC">
            <w:pPr>
              <w:overflowPunct w:val="0"/>
              <w:autoSpaceDE w:val="0"/>
              <w:autoSpaceDN w:val="0"/>
              <w:adjustRightInd w:val="0"/>
              <w:jc w:val="right"/>
              <w:textAlignment w:val="baseline"/>
              <w:rPr>
                <w:sz w:val="22"/>
                <w:szCs w:val="22"/>
              </w:rPr>
            </w:pPr>
            <w:r w:rsidRPr="00AA212B">
              <w:rPr>
                <w:sz w:val="22"/>
                <w:szCs w:val="22"/>
              </w:rPr>
              <w:t xml:space="preserve">Glasgow </w:t>
            </w:r>
          </w:p>
          <w:p w14:paraId="0969F741" w14:textId="77777777" w:rsidR="00A02891" w:rsidRPr="00AA212B" w:rsidRDefault="00D75EFC" w:rsidP="00D75EFC">
            <w:pPr>
              <w:overflowPunct w:val="0"/>
              <w:autoSpaceDE w:val="0"/>
              <w:autoSpaceDN w:val="0"/>
              <w:adjustRightInd w:val="0"/>
              <w:jc w:val="right"/>
              <w:textAlignment w:val="baseline"/>
              <w:rPr>
                <w:sz w:val="22"/>
                <w:szCs w:val="22"/>
              </w:rPr>
            </w:pPr>
            <w:r w:rsidRPr="00AA212B">
              <w:rPr>
                <w:sz w:val="22"/>
                <w:szCs w:val="22"/>
              </w:rPr>
              <w:t>G1 1HL</w:t>
            </w:r>
          </w:p>
          <w:p w14:paraId="413F2499" w14:textId="77777777" w:rsidR="00217735" w:rsidRPr="00AA212B" w:rsidRDefault="00217735" w:rsidP="00217735">
            <w:pPr>
              <w:overflowPunct w:val="0"/>
              <w:autoSpaceDE w:val="0"/>
              <w:autoSpaceDN w:val="0"/>
              <w:adjustRightInd w:val="0"/>
              <w:jc w:val="right"/>
              <w:textAlignment w:val="baseline"/>
              <w:rPr>
                <w:b/>
                <w:sz w:val="22"/>
                <w:szCs w:val="22"/>
              </w:rPr>
            </w:pPr>
          </w:p>
        </w:tc>
      </w:tr>
      <w:tr w:rsidR="002500EC" w:rsidRPr="00AA212B" w14:paraId="6F306D93" w14:textId="77777777" w:rsidTr="00217735">
        <w:tc>
          <w:tcPr>
            <w:tcW w:w="4405" w:type="dxa"/>
          </w:tcPr>
          <w:p w14:paraId="78A2C8DD" w14:textId="77777777" w:rsidR="002500EC" w:rsidRPr="00AA212B" w:rsidRDefault="002500EC" w:rsidP="00217735">
            <w:pPr>
              <w:overflowPunct w:val="0"/>
              <w:autoSpaceDE w:val="0"/>
              <w:autoSpaceDN w:val="0"/>
              <w:adjustRightInd w:val="0"/>
              <w:jc w:val="both"/>
              <w:textAlignment w:val="baseline"/>
              <w:rPr>
                <w:b/>
                <w:sz w:val="22"/>
                <w:szCs w:val="20"/>
                <w:highlight w:val="green"/>
              </w:rPr>
            </w:pPr>
          </w:p>
        </w:tc>
        <w:tc>
          <w:tcPr>
            <w:tcW w:w="4405" w:type="dxa"/>
          </w:tcPr>
          <w:p w14:paraId="1800BBC7" w14:textId="77777777" w:rsidR="002500EC" w:rsidRPr="00AA212B" w:rsidRDefault="002500EC" w:rsidP="00217735">
            <w:pPr>
              <w:overflowPunct w:val="0"/>
              <w:autoSpaceDE w:val="0"/>
              <w:autoSpaceDN w:val="0"/>
              <w:adjustRightInd w:val="0"/>
              <w:jc w:val="right"/>
              <w:textAlignment w:val="baseline"/>
              <w:rPr>
                <w:sz w:val="22"/>
                <w:szCs w:val="20"/>
                <w:highlight w:val="green"/>
              </w:rPr>
            </w:pPr>
          </w:p>
        </w:tc>
      </w:tr>
    </w:tbl>
    <w:p w14:paraId="37A6BEC4" w14:textId="77777777" w:rsidR="009A347E" w:rsidRPr="00AA212B" w:rsidRDefault="009A347E" w:rsidP="00D73D00">
      <w:pPr>
        <w:overflowPunct w:val="0"/>
        <w:autoSpaceDE w:val="0"/>
        <w:autoSpaceDN w:val="0"/>
        <w:adjustRightInd w:val="0"/>
        <w:spacing w:after="120"/>
        <w:jc w:val="both"/>
        <w:textAlignment w:val="baseline"/>
        <w:rPr>
          <w:b/>
          <w:iCs/>
          <w:color w:val="000000"/>
          <w:sz w:val="22"/>
          <w:szCs w:val="22"/>
          <w:highlight w:val="green"/>
        </w:rPr>
      </w:pPr>
    </w:p>
    <w:p w14:paraId="4829C76A" w14:textId="77777777" w:rsidR="009A347E" w:rsidRPr="00AA212B" w:rsidRDefault="009A347E">
      <w:pPr>
        <w:rPr>
          <w:b/>
          <w:iCs/>
          <w:color w:val="000000"/>
          <w:sz w:val="22"/>
          <w:szCs w:val="22"/>
          <w:highlight w:val="green"/>
        </w:rPr>
      </w:pPr>
      <w:r w:rsidRPr="00AA212B">
        <w:rPr>
          <w:b/>
          <w:iCs/>
          <w:color w:val="000000"/>
          <w:sz w:val="22"/>
          <w:szCs w:val="22"/>
          <w:highlight w:val="green"/>
        </w:rPr>
        <w:br w:type="page"/>
      </w:r>
    </w:p>
    <w:p w14:paraId="47B9726A" w14:textId="77777777" w:rsidR="0001493B" w:rsidRPr="0001493B" w:rsidRDefault="0001493B" w:rsidP="0001493B">
      <w:pPr>
        <w:pStyle w:val="Heading2"/>
        <w:spacing w:after="120"/>
        <w:jc w:val="left"/>
        <w:rPr>
          <w:rFonts w:cs="Times New Roman"/>
          <w:b w:val="0"/>
          <w:caps/>
          <w:sz w:val="22"/>
          <w:szCs w:val="22"/>
        </w:rPr>
      </w:pPr>
      <w:r w:rsidRPr="0001493B">
        <w:rPr>
          <w:rFonts w:cs="Times New Roman"/>
          <w:caps/>
          <w:sz w:val="22"/>
          <w:szCs w:val="22"/>
        </w:rPr>
        <w:lastRenderedPageBreak/>
        <w:t xml:space="preserve">Independent auditor’s report to TRUSTEES AND MEMBERS OF WHEATLEY HOMES SOUTH LIMITED </w:t>
      </w:r>
    </w:p>
    <w:p w14:paraId="30673615" w14:textId="77777777" w:rsidR="0001493B" w:rsidRPr="0001493B" w:rsidRDefault="0001493B" w:rsidP="0001493B">
      <w:pPr>
        <w:spacing w:after="120"/>
        <w:rPr>
          <w:b/>
          <w:sz w:val="22"/>
          <w:szCs w:val="22"/>
        </w:rPr>
      </w:pPr>
      <w:r w:rsidRPr="0001493B">
        <w:rPr>
          <w:b/>
          <w:sz w:val="22"/>
          <w:szCs w:val="22"/>
        </w:rPr>
        <w:t xml:space="preserve">Opinion  </w:t>
      </w:r>
    </w:p>
    <w:p w14:paraId="02929AD9" w14:textId="06971A71" w:rsidR="0001493B" w:rsidRPr="0001493B" w:rsidRDefault="0001493B" w:rsidP="002605CE">
      <w:pPr>
        <w:spacing w:after="120"/>
        <w:jc w:val="both"/>
        <w:rPr>
          <w:sz w:val="22"/>
          <w:szCs w:val="22"/>
        </w:rPr>
      </w:pPr>
      <w:r w:rsidRPr="0001493B">
        <w:rPr>
          <w:sz w:val="22"/>
          <w:szCs w:val="22"/>
        </w:rPr>
        <w:t xml:space="preserve">We have audited the financial statements of Wheatley Homes South Limited (“the charitable company”) for the year ended 31 March </w:t>
      </w:r>
      <w:r w:rsidR="00B9504D" w:rsidRPr="0001493B">
        <w:rPr>
          <w:sz w:val="22"/>
          <w:szCs w:val="22"/>
        </w:rPr>
        <w:t>2024 which</w:t>
      </w:r>
      <w:r w:rsidRPr="0001493B">
        <w:rPr>
          <w:sz w:val="22"/>
          <w:szCs w:val="22"/>
        </w:rPr>
        <w:t xml:space="preserve"> comprise the Statement of Comprehensive Income, the Statement of Changes in Reserves, the Statement of Financial Position and the Statement of Cash Flows, and related notes, including the accounting p</w:t>
      </w:r>
      <w:r w:rsidRPr="00B9504D">
        <w:rPr>
          <w:sz w:val="22"/>
          <w:szCs w:val="22"/>
        </w:rPr>
        <w:t xml:space="preserve">olicies in note </w:t>
      </w:r>
      <w:r w:rsidR="00B9504D" w:rsidRPr="00B9504D">
        <w:rPr>
          <w:sz w:val="22"/>
          <w:szCs w:val="22"/>
        </w:rPr>
        <w:t>2</w:t>
      </w:r>
      <w:r w:rsidRPr="00B9504D">
        <w:rPr>
          <w:sz w:val="22"/>
          <w:szCs w:val="22"/>
        </w:rPr>
        <w:t>.</w:t>
      </w:r>
      <w:r w:rsidRPr="0001493B">
        <w:rPr>
          <w:sz w:val="22"/>
          <w:szCs w:val="22"/>
        </w:rPr>
        <w:t xml:space="preserve"> </w:t>
      </w:r>
    </w:p>
    <w:p w14:paraId="4D4B3ACB" w14:textId="77777777" w:rsidR="0001493B" w:rsidRPr="0001493B" w:rsidRDefault="0001493B" w:rsidP="002605CE">
      <w:pPr>
        <w:jc w:val="both"/>
        <w:rPr>
          <w:sz w:val="22"/>
          <w:szCs w:val="22"/>
        </w:rPr>
      </w:pPr>
      <w:r w:rsidRPr="0001493B">
        <w:rPr>
          <w:sz w:val="22"/>
          <w:szCs w:val="22"/>
        </w:rPr>
        <w:t>In our opinion the financial statements</w:t>
      </w:r>
    </w:p>
    <w:p w14:paraId="5A1B4DEC" w14:textId="77777777" w:rsidR="0001493B" w:rsidRPr="0001493B" w:rsidRDefault="0001493B" w:rsidP="0001493B">
      <w:pPr>
        <w:rPr>
          <w:sz w:val="22"/>
          <w:szCs w:val="22"/>
        </w:rPr>
      </w:pPr>
    </w:p>
    <w:p w14:paraId="64892ED9" w14:textId="7C84082D" w:rsidR="0001493B" w:rsidRPr="0001493B" w:rsidRDefault="0001493B" w:rsidP="0001493B">
      <w:pPr>
        <w:numPr>
          <w:ilvl w:val="0"/>
          <w:numId w:val="43"/>
        </w:numPr>
        <w:tabs>
          <w:tab w:val="clear" w:pos="360"/>
        </w:tabs>
        <w:overflowPunct w:val="0"/>
        <w:autoSpaceDE w:val="0"/>
        <w:autoSpaceDN w:val="0"/>
        <w:adjustRightInd w:val="0"/>
        <w:spacing w:after="120"/>
        <w:ind w:left="436"/>
        <w:jc w:val="both"/>
        <w:textAlignment w:val="baseline"/>
        <w:rPr>
          <w:sz w:val="22"/>
          <w:szCs w:val="22"/>
        </w:rPr>
      </w:pPr>
      <w:r w:rsidRPr="0001493B">
        <w:rPr>
          <w:sz w:val="22"/>
          <w:szCs w:val="22"/>
        </w:rPr>
        <w:t>give a true and fair view of the charitable company’s affairs as at 31 March 202</w:t>
      </w:r>
      <w:r w:rsidR="00B9504D">
        <w:rPr>
          <w:sz w:val="22"/>
          <w:szCs w:val="22"/>
        </w:rPr>
        <w:t>4</w:t>
      </w:r>
      <w:r w:rsidRPr="0001493B">
        <w:rPr>
          <w:sz w:val="22"/>
          <w:szCs w:val="22"/>
        </w:rPr>
        <w:t xml:space="preserve"> and of the incoming resources and application of resources, including its income and expenditure, for the year then ended; </w:t>
      </w:r>
    </w:p>
    <w:p w14:paraId="7DD72C0C" w14:textId="77777777" w:rsidR="0001493B" w:rsidRPr="0001493B" w:rsidRDefault="0001493B" w:rsidP="0001493B">
      <w:pPr>
        <w:numPr>
          <w:ilvl w:val="0"/>
          <w:numId w:val="43"/>
        </w:numPr>
        <w:tabs>
          <w:tab w:val="clear" w:pos="360"/>
        </w:tabs>
        <w:overflowPunct w:val="0"/>
        <w:autoSpaceDE w:val="0"/>
        <w:autoSpaceDN w:val="0"/>
        <w:adjustRightInd w:val="0"/>
        <w:spacing w:after="120"/>
        <w:ind w:left="436"/>
        <w:jc w:val="both"/>
        <w:textAlignment w:val="baseline"/>
        <w:rPr>
          <w:sz w:val="22"/>
          <w:szCs w:val="22"/>
        </w:rPr>
      </w:pPr>
      <w:r w:rsidRPr="0001493B">
        <w:rPr>
          <w:sz w:val="22"/>
          <w:szCs w:val="22"/>
        </w:rPr>
        <w:t xml:space="preserve">have been properly prepared in accordance with UK accounting standards, including FRS 102 The Financial Reporting Standard applicable in the UK and Republic of Ireland; and </w:t>
      </w:r>
    </w:p>
    <w:p w14:paraId="42C1B3CF" w14:textId="6E3DF408" w:rsidR="0001493B" w:rsidRPr="0001493B" w:rsidRDefault="0001493B" w:rsidP="0001493B">
      <w:pPr>
        <w:numPr>
          <w:ilvl w:val="0"/>
          <w:numId w:val="43"/>
        </w:numPr>
        <w:tabs>
          <w:tab w:val="clear" w:pos="360"/>
        </w:tabs>
        <w:overflowPunct w:val="0"/>
        <w:autoSpaceDE w:val="0"/>
        <w:autoSpaceDN w:val="0"/>
        <w:adjustRightInd w:val="0"/>
        <w:spacing w:after="120"/>
        <w:ind w:left="436"/>
        <w:jc w:val="both"/>
        <w:textAlignment w:val="baseline"/>
        <w:rPr>
          <w:sz w:val="22"/>
          <w:szCs w:val="22"/>
        </w:rPr>
      </w:pPr>
      <w:r w:rsidRPr="0001493B">
        <w:rPr>
          <w:sz w:val="22"/>
          <w:szCs w:val="22"/>
        </w:rPr>
        <w:t>have been prepared in accordance with the requirements of the Companies Act 2006, the Housing (Scotland) Act 2010 and the Registered Social Landlords Determination of Accounting Requirements 20</w:t>
      </w:r>
      <w:r w:rsidR="00D524D9">
        <w:rPr>
          <w:sz w:val="22"/>
          <w:szCs w:val="22"/>
        </w:rPr>
        <w:t>24</w:t>
      </w:r>
      <w:r w:rsidRPr="0001493B">
        <w:rPr>
          <w:sz w:val="22"/>
          <w:szCs w:val="22"/>
        </w:rPr>
        <w:t>, the Charities and Trustee Investment (Scotland) Act 2005, and regulation 8 of the Charities Accounts (Scotland) Regulations 2006 (as amended).</w:t>
      </w:r>
    </w:p>
    <w:p w14:paraId="1C1BD1F6" w14:textId="77777777" w:rsidR="0001493B" w:rsidRPr="0001493B" w:rsidRDefault="0001493B" w:rsidP="0001493B">
      <w:pPr>
        <w:rPr>
          <w:sz w:val="22"/>
          <w:szCs w:val="22"/>
        </w:rPr>
      </w:pPr>
    </w:p>
    <w:p w14:paraId="725281F6" w14:textId="77777777" w:rsidR="0001493B" w:rsidRPr="0001493B" w:rsidRDefault="0001493B" w:rsidP="0001493B">
      <w:pPr>
        <w:spacing w:after="120"/>
        <w:rPr>
          <w:b/>
          <w:sz w:val="22"/>
          <w:szCs w:val="22"/>
        </w:rPr>
      </w:pPr>
      <w:r w:rsidRPr="0001493B">
        <w:rPr>
          <w:b/>
          <w:sz w:val="22"/>
          <w:szCs w:val="22"/>
        </w:rPr>
        <w:t xml:space="preserve">Basis for opinion  </w:t>
      </w:r>
    </w:p>
    <w:p w14:paraId="6250B207" w14:textId="77777777" w:rsidR="0001493B" w:rsidRPr="0001493B" w:rsidRDefault="0001493B" w:rsidP="00F97B9B">
      <w:pPr>
        <w:spacing w:after="120"/>
        <w:jc w:val="both"/>
        <w:rPr>
          <w:sz w:val="22"/>
          <w:szCs w:val="22"/>
        </w:rPr>
      </w:pPr>
      <w:r w:rsidRPr="0001493B">
        <w:rPr>
          <w:sz w:val="22"/>
          <w:szCs w:val="22"/>
        </w:rPr>
        <w:t xml:space="preserve">We have been appointed as auditor under section 44 (1)(c) of the Charities and Trustee Investment (Scotland) Act 2005 and under the Companies Act 2006 and report in accordance with regulations made under those Acts. </w:t>
      </w:r>
    </w:p>
    <w:p w14:paraId="4CCA9387" w14:textId="77777777" w:rsidR="0001493B" w:rsidRPr="0001493B" w:rsidRDefault="0001493B" w:rsidP="00F97B9B">
      <w:pPr>
        <w:spacing w:after="120"/>
        <w:jc w:val="both"/>
        <w:rPr>
          <w:sz w:val="22"/>
          <w:szCs w:val="22"/>
        </w:rPr>
      </w:pPr>
      <w:r w:rsidRPr="0001493B">
        <w:rPr>
          <w:sz w:val="22"/>
          <w:szCs w:val="22"/>
        </w:rPr>
        <w:t xml:space="preserve">We conducted our audit in accordance with International Standards on Auditing (UK) (“ISAs (UK)”) and applicable law.  Our responsibilities are described below.  We have fulfilled our ethical responsibilities under and are independent of the charitable company in accordance with, UK ethical requirements including the FRC Ethical Standard.  We believe that the audit evidence we have obtained is a sufficient and appropriate basis for our opinion.  </w:t>
      </w:r>
    </w:p>
    <w:p w14:paraId="128A8BD8" w14:textId="77777777" w:rsidR="0001493B" w:rsidRPr="0001493B" w:rsidRDefault="0001493B" w:rsidP="0001493B">
      <w:pPr>
        <w:spacing w:after="120"/>
        <w:rPr>
          <w:b/>
          <w:sz w:val="22"/>
          <w:szCs w:val="22"/>
        </w:rPr>
      </w:pPr>
      <w:r w:rsidRPr="0001493B">
        <w:rPr>
          <w:b/>
          <w:sz w:val="22"/>
          <w:szCs w:val="22"/>
        </w:rPr>
        <w:t xml:space="preserve">Going concern  </w:t>
      </w:r>
    </w:p>
    <w:p w14:paraId="6823A33A" w14:textId="3CD9BBE9" w:rsidR="0001493B" w:rsidRPr="0001493B" w:rsidRDefault="0001493B" w:rsidP="00F97B9B">
      <w:pPr>
        <w:spacing w:after="120"/>
        <w:jc w:val="both"/>
        <w:rPr>
          <w:sz w:val="22"/>
          <w:szCs w:val="22"/>
        </w:rPr>
      </w:pPr>
      <w:r w:rsidRPr="0001493B">
        <w:rPr>
          <w:sz w:val="22"/>
          <w:szCs w:val="22"/>
        </w:rPr>
        <w:t xml:space="preserve">The Trustees have prepared the financial statements on the going concern basis as they do not intend to liquidate the charitable company or to cease its operations, and as they have concluded that the charitable company’s financial position means that this is realistic.  They have also concluded that there are no material uncertainties that could have cast significant doubt over its ability to continue as a going concern for at least a year from the date of approval of the financial statements (“the going concern period”).  </w:t>
      </w:r>
    </w:p>
    <w:p w14:paraId="3A39C608" w14:textId="77777777" w:rsidR="0001493B" w:rsidRPr="0001493B" w:rsidRDefault="0001493B" w:rsidP="00F97B9B">
      <w:pPr>
        <w:jc w:val="both"/>
        <w:rPr>
          <w:sz w:val="22"/>
          <w:szCs w:val="22"/>
        </w:rPr>
      </w:pPr>
      <w:r w:rsidRPr="0001493B">
        <w:rPr>
          <w:sz w:val="22"/>
          <w:szCs w:val="22"/>
        </w:rPr>
        <w:t>In our evaluation of the trustees’ conclusions, we considered the inherent risks to the charitable company’s business model and analysed how those risks might affect the charitable company’s financial resources or ability to continue operations over the going concern period.</w:t>
      </w:r>
    </w:p>
    <w:p w14:paraId="556EF234" w14:textId="77777777" w:rsidR="0001493B" w:rsidRPr="0001493B" w:rsidRDefault="0001493B" w:rsidP="00F97B9B">
      <w:pPr>
        <w:jc w:val="both"/>
        <w:rPr>
          <w:sz w:val="22"/>
          <w:szCs w:val="22"/>
        </w:rPr>
      </w:pPr>
    </w:p>
    <w:p w14:paraId="1C4E91CE" w14:textId="77777777" w:rsidR="0001493B" w:rsidRPr="0001493B" w:rsidRDefault="0001493B" w:rsidP="00F97B9B">
      <w:pPr>
        <w:spacing w:after="120"/>
        <w:jc w:val="both"/>
        <w:rPr>
          <w:sz w:val="22"/>
          <w:szCs w:val="22"/>
        </w:rPr>
      </w:pPr>
      <w:r w:rsidRPr="0001493B">
        <w:rPr>
          <w:sz w:val="22"/>
          <w:szCs w:val="22"/>
        </w:rPr>
        <w:t xml:space="preserve">Our conclusions based on this work:  </w:t>
      </w:r>
    </w:p>
    <w:p w14:paraId="0D3C484E" w14:textId="77777777" w:rsidR="0001493B" w:rsidRPr="0001493B" w:rsidRDefault="0001493B" w:rsidP="0001493B">
      <w:pPr>
        <w:numPr>
          <w:ilvl w:val="0"/>
          <w:numId w:val="17"/>
        </w:numPr>
        <w:spacing w:after="120"/>
        <w:jc w:val="both"/>
        <w:rPr>
          <w:sz w:val="22"/>
          <w:szCs w:val="22"/>
        </w:rPr>
      </w:pPr>
      <w:r w:rsidRPr="0001493B">
        <w:rPr>
          <w:sz w:val="22"/>
          <w:szCs w:val="22"/>
        </w:rPr>
        <w:t xml:space="preserve">we consider that the trustees’ use of the going concern basis of accounting in the preparation of the financial statements is appropriate; and  </w:t>
      </w:r>
    </w:p>
    <w:p w14:paraId="5CAEA237" w14:textId="77777777" w:rsidR="0001493B" w:rsidRPr="0001493B" w:rsidRDefault="0001493B" w:rsidP="0001493B">
      <w:pPr>
        <w:numPr>
          <w:ilvl w:val="0"/>
          <w:numId w:val="17"/>
        </w:numPr>
        <w:spacing w:after="120"/>
        <w:jc w:val="both"/>
        <w:rPr>
          <w:sz w:val="22"/>
          <w:szCs w:val="22"/>
        </w:rPr>
      </w:pPr>
      <w:r w:rsidRPr="0001493B">
        <w:rPr>
          <w:sz w:val="22"/>
          <w:szCs w:val="22"/>
        </w:rPr>
        <w:t xml:space="preserve">we have not identified, and concur with the trustees’ assessment that there is not, a material uncertainty related to events or conditions that, individually or collectively, may cast significant doubt on the charitable company’s ability to continue as a going concern for the going concern period.  </w:t>
      </w:r>
    </w:p>
    <w:p w14:paraId="3291F591" w14:textId="77777777" w:rsidR="0001493B" w:rsidRPr="0001493B" w:rsidRDefault="0001493B" w:rsidP="00F97B9B">
      <w:pPr>
        <w:spacing w:after="120"/>
        <w:jc w:val="both"/>
        <w:rPr>
          <w:sz w:val="22"/>
          <w:szCs w:val="22"/>
        </w:rPr>
      </w:pPr>
      <w:r w:rsidRPr="0001493B">
        <w:rPr>
          <w:sz w:val="22"/>
          <w:szCs w:val="22"/>
        </w:rPr>
        <w:t xml:space="preserve">However, as we cannot predict all future events or conditions and as subsequent events may result in outcomes that are inconsistent with judgements that were reasonable at the time they were made, the </w:t>
      </w:r>
      <w:bookmarkStart w:id="6" w:name="_Hlk54105501"/>
      <w:r w:rsidRPr="0001493B">
        <w:rPr>
          <w:sz w:val="22"/>
          <w:szCs w:val="22"/>
        </w:rPr>
        <w:t xml:space="preserve">above conclusions are </w:t>
      </w:r>
      <w:bookmarkEnd w:id="6"/>
      <w:r w:rsidRPr="0001493B">
        <w:rPr>
          <w:sz w:val="22"/>
          <w:szCs w:val="22"/>
        </w:rPr>
        <w:t xml:space="preserve">not a guarantee that the charitable company will continue in operation.  </w:t>
      </w:r>
    </w:p>
    <w:p w14:paraId="146DEF74" w14:textId="3E91269A" w:rsidR="008852D5" w:rsidRPr="0001493B" w:rsidRDefault="008852D5" w:rsidP="008852D5">
      <w:pPr>
        <w:pStyle w:val="Heading2"/>
        <w:spacing w:after="120"/>
        <w:jc w:val="left"/>
        <w:rPr>
          <w:rFonts w:cs="Times New Roman"/>
          <w:b w:val="0"/>
          <w:caps/>
          <w:sz w:val="22"/>
          <w:szCs w:val="22"/>
        </w:rPr>
      </w:pPr>
      <w:r w:rsidRPr="0001493B">
        <w:rPr>
          <w:rFonts w:cs="Times New Roman"/>
          <w:caps/>
          <w:sz w:val="22"/>
          <w:szCs w:val="22"/>
        </w:rPr>
        <w:lastRenderedPageBreak/>
        <w:t xml:space="preserve">Independent auditor’s report to TRUSTEES AND MEMBERS OF WHEATLEY HOMES SOUTH LIMITED </w:t>
      </w:r>
      <w:r>
        <w:rPr>
          <w:rFonts w:cs="Times New Roman"/>
          <w:caps/>
          <w:sz w:val="22"/>
          <w:szCs w:val="22"/>
        </w:rPr>
        <w:t>(CONTINUED)</w:t>
      </w:r>
    </w:p>
    <w:p w14:paraId="2486907F" w14:textId="77777777" w:rsidR="0001493B" w:rsidRPr="0001493B" w:rsidRDefault="0001493B" w:rsidP="0001493B">
      <w:pPr>
        <w:spacing w:after="120"/>
        <w:rPr>
          <w:b/>
          <w:sz w:val="22"/>
          <w:szCs w:val="22"/>
        </w:rPr>
      </w:pPr>
      <w:r w:rsidRPr="0001493B">
        <w:rPr>
          <w:b/>
          <w:sz w:val="22"/>
          <w:szCs w:val="22"/>
        </w:rPr>
        <w:t>Fraud and breaches of laws and regulations – ability to detect</w:t>
      </w:r>
    </w:p>
    <w:p w14:paraId="5962234A" w14:textId="77777777" w:rsidR="0001493B" w:rsidRPr="0001493B" w:rsidRDefault="0001493B" w:rsidP="0001493B">
      <w:pPr>
        <w:spacing w:after="120"/>
        <w:rPr>
          <w:i/>
          <w:sz w:val="22"/>
          <w:szCs w:val="22"/>
          <w:lang w:val="en-US"/>
        </w:rPr>
      </w:pPr>
      <w:r w:rsidRPr="0001493B">
        <w:rPr>
          <w:i/>
          <w:sz w:val="22"/>
          <w:szCs w:val="22"/>
          <w:lang w:val="en-US"/>
        </w:rPr>
        <w:t>Identifying and responding to risks of material misstatement due to fraud</w:t>
      </w:r>
    </w:p>
    <w:p w14:paraId="24F0AED8" w14:textId="77777777" w:rsidR="0001493B" w:rsidRPr="0001493B" w:rsidRDefault="0001493B" w:rsidP="0001493B">
      <w:pPr>
        <w:spacing w:after="120"/>
        <w:rPr>
          <w:sz w:val="22"/>
          <w:szCs w:val="22"/>
        </w:rPr>
      </w:pPr>
      <w:r w:rsidRPr="0001493B">
        <w:rPr>
          <w:sz w:val="22"/>
          <w:szCs w:val="22"/>
        </w:rPr>
        <w:t>To identify risks of material misstatement due to fraud (“fraud risks”) we assessed events or conditions that could indicate an incentive or pressure to commit fraud or provide an opportunity to commit fraud. Our risk assessment procedures included:</w:t>
      </w:r>
    </w:p>
    <w:p w14:paraId="40704998" w14:textId="77777777" w:rsidR="0001493B" w:rsidRPr="0001493B" w:rsidRDefault="0001493B" w:rsidP="0001493B">
      <w:pPr>
        <w:numPr>
          <w:ilvl w:val="0"/>
          <w:numId w:val="17"/>
        </w:numPr>
        <w:spacing w:after="120"/>
        <w:jc w:val="both"/>
        <w:rPr>
          <w:sz w:val="22"/>
          <w:szCs w:val="22"/>
        </w:rPr>
      </w:pPr>
      <w:r w:rsidRPr="0001493B">
        <w:rPr>
          <w:sz w:val="22"/>
          <w:szCs w:val="22"/>
        </w:rPr>
        <w:t>Enquiring of board members and management as to the charitable company’s high-level policies and procedures to prevent and detect fraud as well as whether they have knowledge of any actual suspected or alleged fraud; and</w:t>
      </w:r>
    </w:p>
    <w:p w14:paraId="2EC41DBE" w14:textId="77777777" w:rsidR="0001493B" w:rsidRPr="0001493B" w:rsidRDefault="0001493B" w:rsidP="0001493B">
      <w:pPr>
        <w:numPr>
          <w:ilvl w:val="0"/>
          <w:numId w:val="17"/>
        </w:numPr>
        <w:spacing w:after="120"/>
        <w:jc w:val="both"/>
        <w:rPr>
          <w:sz w:val="22"/>
          <w:szCs w:val="22"/>
        </w:rPr>
      </w:pPr>
      <w:r w:rsidRPr="0001493B">
        <w:rPr>
          <w:sz w:val="22"/>
          <w:szCs w:val="22"/>
        </w:rPr>
        <w:t>Reading Board minutes</w:t>
      </w:r>
    </w:p>
    <w:p w14:paraId="34B5CD7A" w14:textId="77777777" w:rsidR="0001493B" w:rsidRPr="0001493B" w:rsidRDefault="0001493B" w:rsidP="00F97B9B">
      <w:pPr>
        <w:spacing w:after="120"/>
        <w:jc w:val="both"/>
        <w:rPr>
          <w:sz w:val="22"/>
          <w:szCs w:val="22"/>
        </w:rPr>
      </w:pPr>
      <w:r w:rsidRPr="0001493B">
        <w:rPr>
          <w:sz w:val="22"/>
          <w:szCs w:val="22"/>
        </w:rPr>
        <w:t>We communicated identified fraud risks throughout the audit team and remained alert to indications of fraud throughout the audit.</w:t>
      </w:r>
    </w:p>
    <w:p w14:paraId="3D9897CA" w14:textId="77777777" w:rsidR="0001493B" w:rsidRPr="0001493B" w:rsidRDefault="0001493B" w:rsidP="00F97B9B">
      <w:pPr>
        <w:spacing w:after="120"/>
        <w:jc w:val="both"/>
        <w:rPr>
          <w:bCs/>
          <w:sz w:val="22"/>
          <w:szCs w:val="22"/>
        </w:rPr>
      </w:pPr>
      <w:r w:rsidRPr="0001493B">
        <w:rPr>
          <w:bCs/>
          <w:sz w:val="22"/>
          <w:szCs w:val="22"/>
        </w:rPr>
        <w:t>As required by auditing standards, taking into account our overall knowledge of the control environment, we perform procedures to address the risk of management override of controls, in particular the risk that the entity management may be in a position to make inappropriate accounting entries. On this audit we do not believe there is a fraud risk related to income recognition because of the limited opportunity and incentive for fraudulent revenue recognition and the limited judgement in respect of revenue recognition.</w:t>
      </w:r>
    </w:p>
    <w:p w14:paraId="2203EB63" w14:textId="77777777" w:rsidR="0001493B" w:rsidRPr="0001493B" w:rsidRDefault="0001493B" w:rsidP="00F97B9B">
      <w:pPr>
        <w:spacing w:after="120"/>
        <w:jc w:val="both"/>
        <w:rPr>
          <w:bCs/>
          <w:sz w:val="22"/>
          <w:szCs w:val="22"/>
        </w:rPr>
      </w:pPr>
      <w:r w:rsidRPr="0001493B">
        <w:rPr>
          <w:bCs/>
          <w:sz w:val="22"/>
          <w:szCs w:val="22"/>
        </w:rPr>
        <w:t>We did not identify any additional fraud risks.</w:t>
      </w:r>
    </w:p>
    <w:p w14:paraId="0B6A07FD" w14:textId="77777777" w:rsidR="0001493B" w:rsidRPr="0001493B" w:rsidRDefault="0001493B" w:rsidP="00F97B9B">
      <w:pPr>
        <w:spacing w:after="120"/>
        <w:jc w:val="both"/>
        <w:rPr>
          <w:bCs/>
          <w:sz w:val="22"/>
          <w:szCs w:val="22"/>
        </w:rPr>
      </w:pPr>
      <w:r w:rsidRPr="0001493B">
        <w:rPr>
          <w:bCs/>
          <w:sz w:val="22"/>
          <w:szCs w:val="22"/>
        </w:rPr>
        <w:t>In determining the audit procedures, we took into account the results of our evaluation and testing of the operating effectiveness of some of the charitable company’s wide fraud risk management controls.</w:t>
      </w:r>
    </w:p>
    <w:p w14:paraId="7DC13246" w14:textId="77777777" w:rsidR="0001493B" w:rsidRPr="0001493B" w:rsidRDefault="0001493B" w:rsidP="00F97B9B">
      <w:pPr>
        <w:spacing w:after="120"/>
        <w:jc w:val="both"/>
        <w:rPr>
          <w:bCs/>
          <w:sz w:val="22"/>
          <w:szCs w:val="22"/>
        </w:rPr>
      </w:pPr>
      <w:r w:rsidRPr="0001493B">
        <w:rPr>
          <w:bCs/>
          <w:sz w:val="22"/>
          <w:szCs w:val="22"/>
        </w:rPr>
        <w:t>We also performed procedures including:</w:t>
      </w:r>
    </w:p>
    <w:p w14:paraId="77B29E90" w14:textId="77777777" w:rsidR="0001493B" w:rsidRPr="0001493B" w:rsidRDefault="0001493B" w:rsidP="0001493B">
      <w:pPr>
        <w:numPr>
          <w:ilvl w:val="0"/>
          <w:numId w:val="17"/>
        </w:numPr>
        <w:spacing w:after="120"/>
        <w:jc w:val="both"/>
        <w:rPr>
          <w:sz w:val="22"/>
          <w:szCs w:val="22"/>
        </w:rPr>
      </w:pPr>
      <w:r w:rsidRPr="0001493B">
        <w:rPr>
          <w:sz w:val="22"/>
          <w:szCs w:val="22"/>
        </w:rPr>
        <w:t>Identifying journal entries and other adjustments to test based on risk criteria and comparing the identified entries to supporting documentation. These include those posted to unusual accounts.</w:t>
      </w:r>
    </w:p>
    <w:p w14:paraId="1A79F353" w14:textId="77777777" w:rsidR="0001493B" w:rsidRPr="0001493B" w:rsidRDefault="0001493B" w:rsidP="0001493B">
      <w:pPr>
        <w:numPr>
          <w:ilvl w:val="0"/>
          <w:numId w:val="17"/>
        </w:numPr>
        <w:spacing w:after="120"/>
        <w:jc w:val="both"/>
        <w:rPr>
          <w:sz w:val="22"/>
          <w:szCs w:val="22"/>
        </w:rPr>
      </w:pPr>
      <w:r w:rsidRPr="0001493B">
        <w:rPr>
          <w:sz w:val="22"/>
          <w:szCs w:val="22"/>
        </w:rPr>
        <w:t>Assessing whether the judgements made in making accounting estimates are indicative of a potential bias including assessing the assumptions used in pension and property valuations.</w:t>
      </w:r>
    </w:p>
    <w:p w14:paraId="5378781D" w14:textId="77777777" w:rsidR="0001493B" w:rsidRPr="0001493B" w:rsidRDefault="0001493B" w:rsidP="00F97B9B">
      <w:pPr>
        <w:spacing w:after="120"/>
        <w:jc w:val="both"/>
        <w:rPr>
          <w:bCs/>
          <w:i/>
          <w:iCs/>
          <w:sz w:val="22"/>
          <w:szCs w:val="22"/>
        </w:rPr>
      </w:pPr>
      <w:r w:rsidRPr="0001493B">
        <w:rPr>
          <w:bCs/>
          <w:i/>
          <w:iCs/>
          <w:sz w:val="22"/>
          <w:szCs w:val="22"/>
        </w:rPr>
        <w:t>Identifying and responding to risks of material misstatement related to compliance with laws and regulations</w:t>
      </w:r>
    </w:p>
    <w:p w14:paraId="4FA4DCE1" w14:textId="77777777" w:rsidR="0001493B" w:rsidRPr="0001493B" w:rsidRDefault="0001493B" w:rsidP="00F97B9B">
      <w:pPr>
        <w:spacing w:after="120"/>
        <w:jc w:val="both"/>
        <w:rPr>
          <w:bCs/>
          <w:sz w:val="22"/>
          <w:szCs w:val="22"/>
        </w:rPr>
      </w:pPr>
      <w:r w:rsidRPr="0001493B">
        <w:rPr>
          <w:bCs/>
          <w:sz w:val="22"/>
          <w:szCs w:val="22"/>
        </w:rPr>
        <w:t>We identified areas of laws and regulations that could reasonably be expected to have a material effect on the financial statements from our general commercial and sector experience and through discussions with the board and other management (as required by auditing standards) and discussed with the board and other management the policies and procedures regarding compliance with laws and regulations.</w:t>
      </w:r>
    </w:p>
    <w:p w14:paraId="02BA969B" w14:textId="77777777" w:rsidR="0001493B" w:rsidRPr="0001493B" w:rsidRDefault="0001493B" w:rsidP="00F97B9B">
      <w:pPr>
        <w:spacing w:after="120"/>
        <w:jc w:val="both"/>
        <w:rPr>
          <w:bCs/>
          <w:sz w:val="22"/>
          <w:szCs w:val="22"/>
        </w:rPr>
      </w:pPr>
      <w:r w:rsidRPr="0001493B">
        <w:rPr>
          <w:bCs/>
          <w:sz w:val="22"/>
          <w:szCs w:val="22"/>
        </w:rPr>
        <w:t>We communicated identified laws and regulation throughout our team and remained alert to any indications of non-compliance throughout the audit.</w:t>
      </w:r>
    </w:p>
    <w:p w14:paraId="4B307D3E" w14:textId="77777777" w:rsidR="0001493B" w:rsidRPr="0001493B" w:rsidRDefault="0001493B" w:rsidP="00F97B9B">
      <w:pPr>
        <w:spacing w:after="120"/>
        <w:jc w:val="both"/>
        <w:rPr>
          <w:bCs/>
          <w:sz w:val="22"/>
          <w:szCs w:val="22"/>
        </w:rPr>
      </w:pPr>
      <w:r w:rsidRPr="0001493B">
        <w:rPr>
          <w:bCs/>
          <w:sz w:val="22"/>
          <w:szCs w:val="22"/>
        </w:rPr>
        <w:t>The potential effect of these laws and regulations on the financial statements varies considerably.</w:t>
      </w:r>
    </w:p>
    <w:p w14:paraId="1E419190" w14:textId="77777777" w:rsidR="0001493B" w:rsidRPr="0001493B" w:rsidRDefault="0001493B" w:rsidP="00F97B9B">
      <w:pPr>
        <w:spacing w:after="120"/>
        <w:jc w:val="both"/>
        <w:rPr>
          <w:bCs/>
          <w:sz w:val="22"/>
          <w:szCs w:val="22"/>
        </w:rPr>
      </w:pPr>
      <w:r w:rsidRPr="0001493B">
        <w:rPr>
          <w:bCs/>
          <w:sz w:val="22"/>
          <w:szCs w:val="22"/>
        </w:rPr>
        <w:t>Firstly, the charitable company is subject to laws and regulations that directly affect the financial statements including financial reporting legislation and charities legislation and we assessed the extent of compliance with these laws and regulations as part of our procedures on the related financial statements items.</w:t>
      </w:r>
    </w:p>
    <w:p w14:paraId="547A0A38" w14:textId="77777777" w:rsidR="0001493B" w:rsidRPr="0001493B" w:rsidRDefault="0001493B" w:rsidP="00F97B9B">
      <w:pPr>
        <w:spacing w:after="120"/>
        <w:jc w:val="both"/>
        <w:rPr>
          <w:bCs/>
          <w:sz w:val="22"/>
          <w:szCs w:val="22"/>
        </w:rPr>
      </w:pPr>
      <w:r w:rsidRPr="0001493B">
        <w:rPr>
          <w:bCs/>
          <w:sz w:val="22"/>
          <w:szCs w:val="22"/>
        </w:rPr>
        <w:t>Whilst the charitable company is subject to many other laws and regulations, we did not identify any others where the consequences of non-compliance allow could have a material effect on amounts or disclosures in the financial statements.</w:t>
      </w:r>
    </w:p>
    <w:p w14:paraId="089E4122" w14:textId="77777777" w:rsidR="00850071" w:rsidRPr="0001493B" w:rsidRDefault="00850071" w:rsidP="00850071">
      <w:pPr>
        <w:pStyle w:val="Heading2"/>
        <w:spacing w:after="120"/>
        <w:jc w:val="left"/>
        <w:rPr>
          <w:rFonts w:cs="Times New Roman"/>
          <w:b w:val="0"/>
          <w:caps/>
          <w:sz w:val="22"/>
          <w:szCs w:val="22"/>
        </w:rPr>
      </w:pPr>
      <w:r w:rsidRPr="0001493B">
        <w:rPr>
          <w:rFonts w:cs="Times New Roman"/>
          <w:caps/>
          <w:sz w:val="22"/>
          <w:szCs w:val="22"/>
        </w:rPr>
        <w:lastRenderedPageBreak/>
        <w:t xml:space="preserve">Independent auditor’s report to TRUSTEES AND MEMBERS OF WHEATLEY HOMES SOUTH LIMITED </w:t>
      </w:r>
      <w:r>
        <w:rPr>
          <w:rFonts w:cs="Times New Roman"/>
          <w:caps/>
          <w:sz w:val="22"/>
          <w:szCs w:val="22"/>
        </w:rPr>
        <w:t>(CONTINUED)</w:t>
      </w:r>
    </w:p>
    <w:p w14:paraId="42809BCF" w14:textId="77777777" w:rsidR="00850071" w:rsidRPr="0001493B" w:rsidRDefault="00850071" w:rsidP="00850071">
      <w:pPr>
        <w:spacing w:after="120"/>
        <w:rPr>
          <w:bCs/>
          <w:i/>
          <w:iCs/>
          <w:sz w:val="22"/>
          <w:szCs w:val="22"/>
        </w:rPr>
      </w:pPr>
      <w:r w:rsidRPr="0001493B">
        <w:rPr>
          <w:bCs/>
          <w:i/>
          <w:iCs/>
          <w:sz w:val="22"/>
          <w:szCs w:val="22"/>
        </w:rPr>
        <w:t>Context of the ability of the audit to detect fraud or breaches of law or regulation</w:t>
      </w:r>
    </w:p>
    <w:p w14:paraId="7AAF2E34" w14:textId="77777777" w:rsidR="0001493B" w:rsidRPr="0001493B" w:rsidRDefault="0001493B" w:rsidP="002A0158">
      <w:pPr>
        <w:spacing w:after="120"/>
        <w:jc w:val="both"/>
        <w:rPr>
          <w:bCs/>
          <w:sz w:val="22"/>
          <w:szCs w:val="22"/>
        </w:rPr>
      </w:pPr>
      <w:r w:rsidRPr="0001493B">
        <w:rPr>
          <w:bCs/>
          <w:sz w:val="22"/>
          <w:szCs w:val="22"/>
        </w:rPr>
        <w:t>Owing to the inherent limitations of an audit, there is an unavoidable risk that we may not have detected some material misstatements in the financial statements, even though we have properly planned and performed our audit in accordance with auditing standards. For example, the further removed non-compliance with laws and regulations is from the events and transactions reflected in the financial statements, the less likely the inherently limited procedures required by auditing standards would identify it.</w:t>
      </w:r>
    </w:p>
    <w:p w14:paraId="2D8C6D8A" w14:textId="77777777" w:rsidR="0001493B" w:rsidRPr="0001493B" w:rsidRDefault="0001493B" w:rsidP="002A0158">
      <w:pPr>
        <w:spacing w:after="120"/>
        <w:jc w:val="both"/>
        <w:rPr>
          <w:bCs/>
          <w:sz w:val="22"/>
          <w:szCs w:val="22"/>
        </w:rPr>
      </w:pPr>
      <w:r w:rsidRPr="0001493B">
        <w:rPr>
          <w:bCs/>
          <w:sz w:val="22"/>
          <w:szCs w:val="22"/>
        </w:rPr>
        <w:t>In addition, as with any audit, there remained a higher risk of non-detection of fraud, as fraud may involve collusion, forgery, intentional omissions, misrepresentations, or the override of internal controls. Our audit procedures are designed to detect material misstatements. We are not responsible for preventing non-compliance or fraud and cannot be expected to detect non-compliance with all laws and regulations.</w:t>
      </w:r>
    </w:p>
    <w:p w14:paraId="665A246D" w14:textId="77777777" w:rsidR="005E6E06" w:rsidRDefault="005E6E06" w:rsidP="0001493B">
      <w:pPr>
        <w:spacing w:after="120"/>
        <w:rPr>
          <w:b/>
          <w:sz w:val="22"/>
          <w:szCs w:val="22"/>
        </w:rPr>
      </w:pPr>
    </w:p>
    <w:p w14:paraId="2F986AFF" w14:textId="2DE5DCF3" w:rsidR="0001493B" w:rsidRPr="0001493B" w:rsidRDefault="0001493B" w:rsidP="0001493B">
      <w:pPr>
        <w:spacing w:after="120"/>
        <w:rPr>
          <w:b/>
          <w:sz w:val="22"/>
          <w:szCs w:val="22"/>
        </w:rPr>
      </w:pPr>
      <w:r w:rsidRPr="0001493B">
        <w:rPr>
          <w:b/>
          <w:sz w:val="22"/>
          <w:szCs w:val="22"/>
        </w:rPr>
        <w:t>Other information</w:t>
      </w:r>
    </w:p>
    <w:p w14:paraId="054D9015" w14:textId="2F16EB0B" w:rsidR="0001493B" w:rsidRPr="0001493B" w:rsidRDefault="0001493B" w:rsidP="002A0158">
      <w:pPr>
        <w:spacing w:after="120"/>
        <w:jc w:val="both"/>
        <w:rPr>
          <w:sz w:val="22"/>
          <w:szCs w:val="22"/>
        </w:rPr>
      </w:pPr>
      <w:r w:rsidRPr="0001493B">
        <w:rPr>
          <w:sz w:val="22"/>
          <w:szCs w:val="22"/>
        </w:rPr>
        <w:t>The trustees are responsible for the other information, which comprises the Trustees’ Annual report, Strategic Report and the Director’s report. Our opinion on the financial statements does not cover the other information and, accordingly, we do not express an audit opinion or, except as explicitly stated below, any form of assurance conclusion thereon.</w:t>
      </w:r>
    </w:p>
    <w:p w14:paraId="0B9D2822" w14:textId="77777777" w:rsidR="0001493B" w:rsidRPr="0001493B" w:rsidRDefault="0001493B" w:rsidP="002A0158">
      <w:pPr>
        <w:spacing w:after="120"/>
        <w:jc w:val="both"/>
        <w:rPr>
          <w:sz w:val="22"/>
          <w:szCs w:val="22"/>
        </w:rPr>
      </w:pPr>
      <w:r w:rsidRPr="0001493B">
        <w:rPr>
          <w:sz w:val="22"/>
          <w:szCs w:val="22"/>
        </w:rPr>
        <w:t>Our responsibility is to read the other information and, in doing so, consider whether, based on our financial statements audit work, the information therein is materially misstated or inconsistent with the financial statements or our audit knowledge. Based solely on that work:</w:t>
      </w:r>
    </w:p>
    <w:p w14:paraId="2719642A" w14:textId="77777777" w:rsidR="0001493B" w:rsidRPr="0001493B" w:rsidRDefault="0001493B" w:rsidP="0001493B">
      <w:pPr>
        <w:numPr>
          <w:ilvl w:val="0"/>
          <w:numId w:val="17"/>
        </w:numPr>
        <w:spacing w:after="120"/>
        <w:jc w:val="both"/>
        <w:rPr>
          <w:sz w:val="22"/>
          <w:szCs w:val="22"/>
        </w:rPr>
      </w:pPr>
      <w:r w:rsidRPr="0001493B">
        <w:rPr>
          <w:sz w:val="22"/>
          <w:szCs w:val="22"/>
        </w:rPr>
        <w:t xml:space="preserve">we have not identified material misstatements in the other information; or </w:t>
      </w:r>
    </w:p>
    <w:p w14:paraId="1424617F" w14:textId="77777777" w:rsidR="0001493B" w:rsidRPr="0001493B" w:rsidRDefault="0001493B" w:rsidP="0001493B">
      <w:pPr>
        <w:numPr>
          <w:ilvl w:val="0"/>
          <w:numId w:val="17"/>
        </w:numPr>
        <w:spacing w:after="120"/>
        <w:jc w:val="both"/>
        <w:rPr>
          <w:sz w:val="22"/>
          <w:szCs w:val="22"/>
        </w:rPr>
      </w:pPr>
      <w:r w:rsidRPr="0001493B">
        <w:rPr>
          <w:sz w:val="22"/>
          <w:szCs w:val="22"/>
        </w:rPr>
        <w:t>in our opinion the information given in the Trustees' Annual Report, which constitutes the strategic report and the directors’ report for the financial year, is consistent with the financial statements;</w:t>
      </w:r>
    </w:p>
    <w:p w14:paraId="52BD0E7E" w14:textId="77777777" w:rsidR="0001493B" w:rsidRPr="0001493B" w:rsidRDefault="0001493B" w:rsidP="0001493B">
      <w:pPr>
        <w:numPr>
          <w:ilvl w:val="0"/>
          <w:numId w:val="17"/>
        </w:numPr>
        <w:spacing w:after="120"/>
        <w:jc w:val="both"/>
        <w:rPr>
          <w:sz w:val="22"/>
          <w:szCs w:val="22"/>
        </w:rPr>
      </w:pPr>
      <w:r w:rsidRPr="0001493B">
        <w:rPr>
          <w:sz w:val="22"/>
          <w:szCs w:val="22"/>
        </w:rPr>
        <w:t xml:space="preserve"> in our opinion those reports have been prepared in accordance with the Companies Act 2006</w:t>
      </w:r>
    </w:p>
    <w:p w14:paraId="39E1CAF2" w14:textId="77777777" w:rsidR="0001493B" w:rsidRPr="0001493B" w:rsidRDefault="0001493B" w:rsidP="002A0158">
      <w:pPr>
        <w:spacing w:after="120"/>
        <w:jc w:val="both"/>
        <w:rPr>
          <w:sz w:val="22"/>
          <w:szCs w:val="22"/>
        </w:rPr>
      </w:pPr>
      <w:r w:rsidRPr="0001493B">
        <w:rPr>
          <w:sz w:val="22"/>
          <w:szCs w:val="22"/>
        </w:rPr>
        <w:t xml:space="preserve">We are required to report to you if: </w:t>
      </w:r>
    </w:p>
    <w:p w14:paraId="26337138" w14:textId="7D39BD03" w:rsidR="0001493B" w:rsidRPr="0001493B" w:rsidRDefault="0001493B" w:rsidP="0001493B">
      <w:pPr>
        <w:numPr>
          <w:ilvl w:val="0"/>
          <w:numId w:val="17"/>
        </w:numPr>
        <w:spacing w:after="120"/>
        <w:jc w:val="both"/>
        <w:rPr>
          <w:sz w:val="22"/>
          <w:szCs w:val="22"/>
        </w:rPr>
      </w:pPr>
      <w:r w:rsidRPr="0001493B">
        <w:rPr>
          <w:sz w:val="22"/>
          <w:szCs w:val="22"/>
        </w:rPr>
        <w:t xml:space="preserve">in our opinion, the Statement on Internal Financial Control on page </w:t>
      </w:r>
      <w:r w:rsidR="00CB3483">
        <w:rPr>
          <w:sz w:val="22"/>
          <w:szCs w:val="22"/>
        </w:rPr>
        <w:t>10</w:t>
      </w:r>
      <w:r w:rsidRPr="0001493B">
        <w:rPr>
          <w:sz w:val="22"/>
          <w:szCs w:val="22"/>
        </w:rPr>
        <w:t xml:space="preserve"> does not provide the disclosures required by the relevant Regulatory Standards for systematically important RSLs within the publication “Our Regulatory Framework” and associated Regulatory Advisory Notes issued by the Scottish Housing Regulator in respect of internal financial controls; or </w:t>
      </w:r>
    </w:p>
    <w:p w14:paraId="1E8B39E0" w14:textId="77777777" w:rsidR="0001493B" w:rsidRPr="0001493B" w:rsidRDefault="0001493B" w:rsidP="0001493B">
      <w:pPr>
        <w:numPr>
          <w:ilvl w:val="0"/>
          <w:numId w:val="17"/>
        </w:numPr>
        <w:spacing w:after="120"/>
        <w:jc w:val="both"/>
        <w:rPr>
          <w:sz w:val="22"/>
          <w:szCs w:val="22"/>
        </w:rPr>
      </w:pPr>
      <w:r w:rsidRPr="0001493B">
        <w:rPr>
          <w:sz w:val="22"/>
          <w:szCs w:val="22"/>
        </w:rPr>
        <w:t>in our opinion, the Statement on Internal Financial Control is materially inconsistent with the knowledge acquired by us in the course of performing our audit; or</w:t>
      </w:r>
    </w:p>
    <w:p w14:paraId="5E38199E" w14:textId="77777777" w:rsidR="0001493B" w:rsidRPr="0001493B" w:rsidRDefault="0001493B" w:rsidP="002A0158">
      <w:pPr>
        <w:spacing w:after="120"/>
        <w:jc w:val="both"/>
        <w:rPr>
          <w:sz w:val="22"/>
          <w:szCs w:val="22"/>
        </w:rPr>
      </w:pPr>
      <w:r w:rsidRPr="0001493B">
        <w:rPr>
          <w:sz w:val="22"/>
          <w:szCs w:val="22"/>
        </w:rPr>
        <w:t>We have nothing to report in these respects.</w:t>
      </w:r>
    </w:p>
    <w:p w14:paraId="293BBB09" w14:textId="77777777" w:rsidR="0001493B" w:rsidRPr="0001493B" w:rsidRDefault="0001493B" w:rsidP="0001493B">
      <w:pPr>
        <w:spacing w:after="120"/>
        <w:rPr>
          <w:b/>
          <w:sz w:val="22"/>
          <w:szCs w:val="22"/>
        </w:rPr>
      </w:pPr>
    </w:p>
    <w:p w14:paraId="04F35841" w14:textId="77777777" w:rsidR="00850071" w:rsidRDefault="00850071">
      <w:pPr>
        <w:rPr>
          <w:b/>
          <w:sz w:val="22"/>
          <w:szCs w:val="22"/>
        </w:rPr>
      </w:pPr>
      <w:r>
        <w:rPr>
          <w:b/>
          <w:sz w:val="22"/>
          <w:szCs w:val="22"/>
        </w:rPr>
        <w:br w:type="page"/>
      </w:r>
    </w:p>
    <w:p w14:paraId="7BCE7476" w14:textId="77777777" w:rsidR="00850071" w:rsidRPr="0001493B" w:rsidRDefault="00850071" w:rsidP="00850071">
      <w:pPr>
        <w:pStyle w:val="Heading2"/>
        <w:spacing w:after="120"/>
        <w:jc w:val="left"/>
        <w:rPr>
          <w:rFonts w:cs="Times New Roman"/>
          <w:b w:val="0"/>
          <w:caps/>
          <w:sz w:val="22"/>
          <w:szCs w:val="22"/>
        </w:rPr>
      </w:pPr>
      <w:r w:rsidRPr="0001493B">
        <w:rPr>
          <w:rFonts w:cs="Times New Roman"/>
          <w:caps/>
          <w:sz w:val="22"/>
          <w:szCs w:val="22"/>
        </w:rPr>
        <w:lastRenderedPageBreak/>
        <w:t xml:space="preserve">Independent auditor’s report to TRUSTEES AND MEMBERS OF WHEATLEY HOMES SOUTH LIMITED </w:t>
      </w:r>
      <w:r>
        <w:rPr>
          <w:rFonts w:cs="Times New Roman"/>
          <w:caps/>
          <w:sz w:val="22"/>
          <w:szCs w:val="22"/>
        </w:rPr>
        <w:t>(CONTINUED)</w:t>
      </w:r>
    </w:p>
    <w:p w14:paraId="73830CAD" w14:textId="49E8D9AB" w:rsidR="0001493B" w:rsidRPr="0001493B" w:rsidRDefault="0001493B" w:rsidP="0001493B">
      <w:pPr>
        <w:spacing w:after="120"/>
        <w:rPr>
          <w:b/>
          <w:sz w:val="22"/>
          <w:szCs w:val="22"/>
        </w:rPr>
      </w:pPr>
      <w:r w:rsidRPr="0001493B">
        <w:rPr>
          <w:b/>
          <w:sz w:val="22"/>
          <w:szCs w:val="22"/>
        </w:rPr>
        <w:t xml:space="preserve">Matters on which we are required to report by exception </w:t>
      </w:r>
    </w:p>
    <w:p w14:paraId="058A42D6" w14:textId="77777777" w:rsidR="0001493B" w:rsidRPr="0001493B" w:rsidRDefault="0001493B" w:rsidP="0001493B">
      <w:pPr>
        <w:pStyle w:val="Text"/>
        <w:rPr>
          <w:szCs w:val="22"/>
        </w:rPr>
      </w:pPr>
      <w:r w:rsidRPr="0001493B">
        <w:rPr>
          <w:szCs w:val="22"/>
        </w:rPr>
        <w:t>Under the Companies Act 2006 and the Charities Accounts (Scotland) Regulations 2006 (as amended) we are required to report to you if, in our opinion:</w:t>
      </w:r>
    </w:p>
    <w:p w14:paraId="2432B421" w14:textId="77777777" w:rsidR="0001493B" w:rsidRPr="0001493B" w:rsidRDefault="0001493B" w:rsidP="0001493B">
      <w:pPr>
        <w:numPr>
          <w:ilvl w:val="0"/>
          <w:numId w:val="17"/>
        </w:numPr>
        <w:spacing w:after="120"/>
        <w:jc w:val="both"/>
        <w:rPr>
          <w:sz w:val="22"/>
          <w:szCs w:val="22"/>
        </w:rPr>
      </w:pPr>
      <w:r w:rsidRPr="0001493B">
        <w:rPr>
          <w:sz w:val="22"/>
          <w:szCs w:val="22"/>
        </w:rPr>
        <w:t>the charitable company has not kept adequate and proper accounting records or returns adequate for our audit have not been received from branches not visited by us; or</w:t>
      </w:r>
    </w:p>
    <w:p w14:paraId="48352C28" w14:textId="77777777" w:rsidR="0001493B" w:rsidRPr="0001493B" w:rsidRDefault="0001493B" w:rsidP="0001493B">
      <w:pPr>
        <w:numPr>
          <w:ilvl w:val="0"/>
          <w:numId w:val="17"/>
        </w:numPr>
        <w:spacing w:after="120"/>
        <w:jc w:val="both"/>
        <w:rPr>
          <w:sz w:val="22"/>
          <w:szCs w:val="22"/>
        </w:rPr>
      </w:pPr>
      <w:r w:rsidRPr="0001493B">
        <w:rPr>
          <w:sz w:val="22"/>
          <w:szCs w:val="22"/>
        </w:rPr>
        <w:t>the charitable company financial statements are not in agreement with the accounting records and returns; or</w:t>
      </w:r>
    </w:p>
    <w:p w14:paraId="3AEBD006" w14:textId="77777777" w:rsidR="0001493B" w:rsidRPr="0001493B" w:rsidRDefault="0001493B" w:rsidP="0001493B">
      <w:pPr>
        <w:numPr>
          <w:ilvl w:val="0"/>
          <w:numId w:val="17"/>
        </w:numPr>
        <w:spacing w:after="120"/>
        <w:jc w:val="both"/>
        <w:rPr>
          <w:sz w:val="22"/>
          <w:szCs w:val="22"/>
        </w:rPr>
      </w:pPr>
      <w:r w:rsidRPr="0001493B">
        <w:rPr>
          <w:sz w:val="22"/>
          <w:szCs w:val="22"/>
        </w:rPr>
        <w:t>certain disclosures of trustees’ remuneration specified by law are not made; or</w:t>
      </w:r>
    </w:p>
    <w:p w14:paraId="039859B0" w14:textId="77777777" w:rsidR="0001493B" w:rsidRPr="0001493B" w:rsidRDefault="0001493B" w:rsidP="0001493B">
      <w:pPr>
        <w:numPr>
          <w:ilvl w:val="0"/>
          <w:numId w:val="17"/>
        </w:numPr>
        <w:spacing w:after="120"/>
        <w:jc w:val="both"/>
        <w:rPr>
          <w:sz w:val="22"/>
          <w:szCs w:val="22"/>
        </w:rPr>
      </w:pPr>
      <w:r w:rsidRPr="0001493B">
        <w:rPr>
          <w:sz w:val="22"/>
          <w:szCs w:val="22"/>
        </w:rPr>
        <w:t>we have not received all the information and explanations we require for our audit</w:t>
      </w:r>
    </w:p>
    <w:p w14:paraId="06B570CF" w14:textId="77777777" w:rsidR="0001493B" w:rsidRPr="0001493B" w:rsidRDefault="0001493B" w:rsidP="0001493B">
      <w:pPr>
        <w:spacing w:after="120"/>
        <w:rPr>
          <w:sz w:val="22"/>
          <w:szCs w:val="22"/>
        </w:rPr>
      </w:pPr>
      <w:r w:rsidRPr="0001493B">
        <w:rPr>
          <w:sz w:val="22"/>
          <w:szCs w:val="22"/>
        </w:rPr>
        <w:t>We have nothing to report in these respects</w:t>
      </w:r>
    </w:p>
    <w:p w14:paraId="37F0A727" w14:textId="77777777" w:rsidR="006B2CA7" w:rsidRDefault="006B2CA7" w:rsidP="0001493B">
      <w:pPr>
        <w:spacing w:after="120"/>
        <w:rPr>
          <w:b/>
          <w:sz w:val="22"/>
          <w:szCs w:val="22"/>
        </w:rPr>
      </w:pPr>
    </w:p>
    <w:p w14:paraId="403E1DDB" w14:textId="13D39B11" w:rsidR="0001493B" w:rsidRPr="0001493B" w:rsidRDefault="0001493B" w:rsidP="0001493B">
      <w:pPr>
        <w:spacing w:after="120"/>
        <w:rPr>
          <w:b/>
          <w:sz w:val="22"/>
          <w:szCs w:val="22"/>
        </w:rPr>
      </w:pPr>
      <w:r w:rsidRPr="0001493B">
        <w:rPr>
          <w:b/>
          <w:sz w:val="22"/>
          <w:szCs w:val="22"/>
        </w:rPr>
        <w:t xml:space="preserve">Trustees responsibilities </w:t>
      </w:r>
    </w:p>
    <w:p w14:paraId="2A0C2C75" w14:textId="5BA3ACA6" w:rsidR="0001493B" w:rsidRPr="0001493B" w:rsidRDefault="0001493B" w:rsidP="002A0158">
      <w:pPr>
        <w:spacing w:after="120"/>
        <w:jc w:val="both"/>
        <w:rPr>
          <w:sz w:val="22"/>
          <w:szCs w:val="22"/>
        </w:rPr>
      </w:pPr>
      <w:r w:rsidRPr="0001493B">
        <w:rPr>
          <w:sz w:val="22"/>
          <w:szCs w:val="22"/>
        </w:rPr>
        <w:t xml:space="preserve">As explained more fully in their statement set out on page </w:t>
      </w:r>
      <w:r w:rsidR="00733046">
        <w:rPr>
          <w:sz w:val="22"/>
          <w:szCs w:val="22"/>
        </w:rPr>
        <w:t>11</w:t>
      </w:r>
      <w:r w:rsidRPr="0001493B">
        <w:rPr>
          <w:sz w:val="22"/>
          <w:szCs w:val="22"/>
        </w:rPr>
        <w:t xml:space="preserve">, the trustees (who are also the directors of the charitable company for the purposes of company law) are responsible for the preparation of the financial statements and for being satisfied that they give a true and fair view; such internal control as they determine is necessary to enable the preparation of financial statements that are free from material misstatement, whether due to fraud or error; assessing the charitable company’s ability to continue as a going concern, disclosing, as applicable, matters related to going concern; and using the going concern basis of accounting unless they either intend to liquidate the charitable company or to cease operations, or have no realistic alternative but to do so.  </w:t>
      </w:r>
    </w:p>
    <w:p w14:paraId="490B268D" w14:textId="77777777" w:rsidR="0001493B" w:rsidRPr="0001493B" w:rsidRDefault="0001493B" w:rsidP="002A0158">
      <w:pPr>
        <w:spacing w:after="120"/>
        <w:jc w:val="both"/>
        <w:rPr>
          <w:b/>
          <w:sz w:val="22"/>
          <w:szCs w:val="22"/>
        </w:rPr>
      </w:pPr>
      <w:r w:rsidRPr="0001493B">
        <w:rPr>
          <w:b/>
          <w:sz w:val="22"/>
          <w:szCs w:val="22"/>
        </w:rPr>
        <w:t xml:space="preserve">Auditor’s responsibilities </w:t>
      </w:r>
    </w:p>
    <w:p w14:paraId="4BD2BC19" w14:textId="77777777" w:rsidR="0001493B" w:rsidRPr="0001493B" w:rsidRDefault="0001493B" w:rsidP="0001493B">
      <w:pPr>
        <w:pStyle w:val="Text"/>
        <w:rPr>
          <w:szCs w:val="22"/>
        </w:rPr>
      </w:pPr>
      <w:r w:rsidRPr="0001493B">
        <w:rPr>
          <w:szCs w:val="22"/>
        </w:rPr>
        <w:t>Our objectives are to obtain reasonable assurance about whether the financial statements as a whole are free from material misstatement, whether due to fraud or error, and to issue our opinion in an auditor’s report.  Reasonable assurance is a high level of assurance but does not guarantee that an audit conducted in accordance with ISAs (UK) will always detect a material misstatement when it exists.  Misstatements can arise from fraud or error and are considered material if, individually or in aggregate, they could reasonably be expected to influence the economic decisions of users taken on the basis of the financial statements.</w:t>
      </w:r>
    </w:p>
    <w:p w14:paraId="6E86F2DB" w14:textId="77777777" w:rsidR="0001493B" w:rsidRPr="0001493B" w:rsidRDefault="0001493B" w:rsidP="0001493B">
      <w:pPr>
        <w:pStyle w:val="Text"/>
        <w:rPr>
          <w:szCs w:val="22"/>
        </w:rPr>
      </w:pPr>
      <w:r w:rsidRPr="0001493B">
        <w:rPr>
          <w:szCs w:val="22"/>
        </w:rPr>
        <w:t xml:space="preserve">A fuller description of our responsibilities is provided on the FRC’s website at </w:t>
      </w:r>
      <w:hyperlink r:id="rId24" w:history="1">
        <w:r w:rsidRPr="0001493B">
          <w:rPr>
            <w:rStyle w:val="Hyperlink"/>
            <w:szCs w:val="22"/>
          </w:rPr>
          <w:t>www.frc.org.uk/auditorsresponsibilities</w:t>
        </w:r>
      </w:hyperlink>
      <w:r w:rsidRPr="0001493B">
        <w:rPr>
          <w:szCs w:val="22"/>
        </w:rPr>
        <w:t>.</w:t>
      </w:r>
    </w:p>
    <w:p w14:paraId="68901B3D" w14:textId="77777777" w:rsidR="006B2CA7" w:rsidRDefault="006B2CA7">
      <w:pPr>
        <w:rPr>
          <w:b/>
          <w:sz w:val="22"/>
          <w:szCs w:val="22"/>
        </w:rPr>
      </w:pPr>
      <w:r>
        <w:rPr>
          <w:b/>
          <w:sz w:val="22"/>
          <w:szCs w:val="22"/>
        </w:rPr>
        <w:br w:type="page"/>
      </w:r>
    </w:p>
    <w:p w14:paraId="5CF10FB3" w14:textId="77777777" w:rsidR="006B2CA7" w:rsidRPr="0001493B" w:rsidRDefault="006B2CA7" w:rsidP="006B2CA7">
      <w:pPr>
        <w:pStyle w:val="Heading2"/>
        <w:spacing w:after="120"/>
        <w:jc w:val="left"/>
        <w:rPr>
          <w:rFonts w:cs="Times New Roman"/>
          <w:b w:val="0"/>
          <w:caps/>
          <w:sz w:val="22"/>
          <w:szCs w:val="22"/>
        </w:rPr>
      </w:pPr>
      <w:r w:rsidRPr="0001493B">
        <w:rPr>
          <w:rFonts w:cs="Times New Roman"/>
          <w:caps/>
          <w:sz w:val="22"/>
          <w:szCs w:val="22"/>
        </w:rPr>
        <w:lastRenderedPageBreak/>
        <w:t xml:space="preserve">Independent auditor’s report to TRUSTEES AND MEMBERS OF WHEATLEY HOMES SOUTH LIMITED </w:t>
      </w:r>
      <w:r>
        <w:rPr>
          <w:rFonts w:cs="Times New Roman"/>
          <w:caps/>
          <w:sz w:val="22"/>
          <w:szCs w:val="22"/>
        </w:rPr>
        <w:t>(CONTINUED)</w:t>
      </w:r>
    </w:p>
    <w:p w14:paraId="3BFD75D6" w14:textId="2649640D" w:rsidR="0001493B" w:rsidRPr="0001493B" w:rsidRDefault="0001493B" w:rsidP="0001493B">
      <w:pPr>
        <w:spacing w:after="120"/>
        <w:rPr>
          <w:b/>
          <w:sz w:val="22"/>
          <w:szCs w:val="22"/>
        </w:rPr>
      </w:pPr>
      <w:r w:rsidRPr="0001493B">
        <w:rPr>
          <w:b/>
          <w:sz w:val="22"/>
          <w:szCs w:val="22"/>
        </w:rPr>
        <w:t>The purpose of our audit work and to whom we owe our responsibilities</w:t>
      </w:r>
    </w:p>
    <w:p w14:paraId="059E59EE" w14:textId="77777777" w:rsidR="0001493B" w:rsidRPr="0001493B" w:rsidRDefault="0001493B" w:rsidP="0001493B">
      <w:pPr>
        <w:pStyle w:val="Text"/>
        <w:rPr>
          <w:szCs w:val="22"/>
        </w:rPr>
      </w:pPr>
      <w:r w:rsidRPr="0001493B">
        <w:rPr>
          <w:szCs w:val="22"/>
        </w:rPr>
        <w:t xml:space="preserve">This report is made solely to the charitable company's members, as a body, in accordance with Chapter 3  of Part 16 of the Companies Act 2006, and to the charitable company's trustees, as a body, in accordance with section 44 (1)(c) of the Charities and Trustee Investment (Scotland) Act 2005 and regulation 10 of the Charities Accounts (Scotland) Regulations 2006 and section 69 of the Housing (Scotland) Act 2010. </w:t>
      </w:r>
    </w:p>
    <w:p w14:paraId="26ECA201" w14:textId="77777777" w:rsidR="0001493B" w:rsidRPr="0001493B" w:rsidRDefault="0001493B" w:rsidP="0001493B">
      <w:pPr>
        <w:pStyle w:val="Text"/>
        <w:rPr>
          <w:szCs w:val="22"/>
        </w:rPr>
      </w:pPr>
      <w:r w:rsidRPr="0001493B">
        <w:rPr>
          <w:szCs w:val="22"/>
        </w:rPr>
        <w:t>Our audit work has been undertaken so that we might state to the charitable company's members and the charitable company's trustees those matters we are required to state to them in an auditor's report and for no other purpose. To the fullest extent permitted by law, we do not accept or assume responsibility to anyone other than the charitable company, its members as a body and its trustees, as a body, for our audit work, for this report or for the opinions we have formed.</w:t>
      </w:r>
    </w:p>
    <w:p w14:paraId="5F0FD016" w14:textId="77777777" w:rsidR="0001493B" w:rsidRDefault="0001493B" w:rsidP="0001493B">
      <w:pPr>
        <w:pStyle w:val="Text"/>
        <w:rPr>
          <w:szCs w:val="22"/>
        </w:rPr>
      </w:pPr>
    </w:p>
    <w:p w14:paraId="7E3A48DA" w14:textId="77777777" w:rsidR="00EA6A25" w:rsidRPr="0001493B" w:rsidRDefault="00EA6A25" w:rsidP="0001493B">
      <w:pPr>
        <w:pStyle w:val="Text"/>
        <w:rPr>
          <w:szCs w:val="22"/>
        </w:rPr>
      </w:pPr>
    </w:p>
    <w:p w14:paraId="7CAEC005" w14:textId="77777777" w:rsidR="0001493B" w:rsidRPr="0001493B" w:rsidRDefault="0001493B" w:rsidP="0001493B">
      <w:pPr>
        <w:rPr>
          <w:sz w:val="22"/>
          <w:szCs w:val="22"/>
        </w:rPr>
      </w:pPr>
      <w:r w:rsidRPr="0001493B">
        <w:rPr>
          <w:b/>
          <w:bCs/>
          <w:sz w:val="22"/>
          <w:szCs w:val="22"/>
          <w:lang w:eastAsia="en-GB"/>
        </w:rPr>
        <w:t>Michael Wilkie</w:t>
      </w:r>
      <w:r w:rsidRPr="0001493B">
        <w:rPr>
          <w:sz w:val="22"/>
          <w:szCs w:val="22"/>
        </w:rPr>
        <w:t xml:space="preserve"> </w:t>
      </w:r>
      <w:r w:rsidRPr="0001493B">
        <w:rPr>
          <w:b/>
          <w:bCs/>
          <w:sz w:val="22"/>
          <w:szCs w:val="22"/>
        </w:rPr>
        <w:t>(Senior Statutory Auditor</w:t>
      </w:r>
      <w:r w:rsidRPr="0001493B">
        <w:rPr>
          <w:sz w:val="22"/>
          <w:szCs w:val="22"/>
        </w:rPr>
        <w:t>)</w:t>
      </w:r>
    </w:p>
    <w:p w14:paraId="57096C76" w14:textId="77777777" w:rsidR="0001493B" w:rsidRPr="0001493B" w:rsidRDefault="0001493B" w:rsidP="0001493B">
      <w:pPr>
        <w:rPr>
          <w:b/>
          <w:bCs/>
          <w:sz w:val="22"/>
          <w:szCs w:val="22"/>
          <w:lang w:eastAsia="en-GB"/>
        </w:rPr>
      </w:pPr>
      <w:r w:rsidRPr="0001493B">
        <w:rPr>
          <w:b/>
          <w:bCs/>
          <w:sz w:val="22"/>
          <w:szCs w:val="22"/>
          <w:lang w:eastAsia="en-GB"/>
        </w:rPr>
        <w:t xml:space="preserve">for and on behalf of KPMG LLP, Statutory Auditor  </w:t>
      </w:r>
    </w:p>
    <w:p w14:paraId="1F92D365" w14:textId="77777777" w:rsidR="0001493B" w:rsidRPr="0001493B" w:rsidRDefault="0001493B" w:rsidP="0001493B">
      <w:pPr>
        <w:rPr>
          <w:i/>
          <w:iCs/>
          <w:sz w:val="22"/>
          <w:szCs w:val="22"/>
          <w:lang w:eastAsia="en-GB"/>
        </w:rPr>
      </w:pPr>
      <w:r w:rsidRPr="0001493B">
        <w:rPr>
          <w:i/>
          <w:iCs/>
          <w:sz w:val="22"/>
          <w:szCs w:val="22"/>
          <w:lang w:eastAsia="en-GB"/>
        </w:rPr>
        <w:t xml:space="preserve">Chartered Accountants </w:t>
      </w:r>
    </w:p>
    <w:p w14:paraId="5EC48C14" w14:textId="77777777" w:rsidR="0001493B" w:rsidRPr="0001493B" w:rsidRDefault="0001493B" w:rsidP="0001493B">
      <w:pPr>
        <w:rPr>
          <w:i/>
          <w:iCs/>
          <w:sz w:val="22"/>
          <w:szCs w:val="22"/>
          <w:lang w:eastAsia="en-GB"/>
        </w:rPr>
      </w:pPr>
      <w:r w:rsidRPr="0001493B">
        <w:rPr>
          <w:i/>
          <w:iCs/>
          <w:sz w:val="22"/>
          <w:szCs w:val="22"/>
          <w:lang w:eastAsia="en-GB"/>
        </w:rPr>
        <w:t xml:space="preserve">KPMG LLP is eligible to act as auditor in terms of section 1212 of the Companies Act 2006 </w:t>
      </w:r>
    </w:p>
    <w:p w14:paraId="353EB28F" w14:textId="77777777" w:rsidR="0001493B" w:rsidRPr="0001493B" w:rsidRDefault="0001493B" w:rsidP="0001493B">
      <w:pPr>
        <w:rPr>
          <w:sz w:val="22"/>
          <w:szCs w:val="22"/>
          <w:lang w:eastAsia="en-GB"/>
        </w:rPr>
      </w:pPr>
      <w:r w:rsidRPr="0001493B">
        <w:rPr>
          <w:sz w:val="22"/>
          <w:szCs w:val="22"/>
          <w:lang w:eastAsia="en-GB"/>
        </w:rPr>
        <w:t>319 St Vincent Street</w:t>
      </w:r>
    </w:p>
    <w:p w14:paraId="4154E2E1" w14:textId="77777777" w:rsidR="0001493B" w:rsidRPr="0001493B" w:rsidRDefault="0001493B" w:rsidP="0001493B">
      <w:pPr>
        <w:rPr>
          <w:sz w:val="22"/>
          <w:szCs w:val="22"/>
          <w:lang w:eastAsia="en-GB"/>
        </w:rPr>
      </w:pPr>
      <w:r w:rsidRPr="0001493B">
        <w:rPr>
          <w:sz w:val="22"/>
          <w:szCs w:val="22"/>
          <w:lang w:eastAsia="en-GB"/>
        </w:rPr>
        <w:t>Glasgow</w:t>
      </w:r>
    </w:p>
    <w:p w14:paraId="70909DCA" w14:textId="77777777" w:rsidR="0001493B" w:rsidRPr="0001493B" w:rsidRDefault="0001493B" w:rsidP="0001493B">
      <w:pPr>
        <w:rPr>
          <w:sz w:val="22"/>
          <w:szCs w:val="22"/>
          <w:lang w:eastAsia="en-GB"/>
        </w:rPr>
      </w:pPr>
      <w:r w:rsidRPr="0001493B">
        <w:rPr>
          <w:sz w:val="22"/>
          <w:szCs w:val="22"/>
          <w:lang w:eastAsia="en-GB"/>
        </w:rPr>
        <w:t>G2 5AS</w:t>
      </w:r>
    </w:p>
    <w:p w14:paraId="02E22FA6" w14:textId="77777777" w:rsidR="00D241E1" w:rsidRDefault="00D241E1" w:rsidP="0001493B">
      <w:pPr>
        <w:rPr>
          <w:sz w:val="22"/>
          <w:szCs w:val="22"/>
          <w:highlight w:val="yellow"/>
          <w:lang w:eastAsia="en-GB"/>
        </w:rPr>
      </w:pPr>
    </w:p>
    <w:p w14:paraId="6F2FD2A7" w14:textId="61976428" w:rsidR="00D73D00" w:rsidRPr="0001493B" w:rsidRDefault="00D241E1" w:rsidP="0001493B">
      <w:pPr>
        <w:rPr>
          <w:sz w:val="22"/>
          <w:szCs w:val="22"/>
          <w:lang w:eastAsia="en-GB"/>
        </w:rPr>
      </w:pPr>
      <w:r w:rsidRPr="00D241E1">
        <w:rPr>
          <w:sz w:val="22"/>
          <w:szCs w:val="22"/>
          <w:lang w:eastAsia="en-GB"/>
        </w:rPr>
        <w:t xml:space="preserve">   </w:t>
      </w:r>
      <w:r w:rsidR="0001493B" w:rsidRPr="00D241E1">
        <w:rPr>
          <w:sz w:val="22"/>
          <w:szCs w:val="22"/>
          <w:lang w:eastAsia="en-GB"/>
        </w:rPr>
        <w:t>September 2024</w:t>
      </w:r>
    </w:p>
    <w:p w14:paraId="715DCEB0" w14:textId="77777777" w:rsidR="0067547F" w:rsidRPr="0001493B" w:rsidRDefault="0067547F">
      <w:pPr>
        <w:rPr>
          <w:sz w:val="22"/>
          <w:szCs w:val="22"/>
        </w:rPr>
      </w:pPr>
      <w:r w:rsidRPr="0001493B">
        <w:rPr>
          <w:sz w:val="22"/>
          <w:szCs w:val="22"/>
        </w:rPr>
        <w:br w:type="page"/>
      </w:r>
    </w:p>
    <w:p w14:paraId="510F0D44" w14:textId="77777777" w:rsidR="00C305EC" w:rsidRPr="004D388B" w:rsidRDefault="00C305EC" w:rsidP="00DA4DD4">
      <w:pPr>
        <w:pStyle w:val="ACText"/>
        <w:tabs>
          <w:tab w:val="clear" w:pos="0"/>
          <w:tab w:val="left" w:pos="-900"/>
        </w:tabs>
        <w:jc w:val="left"/>
        <w:rPr>
          <w:highlight w:val="yellow"/>
        </w:rPr>
        <w:sectPr w:rsidR="00C305EC" w:rsidRPr="004D388B" w:rsidSect="00100191">
          <w:headerReference w:type="default" r:id="rId25"/>
          <w:type w:val="continuous"/>
          <w:pgSz w:w="11906" w:h="16838" w:code="9"/>
          <w:pgMar w:top="992" w:right="1361" w:bottom="1259" w:left="1361" w:header="709" w:footer="709" w:gutter="0"/>
          <w:cols w:space="708"/>
          <w:docGrid w:linePitch="360"/>
        </w:sectPr>
      </w:pPr>
    </w:p>
    <w:p w14:paraId="497CB9BA" w14:textId="77777777" w:rsidR="00847AE4" w:rsidRPr="004D388B" w:rsidRDefault="00847AE4">
      <w:pPr>
        <w:rPr>
          <w:highlight w:val="yellow"/>
        </w:rPr>
      </w:pPr>
      <w:bookmarkStart w:id="7" w:name="_Toc269978062"/>
    </w:p>
    <w:tbl>
      <w:tblPr>
        <w:tblpPr w:leftFromText="180" w:rightFromText="180" w:vertAnchor="text" w:horzAnchor="margin" w:tblpY="-15"/>
        <w:tblW w:w="9498" w:type="dxa"/>
        <w:tblLook w:val="01E0" w:firstRow="1" w:lastRow="1" w:firstColumn="1" w:lastColumn="1" w:noHBand="0" w:noVBand="0"/>
      </w:tblPr>
      <w:tblGrid>
        <w:gridCol w:w="948"/>
        <w:gridCol w:w="950"/>
        <w:gridCol w:w="948"/>
        <w:gridCol w:w="514"/>
        <w:gridCol w:w="376"/>
        <w:gridCol w:w="949"/>
        <w:gridCol w:w="243"/>
        <w:gridCol w:w="686"/>
        <w:gridCol w:w="170"/>
        <w:gridCol w:w="1299"/>
        <w:gridCol w:w="661"/>
        <w:gridCol w:w="45"/>
        <w:gridCol w:w="354"/>
        <w:gridCol w:w="1191"/>
        <w:gridCol w:w="88"/>
        <w:gridCol w:w="76"/>
      </w:tblGrid>
      <w:tr w:rsidR="00BD725E" w:rsidRPr="00821590" w14:paraId="3DE59AC1" w14:textId="77777777" w:rsidTr="000B4685">
        <w:trPr>
          <w:gridAfter w:val="2"/>
          <w:wAfter w:w="164" w:type="dxa"/>
          <w:trHeight w:val="692"/>
        </w:trPr>
        <w:tc>
          <w:tcPr>
            <w:tcW w:w="9334" w:type="dxa"/>
            <w:gridSpan w:val="14"/>
          </w:tcPr>
          <w:p w14:paraId="52D48455" w14:textId="5D7DD3E0" w:rsidR="00BD725E" w:rsidRPr="00E46CC9" w:rsidRDefault="00BD725E" w:rsidP="004428E3">
            <w:pPr>
              <w:pStyle w:val="Text"/>
              <w:spacing w:after="0"/>
              <w:jc w:val="left"/>
              <w:rPr>
                <w:b/>
                <w:szCs w:val="22"/>
              </w:rPr>
            </w:pPr>
            <w:r w:rsidRPr="00E46CC9">
              <w:rPr>
                <w:b/>
                <w:szCs w:val="22"/>
              </w:rPr>
              <w:t xml:space="preserve">STATEMENT OF COMPREHENSIVE INCOME FOR THE YEAR ENDED 31 MARCH </w:t>
            </w:r>
            <w:r w:rsidR="00031E79" w:rsidRPr="00E46CC9">
              <w:rPr>
                <w:b/>
                <w:szCs w:val="22"/>
              </w:rPr>
              <w:t xml:space="preserve"> 202</w:t>
            </w:r>
            <w:r w:rsidR="00427070">
              <w:rPr>
                <w:b/>
                <w:szCs w:val="22"/>
              </w:rPr>
              <w:t>4</w:t>
            </w:r>
            <w:r w:rsidRPr="00E46CC9">
              <w:rPr>
                <w:b/>
                <w:szCs w:val="22"/>
              </w:rPr>
              <w:fldChar w:fldCharType="begin"/>
            </w:r>
            <w:r w:rsidRPr="00E46CC9">
              <w:rPr>
                <w:szCs w:val="22"/>
              </w:rPr>
              <w:instrText xml:space="preserve"> TC “</w:instrText>
            </w:r>
            <w:r w:rsidRPr="00E46CC9">
              <w:rPr>
                <w:b/>
                <w:szCs w:val="22"/>
              </w:rPr>
              <w:instrText>CONSOLIDATED INCOME AND EXPENDITURE ACCOUNT FOR THE YEAR ENDED 31 MARCH 2014</w:instrText>
            </w:r>
            <w:r w:rsidRPr="00E46CC9">
              <w:rPr>
                <w:szCs w:val="22"/>
              </w:rPr>
              <w:instrText xml:space="preserve">” \f C \l “1” </w:instrText>
            </w:r>
            <w:r w:rsidRPr="00E46CC9">
              <w:rPr>
                <w:b/>
                <w:szCs w:val="22"/>
              </w:rPr>
              <w:fldChar w:fldCharType="end"/>
            </w:r>
          </w:p>
        </w:tc>
      </w:tr>
      <w:tr w:rsidR="00C32E0F" w:rsidRPr="00821590" w14:paraId="453E2EA5" w14:textId="77777777" w:rsidTr="006761F4">
        <w:trPr>
          <w:gridAfter w:val="2"/>
          <w:wAfter w:w="164" w:type="dxa"/>
          <w:trHeight w:val="226"/>
        </w:trPr>
        <w:tc>
          <w:tcPr>
            <w:tcW w:w="4928" w:type="dxa"/>
            <w:gridSpan w:val="7"/>
          </w:tcPr>
          <w:p w14:paraId="2C6EAAD7" w14:textId="77777777" w:rsidR="00C32E0F" w:rsidRPr="00821590" w:rsidRDefault="00C32E0F" w:rsidP="00C32E0F">
            <w:pPr>
              <w:pStyle w:val="Text"/>
              <w:spacing w:after="0"/>
              <w:rPr>
                <w:szCs w:val="22"/>
              </w:rPr>
            </w:pPr>
          </w:p>
        </w:tc>
        <w:tc>
          <w:tcPr>
            <w:tcW w:w="856" w:type="dxa"/>
            <w:gridSpan w:val="2"/>
          </w:tcPr>
          <w:p w14:paraId="2C9CD3F2" w14:textId="77777777" w:rsidR="00C32E0F" w:rsidRPr="00821590" w:rsidRDefault="00C32E0F" w:rsidP="00C32E0F">
            <w:pPr>
              <w:pStyle w:val="Text"/>
              <w:spacing w:after="0"/>
              <w:ind w:left="-648" w:firstLine="648"/>
              <w:jc w:val="center"/>
              <w:rPr>
                <w:b/>
                <w:szCs w:val="22"/>
              </w:rPr>
            </w:pPr>
          </w:p>
        </w:tc>
        <w:tc>
          <w:tcPr>
            <w:tcW w:w="1960" w:type="dxa"/>
            <w:gridSpan w:val="2"/>
            <w:vMerge w:val="restart"/>
            <w:vAlign w:val="bottom"/>
          </w:tcPr>
          <w:p w14:paraId="177BBC97" w14:textId="77777777" w:rsidR="00C32E0F" w:rsidRDefault="00C32E0F" w:rsidP="00C32E0F">
            <w:pPr>
              <w:pStyle w:val="Text"/>
              <w:spacing w:after="0"/>
              <w:rPr>
                <w:b/>
                <w:szCs w:val="22"/>
              </w:rPr>
            </w:pPr>
          </w:p>
          <w:p w14:paraId="00FE9FE3" w14:textId="1976AD5E" w:rsidR="00C32E0F" w:rsidRPr="00821590" w:rsidRDefault="00C32E0F" w:rsidP="00C32E0F">
            <w:pPr>
              <w:pStyle w:val="Text"/>
              <w:spacing w:after="0"/>
              <w:jc w:val="right"/>
              <w:rPr>
                <w:b/>
                <w:szCs w:val="22"/>
              </w:rPr>
            </w:pPr>
            <w:r>
              <w:rPr>
                <w:b/>
                <w:szCs w:val="22"/>
              </w:rPr>
              <w:t>202</w:t>
            </w:r>
            <w:r w:rsidR="00427070">
              <w:rPr>
                <w:b/>
                <w:szCs w:val="22"/>
              </w:rPr>
              <w:t>4</w:t>
            </w:r>
          </w:p>
          <w:p w14:paraId="43486F54" w14:textId="77777777" w:rsidR="00C32E0F" w:rsidRPr="00821590" w:rsidRDefault="00C32E0F" w:rsidP="00C32E0F">
            <w:pPr>
              <w:pStyle w:val="Text"/>
              <w:spacing w:after="0"/>
              <w:jc w:val="right"/>
              <w:rPr>
                <w:b/>
                <w:szCs w:val="22"/>
              </w:rPr>
            </w:pPr>
            <w:r w:rsidRPr="00821590">
              <w:rPr>
                <w:b/>
                <w:szCs w:val="22"/>
              </w:rPr>
              <w:t>£’000</w:t>
            </w:r>
          </w:p>
        </w:tc>
        <w:tc>
          <w:tcPr>
            <w:tcW w:w="399" w:type="dxa"/>
            <w:gridSpan w:val="2"/>
          </w:tcPr>
          <w:p w14:paraId="4CE3B545" w14:textId="77777777" w:rsidR="00C32E0F" w:rsidRPr="00821590" w:rsidRDefault="00C32E0F" w:rsidP="00C32E0F">
            <w:pPr>
              <w:pStyle w:val="Text"/>
              <w:spacing w:after="0"/>
              <w:jc w:val="right"/>
              <w:rPr>
                <w:b/>
                <w:szCs w:val="22"/>
              </w:rPr>
            </w:pPr>
          </w:p>
        </w:tc>
        <w:tc>
          <w:tcPr>
            <w:tcW w:w="1191" w:type="dxa"/>
            <w:vMerge w:val="restart"/>
            <w:vAlign w:val="bottom"/>
          </w:tcPr>
          <w:p w14:paraId="66631993" w14:textId="77777777" w:rsidR="00C32E0F" w:rsidRDefault="00C32E0F" w:rsidP="00C32E0F">
            <w:pPr>
              <w:pStyle w:val="Text"/>
              <w:spacing w:after="0"/>
              <w:rPr>
                <w:b/>
                <w:szCs w:val="22"/>
              </w:rPr>
            </w:pPr>
          </w:p>
          <w:p w14:paraId="02D91830" w14:textId="211D51F0" w:rsidR="00C32E0F" w:rsidRPr="00821590" w:rsidRDefault="00C32E0F" w:rsidP="00C32E0F">
            <w:pPr>
              <w:pStyle w:val="Text"/>
              <w:spacing w:after="0"/>
              <w:jc w:val="right"/>
              <w:rPr>
                <w:b/>
                <w:szCs w:val="22"/>
              </w:rPr>
            </w:pPr>
            <w:r>
              <w:rPr>
                <w:b/>
                <w:szCs w:val="22"/>
              </w:rPr>
              <w:t>202</w:t>
            </w:r>
            <w:r w:rsidR="00427070">
              <w:rPr>
                <w:b/>
                <w:szCs w:val="22"/>
              </w:rPr>
              <w:t>3</w:t>
            </w:r>
          </w:p>
          <w:p w14:paraId="0B4A8788" w14:textId="5D819F9C" w:rsidR="00C32E0F" w:rsidRPr="00821590" w:rsidRDefault="00C32E0F" w:rsidP="00C32E0F">
            <w:pPr>
              <w:pStyle w:val="Text"/>
              <w:spacing w:after="0"/>
              <w:jc w:val="right"/>
              <w:rPr>
                <w:b/>
                <w:szCs w:val="22"/>
              </w:rPr>
            </w:pPr>
            <w:r w:rsidRPr="00821590">
              <w:rPr>
                <w:b/>
                <w:szCs w:val="22"/>
              </w:rPr>
              <w:t>£’000</w:t>
            </w:r>
          </w:p>
        </w:tc>
      </w:tr>
      <w:tr w:rsidR="00C32E0F" w:rsidRPr="00821590" w14:paraId="4EC64426" w14:textId="77777777" w:rsidTr="006761F4">
        <w:trPr>
          <w:gridAfter w:val="2"/>
          <w:wAfter w:w="164" w:type="dxa"/>
          <w:trHeight w:val="241"/>
        </w:trPr>
        <w:tc>
          <w:tcPr>
            <w:tcW w:w="4928" w:type="dxa"/>
            <w:gridSpan w:val="7"/>
          </w:tcPr>
          <w:p w14:paraId="7D90394B" w14:textId="77777777" w:rsidR="00C32E0F" w:rsidRPr="00821590" w:rsidRDefault="00C32E0F" w:rsidP="00C32E0F">
            <w:pPr>
              <w:pStyle w:val="Text"/>
              <w:spacing w:after="0"/>
              <w:rPr>
                <w:szCs w:val="22"/>
              </w:rPr>
            </w:pPr>
          </w:p>
        </w:tc>
        <w:tc>
          <w:tcPr>
            <w:tcW w:w="856" w:type="dxa"/>
            <w:gridSpan w:val="2"/>
          </w:tcPr>
          <w:p w14:paraId="20F2EBC8" w14:textId="77777777" w:rsidR="00C32E0F" w:rsidRPr="00821590" w:rsidRDefault="00C32E0F" w:rsidP="00C32E0F">
            <w:pPr>
              <w:pStyle w:val="Text"/>
              <w:spacing w:after="0"/>
              <w:ind w:left="-648" w:firstLine="648"/>
              <w:jc w:val="center"/>
              <w:rPr>
                <w:b/>
                <w:i/>
                <w:szCs w:val="22"/>
              </w:rPr>
            </w:pPr>
            <w:r w:rsidRPr="00821590">
              <w:rPr>
                <w:b/>
                <w:i/>
                <w:szCs w:val="22"/>
              </w:rPr>
              <w:t>Note</w:t>
            </w:r>
          </w:p>
        </w:tc>
        <w:tc>
          <w:tcPr>
            <w:tcW w:w="1960" w:type="dxa"/>
            <w:gridSpan w:val="2"/>
            <w:vMerge/>
          </w:tcPr>
          <w:p w14:paraId="224C231C" w14:textId="77777777" w:rsidR="00C32E0F" w:rsidRPr="00821590" w:rsidRDefault="00C32E0F" w:rsidP="00C32E0F">
            <w:pPr>
              <w:pStyle w:val="Text"/>
              <w:spacing w:after="0"/>
              <w:jc w:val="right"/>
              <w:rPr>
                <w:b/>
                <w:szCs w:val="22"/>
              </w:rPr>
            </w:pPr>
          </w:p>
        </w:tc>
        <w:tc>
          <w:tcPr>
            <w:tcW w:w="399" w:type="dxa"/>
            <w:gridSpan w:val="2"/>
          </w:tcPr>
          <w:p w14:paraId="5DEBBFA3" w14:textId="77777777" w:rsidR="00C32E0F" w:rsidRPr="00821590" w:rsidRDefault="00C32E0F" w:rsidP="00C32E0F">
            <w:pPr>
              <w:pStyle w:val="Text"/>
              <w:spacing w:after="0"/>
              <w:jc w:val="right"/>
              <w:rPr>
                <w:b/>
                <w:szCs w:val="22"/>
              </w:rPr>
            </w:pPr>
          </w:p>
        </w:tc>
        <w:tc>
          <w:tcPr>
            <w:tcW w:w="1191" w:type="dxa"/>
            <w:vMerge/>
          </w:tcPr>
          <w:p w14:paraId="3823C195" w14:textId="77777777" w:rsidR="00C32E0F" w:rsidRPr="00821590" w:rsidRDefault="00C32E0F" w:rsidP="00C32E0F">
            <w:pPr>
              <w:pStyle w:val="Text"/>
              <w:spacing w:after="0"/>
              <w:jc w:val="right"/>
              <w:rPr>
                <w:b/>
                <w:szCs w:val="22"/>
              </w:rPr>
            </w:pPr>
          </w:p>
        </w:tc>
      </w:tr>
      <w:tr w:rsidR="00C32E0F" w:rsidRPr="00821590" w14:paraId="4C918C7C" w14:textId="77777777" w:rsidTr="001B026F">
        <w:trPr>
          <w:gridAfter w:val="2"/>
          <w:wAfter w:w="164" w:type="dxa"/>
          <w:trHeight w:val="226"/>
        </w:trPr>
        <w:tc>
          <w:tcPr>
            <w:tcW w:w="4928" w:type="dxa"/>
            <w:gridSpan w:val="7"/>
          </w:tcPr>
          <w:p w14:paraId="27314989" w14:textId="77777777" w:rsidR="00C32E0F" w:rsidRPr="00821590" w:rsidRDefault="00C32E0F" w:rsidP="00C32E0F">
            <w:pPr>
              <w:pStyle w:val="Text"/>
              <w:tabs>
                <w:tab w:val="clear" w:pos="284"/>
                <w:tab w:val="left" w:pos="3795"/>
              </w:tabs>
              <w:spacing w:after="0"/>
              <w:ind w:left="-288" w:firstLine="288"/>
              <w:rPr>
                <w:szCs w:val="22"/>
              </w:rPr>
            </w:pPr>
            <w:r w:rsidRPr="00821590">
              <w:rPr>
                <w:szCs w:val="22"/>
              </w:rPr>
              <w:tab/>
            </w:r>
          </w:p>
        </w:tc>
        <w:tc>
          <w:tcPr>
            <w:tcW w:w="856" w:type="dxa"/>
            <w:gridSpan w:val="2"/>
          </w:tcPr>
          <w:p w14:paraId="28DEDD8B" w14:textId="77777777" w:rsidR="00C32E0F" w:rsidRPr="00821590" w:rsidRDefault="00C32E0F" w:rsidP="00C32E0F">
            <w:pPr>
              <w:pStyle w:val="Text"/>
              <w:spacing w:after="0"/>
              <w:ind w:left="-648" w:firstLine="648"/>
              <w:jc w:val="center"/>
              <w:rPr>
                <w:szCs w:val="22"/>
              </w:rPr>
            </w:pPr>
          </w:p>
        </w:tc>
        <w:tc>
          <w:tcPr>
            <w:tcW w:w="1960" w:type="dxa"/>
            <w:gridSpan w:val="2"/>
          </w:tcPr>
          <w:p w14:paraId="08E5EFFF" w14:textId="77777777" w:rsidR="00C32E0F" w:rsidRPr="00821590" w:rsidRDefault="00C32E0F" w:rsidP="00C32E0F">
            <w:pPr>
              <w:pStyle w:val="Text"/>
              <w:spacing w:after="0"/>
              <w:jc w:val="right"/>
              <w:rPr>
                <w:szCs w:val="22"/>
              </w:rPr>
            </w:pPr>
          </w:p>
        </w:tc>
        <w:tc>
          <w:tcPr>
            <w:tcW w:w="399" w:type="dxa"/>
            <w:gridSpan w:val="2"/>
          </w:tcPr>
          <w:p w14:paraId="7834BC96" w14:textId="77777777" w:rsidR="00C32E0F" w:rsidRPr="00821590" w:rsidRDefault="00C32E0F" w:rsidP="00C32E0F">
            <w:pPr>
              <w:pStyle w:val="Text"/>
              <w:spacing w:after="0"/>
              <w:jc w:val="right"/>
              <w:rPr>
                <w:szCs w:val="22"/>
              </w:rPr>
            </w:pPr>
          </w:p>
        </w:tc>
        <w:tc>
          <w:tcPr>
            <w:tcW w:w="1191" w:type="dxa"/>
          </w:tcPr>
          <w:p w14:paraId="1A33B41D" w14:textId="77777777" w:rsidR="00C32E0F" w:rsidRPr="00821590" w:rsidRDefault="00C32E0F" w:rsidP="00C32E0F">
            <w:pPr>
              <w:jc w:val="right"/>
              <w:rPr>
                <w:sz w:val="22"/>
                <w:szCs w:val="22"/>
              </w:rPr>
            </w:pPr>
          </w:p>
        </w:tc>
      </w:tr>
      <w:tr w:rsidR="00427070" w:rsidRPr="00E803CA" w14:paraId="1965A33C" w14:textId="77777777" w:rsidTr="001B026F">
        <w:trPr>
          <w:gridAfter w:val="2"/>
          <w:wAfter w:w="164" w:type="dxa"/>
          <w:trHeight w:val="226"/>
        </w:trPr>
        <w:tc>
          <w:tcPr>
            <w:tcW w:w="4928" w:type="dxa"/>
            <w:gridSpan w:val="7"/>
          </w:tcPr>
          <w:p w14:paraId="06C7439F" w14:textId="77777777" w:rsidR="00427070" w:rsidRPr="00E803CA" w:rsidRDefault="00427070" w:rsidP="00427070">
            <w:pPr>
              <w:pStyle w:val="Text"/>
              <w:spacing w:after="0"/>
              <w:ind w:left="-108"/>
              <w:rPr>
                <w:szCs w:val="22"/>
              </w:rPr>
            </w:pPr>
            <w:r w:rsidRPr="00E803CA">
              <w:rPr>
                <w:szCs w:val="22"/>
              </w:rPr>
              <w:t>Turnover</w:t>
            </w:r>
          </w:p>
        </w:tc>
        <w:tc>
          <w:tcPr>
            <w:tcW w:w="856" w:type="dxa"/>
            <w:gridSpan w:val="2"/>
            <w:shd w:val="clear" w:color="auto" w:fill="auto"/>
          </w:tcPr>
          <w:p w14:paraId="2579E4AF" w14:textId="77777777" w:rsidR="00427070" w:rsidRPr="00E803CA" w:rsidRDefault="00427070" w:rsidP="00427070">
            <w:pPr>
              <w:pStyle w:val="Text"/>
              <w:spacing w:after="0"/>
              <w:ind w:left="-648" w:firstLine="648"/>
              <w:jc w:val="center"/>
              <w:rPr>
                <w:szCs w:val="22"/>
              </w:rPr>
            </w:pPr>
            <w:r w:rsidRPr="00E803CA">
              <w:rPr>
                <w:szCs w:val="22"/>
              </w:rPr>
              <w:t>3</w:t>
            </w:r>
          </w:p>
        </w:tc>
        <w:tc>
          <w:tcPr>
            <w:tcW w:w="1960" w:type="dxa"/>
            <w:gridSpan w:val="2"/>
          </w:tcPr>
          <w:p w14:paraId="5046D0B6" w14:textId="6FDF8261" w:rsidR="00427070" w:rsidRPr="00E803CA" w:rsidRDefault="00B822CC" w:rsidP="00427070">
            <w:pPr>
              <w:pStyle w:val="Text"/>
              <w:spacing w:after="0"/>
              <w:jc w:val="right"/>
              <w:rPr>
                <w:szCs w:val="22"/>
              </w:rPr>
            </w:pPr>
            <w:r>
              <w:rPr>
                <w:szCs w:val="22"/>
              </w:rPr>
              <w:t>62,825</w:t>
            </w:r>
          </w:p>
        </w:tc>
        <w:tc>
          <w:tcPr>
            <w:tcW w:w="399" w:type="dxa"/>
            <w:gridSpan w:val="2"/>
          </w:tcPr>
          <w:p w14:paraId="47C1A65E" w14:textId="77777777" w:rsidR="00427070" w:rsidRPr="00E803CA" w:rsidRDefault="00427070" w:rsidP="00427070">
            <w:pPr>
              <w:pStyle w:val="Text"/>
              <w:spacing w:after="0"/>
              <w:jc w:val="right"/>
              <w:rPr>
                <w:szCs w:val="22"/>
              </w:rPr>
            </w:pPr>
          </w:p>
        </w:tc>
        <w:tc>
          <w:tcPr>
            <w:tcW w:w="1191" w:type="dxa"/>
          </w:tcPr>
          <w:p w14:paraId="6B182C3A" w14:textId="7388DE67" w:rsidR="00427070" w:rsidRPr="00E803CA" w:rsidRDefault="00427070" w:rsidP="00427070">
            <w:pPr>
              <w:pStyle w:val="Text"/>
              <w:spacing w:after="0"/>
              <w:jc w:val="right"/>
              <w:rPr>
                <w:szCs w:val="22"/>
              </w:rPr>
            </w:pPr>
            <w:r w:rsidRPr="00E803CA">
              <w:rPr>
                <w:szCs w:val="22"/>
              </w:rPr>
              <w:t>55,881</w:t>
            </w:r>
          </w:p>
        </w:tc>
      </w:tr>
      <w:tr w:rsidR="00427070" w:rsidRPr="00E803CA" w14:paraId="6C71824A" w14:textId="77777777" w:rsidTr="001B026F">
        <w:trPr>
          <w:gridAfter w:val="2"/>
          <w:wAfter w:w="164" w:type="dxa"/>
          <w:trHeight w:val="241"/>
        </w:trPr>
        <w:tc>
          <w:tcPr>
            <w:tcW w:w="4928" w:type="dxa"/>
            <w:gridSpan w:val="7"/>
          </w:tcPr>
          <w:p w14:paraId="6B33F981" w14:textId="77777777" w:rsidR="00427070" w:rsidRPr="00E803CA" w:rsidRDefault="00427070" w:rsidP="00427070">
            <w:pPr>
              <w:pStyle w:val="Text"/>
              <w:spacing w:after="0"/>
              <w:ind w:left="-108"/>
              <w:rPr>
                <w:szCs w:val="22"/>
              </w:rPr>
            </w:pPr>
          </w:p>
        </w:tc>
        <w:tc>
          <w:tcPr>
            <w:tcW w:w="856" w:type="dxa"/>
            <w:gridSpan w:val="2"/>
            <w:shd w:val="clear" w:color="auto" w:fill="auto"/>
          </w:tcPr>
          <w:p w14:paraId="43F7B95B" w14:textId="77777777" w:rsidR="00427070" w:rsidRPr="00E803CA" w:rsidRDefault="00427070" w:rsidP="00427070">
            <w:pPr>
              <w:pStyle w:val="Text"/>
              <w:spacing w:after="0"/>
              <w:ind w:left="-648" w:firstLine="648"/>
              <w:jc w:val="center"/>
              <w:rPr>
                <w:szCs w:val="22"/>
              </w:rPr>
            </w:pPr>
          </w:p>
        </w:tc>
        <w:tc>
          <w:tcPr>
            <w:tcW w:w="1960" w:type="dxa"/>
            <w:gridSpan w:val="2"/>
          </w:tcPr>
          <w:p w14:paraId="118EBCB1" w14:textId="77777777" w:rsidR="00427070" w:rsidRPr="00E803CA" w:rsidRDefault="00427070" w:rsidP="00427070">
            <w:pPr>
              <w:pStyle w:val="Text"/>
              <w:spacing w:after="0"/>
              <w:jc w:val="right"/>
              <w:rPr>
                <w:szCs w:val="22"/>
              </w:rPr>
            </w:pPr>
          </w:p>
        </w:tc>
        <w:tc>
          <w:tcPr>
            <w:tcW w:w="399" w:type="dxa"/>
            <w:gridSpan w:val="2"/>
          </w:tcPr>
          <w:p w14:paraId="2BE9839B" w14:textId="77777777" w:rsidR="00427070" w:rsidRPr="00E803CA" w:rsidRDefault="00427070" w:rsidP="00427070">
            <w:pPr>
              <w:pStyle w:val="Text"/>
              <w:spacing w:after="0"/>
              <w:jc w:val="right"/>
              <w:rPr>
                <w:szCs w:val="22"/>
              </w:rPr>
            </w:pPr>
          </w:p>
        </w:tc>
        <w:tc>
          <w:tcPr>
            <w:tcW w:w="1191" w:type="dxa"/>
          </w:tcPr>
          <w:p w14:paraId="386A98B7" w14:textId="77777777" w:rsidR="00427070" w:rsidRPr="00E803CA" w:rsidRDefault="00427070" w:rsidP="00427070">
            <w:pPr>
              <w:pStyle w:val="Text"/>
              <w:spacing w:after="0"/>
              <w:jc w:val="right"/>
              <w:rPr>
                <w:szCs w:val="22"/>
              </w:rPr>
            </w:pPr>
          </w:p>
        </w:tc>
      </w:tr>
      <w:tr w:rsidR="00427070" w:rsidRPr="00E803CA" w14:paraId="509E7197" w14:textId="77777777" w:rsidTr="001B026F">
        <w:trPr>
          <w:gridAfter w:val="2"/>
          <w:wAfter w:w="164" w:type="dxa"/>
          <w:trHeight w:val="226"/>
        </w:trPr>
        <w:tc>
          <w:tcPr>
            <w:tcW w:w="4928" w:type="dxa"/>
            <w:gridSpan w:val="7"/>
          </w:tcPr>
          <w:p w14:paraId="59A03A9B" w14:textId="77777777" w:rsidR="00427070" w:rsidRPr="00E803CA" w:rsidRDefault="00427070" w:rsidP="00427070">
            <w:pPr>
              <w:pStyle w:val="Text"/>
              <w:tabs>
                <w:tab w:val="left" w:pos="42"/>
              </w:tabs>
              <w:spacing w:after="0"/>
              <w:ind w:left="-108"/>
              <w:rPr>
                <w:szCs w:val="22"/>
              </w:rPr>
            </w:pPr>
            <w:r w:rsidRPr="00E803CA">
              <w:rPr>
                <w:szCs w:val="22"/>
              </w:rPr>
              <w:t>Operating expenditure</w:t>
            </w:r>
          </w:p>
        </w:tc>
        <w:tc>
          <w:tcPr>
            <w:tcW w:w="856" w:type="dxa"/>
            <w:gridSpan w:val="2"/>
            <w:shd w:val="clear" w:color="auto" w:fill="auto"/>
          </w:tcPr>
          <w:p w14:paraId="72F53189" w14:textId="77777777" w:rsidR="00427070" w:rsidRPr="00E803CA" w:rsidRDefault="00427070" w:rsidP="00427070">
            <w:pPr>
              <w:pStyle w:val="Text"/>
              <w:spacing w:after="0"/>
              <w:ind w:left="-648" w:firstLine="648"/>
              <w:jc w:val="center"/>
              <w:rPr>
                <w:szCs w:val="22"/>
              </w:rPr>
            </w:pPr>
            <w:r w:rsidRPr="00E803CA">
              <w:rPr>
                <w:szCs w:val="22"/>
              </w:rPr>
              <w:t>3</w:t>
            </w:r>
          </w:p>
        </w:tc>
        <w:tc>
          <w:tcPr>
            <w:tcW w:w="1960" w:type="dxa"/>
            <w:gridSpan w:val="2"/>
          </w:tcPr>
          <w:p w14:paraId="437A3DD2" w14:textId="37948B2E" w:rsidR="00427070" w:rsidRPr="00AA583E" w:rsidRDefault="00B822CC" w:rsidP="00427070">
            <w:pPr>
              <w:pStyle w:val="Text"/>
              <w:spacing w:after="0"/>
              <w:jc w:val="right"/>
              <w:rPr>
                <w:szCs w:val="22"/>
              </w:rPr>
            </w:pPr>
            <w:r w:rsidRPr="00AA583E">
              <w:rPr>
                <w:szCs w:val="22"/>
              </w:rPr>
              <w:t>(41,</w:t>
            </w:r>
            <w:r w:rsidR="00B922A3" w:rsidRPr="00AA583E">
              <w:rPr>
                <w:szCs w:val="22"/>
              </w:rPr>
              <w:t>306</w:t>
            </w:r>
            <w:r w:rsidR="00C60107" w:rsidRPr="00AA583E">
              <w:rPr>
                <w:szCs w:val="22"/>
              </w:rPr>
              <w:t>)</w:t>
            </w:r>
          </w:p>
        </w:tc>
        <w:tc>
          <w:tcPr>
            <w:tcW w:w="399" w:type="dxa"/>
            <w:gridSpan w:val="2"/>
          </w:tcPr>
          <w:p w14:paraId="43A26E3E" w14:textId="77777777" w:rsidR="00427070" w:rsidRPr="00E803CA" w:rsidRDefault="00427070" w:rsidP="00427070">
            <w:pPr>
              <w:pStyle w:val="Text"/>
              <w:spacing w:after="0"/>
              <w:jc w:val="right"/>
              <w:rPr>
                <w:szCs w:val="22"/>
              </w:rPr>
            </w:pPr>
          </w:p>
        </w:tc>
        <w:tc>
          <w:tcPr>
            <w:tcW w:w="1191" w:type="dxa"/>
          </w:tcPr>
          <w:p w14:paraId="496C08E7" w14:textId="0D8C51C3" w:rsidR="00427070" w:rsidRPr="00E803CA" w:rsidRDefault="00427070" w:rsidP="00427070">
            <w:pPr>
              <w:pStyle w:val="Text"/>
              <w:spacing w:after="0"/>
              <w:jc w:val="right"/>
              <w:rPr>
                <w:szCs w:val="22"/>
              </w:rPr>
            </w:pPr>
            <w:r w:rsidRPr="00E803CA">
              <w:rPr>
                <w:szCs w:val="22"/>
              </w:rPr>
              <w:t>(40,913)</w:t>
            </w:r>
          </w:p>
        </w:tc>
      </w:tr>
      <w:tr w:rsidR="00427070" w:rsidRPr="00E803CA" w14:paraId="7E2CA6F3" w14:textId="77777777" w:rsidTr="001B026F">
        <w:trPr>
          <w:gridAfter w:val="2"/>
          <w:wAfter w:w="164" w:type="dxa"/>
          <w:trHeight w:val="226"/>
        </w:trPr>
        <w:tc>
          <w:tcPr>
            <w:tcW w:w="4928" w:type="dxa"/>
            <w:gridSpan w:val="7"/>
          </w:tcPr>
          <w:p w14:paraId="6978885E" w14:textId="77777777" w:rsidR="00427070" w:rsidRPr="00E803CA" w:rsidRDefault="00427070" w:rsidP="00427070">
            <w:pPr>
              <w:pStyle w:val="Text"/>
              <w:tabs>
                <w:tab w:val="left" w:pos="42"/>
              </w:tabs>
              <w:spacing w:after="0"/>
              <w:ind w:left="-108"/>
              <w:rPr>
                <w:szCs w:val="22"/>
              </w:rPr>
            </w:pPr>
          </w:p>
        </w:tc>
        <w:tc>
          <w:tcPr>
            <w:tcW w:w="856" w:type="dxa"/>
            <w:gridSpan w:val="2"/>
            <w:shd w:val="clear" w:color="auto" w:fill="auto"/>
          </w:tcPr>
          <w:p w14:paraId="5014682C" w14:textId="77777777" w:rsidR="00427070" w:rsidRPr="00E803CA" w:rsidRDefault="00427070" w:rsidP="00427070">
            <w:pPr>
              <w:pStyle w:val="Text"/>
              <w:spacing w:after="0"/>
              <w:ind w:left="-648" w:firstLine="648"/>
              <w:jc w:val="center"/>
              <w:rPr>
                <w:szCs w:val="22"/>
              </w:rPr>
            </w:pPr>
          </w:p>
        </w:tc>
        <w:tc>
          <w:tcPr>
            <w:tcW w:w="1960" w:type="dxa"/>
            <w:gridSpan w:val="2"/>
          </w:tcPr>
          <w:p w14:paraId="39ED3AA6" w14:textId="77777777" w:rsidR="00427070" w:rsidRPr="00AA583E" w:rsidRDefault="00427070" w:rsidP="00427070">
            <w:pPr>
              <w:pStyle w:val="Text"/>
              <w:spacing w:after="0"/>
              <w:jc w:val="center"/>
              <w:rPr>
                <w:szCs w:val="22"/>
              </w:rPr>
            </w:pPr>
          </w:p>
        </w:tc>
        <w:tc>
          <w:tcPr>
            <w:tcW w:w="399" w:type="dxa"/>
            <w:gridSpan w:val="2"/>
          </w:tcPr>
          <w:p w14:paraId="5CEFC3E6" w14:textId="77777777" w:rsidR="00427070" w:rsidRPr="00E803CA" w:rsidRDefault="00427070" w:rsidP="00427070">
            <w:pPr>
              <w:pStyle w:val="Text"/>
              <w:spacing w:after="0"/>
              <w:jc w:val="right"/>
              <w:rPr>
                <w:szCs w:val="22"/>
              </w:rPr>
            </w:pPr>
          </w:p>
        </w:tc>
        <w:tc>
          <w:tcPr>
            <w:tcW w:w="1191" w:type="dxa"/>
          </w:tcPr>
          <w:p w14:paraId="753B4756" w14:textId="77777777" w:rsidR="00427070" w:rsidRPr="00E803CA" w:rsidRDefault="00427070" w:rsidP="00427070">
            <w:pPr>
              <w:pStyle w:val="Text"/>
              <w:spacing w:after="0"/>
              <w:jc w:val="right"/>
              <w:rPr>
                <w:szCs w:val="22"/>
              </w:rPr>
            </w:pPr>
          </w:p>
        </w:tc>
      </w:tr>
      <w:tr w:rsidR="00427070" w:rsidRPr="00E803CA" w14:paraId="00159C15" w14:textId="77777777" w:rsidTr="001B026F">
        <w:trPr>
          <w:gridAfter w:val="2"/>
          <w:wAfter w:w="164" w:type="dxa"/>
          <w:trHeight w:val="226"/>
        </w:trPr>
        <w:tc>
          <w:tcPr>
            <w:tcW w:w="4928" w:type="dxa"/>
            <w:gridSpan w:val="7"/>
          </w:tcPr>
          <w:p w14:paraId="120DAA19" w14:textId="2F09B938" w:rsidR="00427070" w:rsidRPr="00E803CA" w:rsidRDefault="00427070" w:rsidP="00427070">
            <w:pPr>
              <w:pStyle w:val="Text"/>
              <w:tabs>
                <w:tab w:val="left" w:pos="42"/>
              </w:tabs>
              <w:spacing w:after="0"/>
              <w:ind w:left="-108"/>
              <w:rPr>
                <w:szCs w:val="22"/>
              </w:rPr>
            </w:pPr>
            <w:r w:rsidRPr="00E803CA">
              <w:rPr>
                <w:szCs w:val="22"/>
              </w:rPr>
              <w:t xml:space="preserve">Other </w:t>
            </w:r>
            <w:r w:rsidR="0063291D">
              <w:rPr>
                <w:szCs w:val="22"/>
              </w:rPr>
              <w:t>losses</w:t>
            </w:r>
            <w:r w:rsidRPr="00E803CA">
              <w:rPr>
                <w:szCs w:val="22"/>
              </w:rPr>
              <w:t xml:space="preserve"> </w:t>
            </w:r>
          </w:p>
        </w:tc>
        <w:tc>
          <w:tcPr>
            <w:tcW w:w="856" w:type="dxa"/>
            <w:gridSpan w:val="2"/>
            <w:shd w:val="clear" w:color="auto" w:fill="auto"/>
          </w:tcPr>
          <w:p w14:paraId="31433143" w14:textId="552F0215" w:rsidR="00427070" w:rsidRPr="00E803CA" w:rsidRDefault="002A0FAE" w:rsidP="00427070">
            <w:pPr>
              <w:pStyle w:val="Text"/>
              <w:spacing w:after="0"/>
              <w:ind w:left="-648" w:firstLine="648"/>
              <w:jc w:val="center"/>
              <w:rPr>
                <w:szCs w:val="22"/>
              </w:rPr>
            </w:pPr>
            <w:r>
              <w:rPr>
                <w:szCs w:val="22"/>
              </w:rPr>
              <w:t>3</w:t>
            </w:r>
          </w:p>
        </w:tc>
        <w:tc>
          <w:tcPr>
            <w:tcW w:w="1960" w:type="dxa"/>
            <w:gridSpan w:val="2"/>
          </w:tcPr>
          <w:p w14:paraId="79C5A94F" w14:textId="758151AE" w:rsidR="00427070" w:rsidRPr="00AA583E" w:rsidRDefault="00B822CC" w:rsidP="00427070">
            <w:pPr>
              <w:pStyle w:val="Text"/>
              <w:spacing w:after="0"/>
              <w:jc w:val="right"/>
              <w:rPr>
                <w:szCs w:val="22"/>
              </w:rPr>
            </w:pPr>
            <w:r w:rsidRPr="00AA583E">
              <w:rPr>
                <w:szCs w:val="22"/>
              </w:rPr>
              <w:t>(</w:t>
            </w:r>
            <w:r w:rsidR="00BC54DB">
              <w:rPr>
                <w:szCs w:val="22"/>
              </w:rPr>
              <w:t>600</w:t>
            </w:r>
            <w:r w:rsidRPr="00AA583E">
              <w:rPr>
                <w:szCs w:val="22"/>
              </w:rPr>
              <w:t>)</w:t>
            </w:r>
          </w:p>
        </w:tc>
        <w:tc>
          <w:tcPr>
            <w:tcW w:w="399" w:type="dxa"/>
            <w:gridSpan w:val="2"/>
          </w:tcPr>
          <w:p w14:paraId="2EFD30F7" w14:textId="77777777" w:rsidR="00427070" w:rsidRPr="00E803CA" w:rsidRDefault="00427070" w:rsidP="00427070">
            <w:pPr>
              <w:pStyle w:val="Text"/>
              <w:spacing w:after="0"/>
              <w:jc w:val="right"/>
              <w:rPr>
                <w:szCs w:val="22"/>
              </w:rPr>
            </w:pPr>
          </w:p>
        </w:tc>
        <w:tc>
          <w:tcPr>
            <w:tcW w:w="1191" w:type="dxa"/>
          </w:tcPr>
          <w:p w14:paraId="424C318C" w14:textId="5C2EEBC7" w:rsidR="00427070" w:rsidRPr="00E803CA" w:rsidRDefault="00427070" w:rsidP="00427070">
            <w:pPr>
              <w:pStyle w:val="Text"/>
              <w:spacing w:after="0"/>
              <w:jc w:val="right"/>
              <w:rPr>
                <w:szCs w:val="22"/>
              </w:rPr>
            </w:pPr>
            <w:r w:rsidRPr="00E803CA">
              <w:rPr>
                <w:szCs w:val="22"/>
              </w:rPr>
              <w:t>(795)</w:t>
            </w:r>
          </w:p>
        </w:tc>
      </w:tr>
      <w:tr w:rsidR="00427070" w:rsidRPr="00E803CA" w14:paraId="3082BBCA" w14:textId="77777777" w:rsidTr="001B026F">
        <w:trPr>
          <w:gridAfter w:val="2"/>
          <w:wAfter w:w="164" w:type="dxa"/>
          <w:trHeight w:val="226"/>
        </w:trPr>
        <w:tc>
          <w:tcPr>
            <w:tcW w:w="4928" w:type="dxa"/>
            <w:gridSpan w:val="7"/>
          </w:tcPr>
          <w:p w14:paraId="58118B66" w14:textId="77777777" w:rsidR="00427070" w:rsidRPr="00E803CA" w:rsidRDefault="00427070" w:rsidP="00427070">
            <w:pPr>
              <w:pStyle w:val="Text"/>
              <w:tabs>
                <w:tab w:val="left" w:pos="42"/>
              </w:tabs>
              <w:spacing w:after="0"/>
              <w:rPr>
                <w:szCs w:val="22"/>
              </w:rPr>
            </w:pPr>
          </w:p>
        </w:tc>
        <w:tc>
          <w:tcPr>
            <w:tcW w:w="856" w:type="dxa"/>
            <w:gridSpan w:val="2"/>
            <w:shd w:val="clear" w:color="auto" w:fill="auto"/>
          </w:tcPr>
          <w:p w14:paraId="341DA39F" w14:textId="77777777" w:rsidR="00427070" w:rsidRPr="00E803CA" w:rsidRDefault="00427070" w:rsidP="00427070">
            <w:pPr>
              <w:pStyle w:val="Text"/>
              <w:spacing w:after="0"/>
              <w:ind w:left="-648" w:firstLine="648"/>
              <w:jc w:val="center"/>
              <w:rPr>
                <w:szCs w:val="22"/>
              </w:rPr>
            </w:pPr>
          </w:p>
        </w:tc>
        <w:tc>
          <w:tcPr>
            <w:tcW w:w="1960" w:type="dxa"/>
            <w:gridSpan w:val="2"/>
          </w:tcPr>
          <w:p w14:paraId="701ACA86" w14:textId="77777777" w:rsidR="00427070" w:rsidRPr="00AA583E" w:rsidRDefault="00427070" w:rsidP="0008714F">
            <w:pPr>
              <w:pStyle w:val="Text"/>
              <w:spacing w:after="0"/>
              <w:jc w:val="center"/>
              <w:rPr>
                <w:szCs w:val="22"/>
              </w:rPr>
            </w:pPr>
          </w:p>
        </w:tc>
        <w:tc>
          <w:tcPr>
            <w:tcW w:w="399" w:type="dxa"/>
            <w:gridSpan w:val="2"/>
          </w:tcPr>
          <w:p w14:paraId="4ED8669F" w14:textId="77777777" w:rsidR="00427070" w:rsidRPr="00E803CA" w:rsidRDefault="00427070" w:rsidP="00427070">
            <w:pPr>
              <w:pStyle w:val="Text"/>
              <w:spacing w:after="0"/>
              <w:jc w:val="right"/>
              <w:rPr>
                <w:szCs w:val="22"/>
              </w:rPr>
            </w:pPr>
          </w:p>
        </w:tc>
        <w:tc>
          <w:tcPr>
            <w:tcW w:w="1191" w:type="dxa"/>
          </w:tcPr>
          <w:p w14:paraId="5EE5C9FC" w14:textId="77777777" w:rsidR="00427070" w:rsidRPr="00E803CA" w:rsidRDefault="00427070" w:rsidP="00427070">
            <w:pPr>
              <w:pStyle w:val="Text"/>
              <w:spacing w:after="0"/>
              <w:jc w:val="right"/>
              <w:rPr>
                <w:szCs w:val="22"/>
              </w:rPr>
            </w:pPr>
          </w:p>
        </w:tc>
      </w:tr>
      <w:tr w:rsidR="00427070" w:rsidRPr="00E803CA" w14:paraId="38B5322A" w14:textId="77777777" w:rsidTr="001B026F">
        <w:trPr>
          <w:gridAfter w:val="2"/>
          <w:wAfter w:w="164" w:type="dxa"/>
          <w:trHeight w:val="247"/>
        </w:trPr>
        <w:tc>
          <w:tcPr>
            <w:tcW w:w="4928" w:type="dxa"/>
            <w:gridSpan w:val="7"/>
          </w:tcPr>
          <w:p w14:paraId="226AF5CC" w14:textId="77777777" w:rsidR="00427070" w:rsidRPr="00E803CA" w:rsidRDefault="00427070" w:rsidP="00427070">
            <w:pPr>
              <w:pStyle w:val="Text"/>
              <w:spacing w:after="0"/>
              <w:ind w:left="-108"/>
              <w:jc w:val="left"/>
              <w:rPr>
                <w:szCs w:val="22"/>
              </w:rPr>
            </w:pPr>
            <w:r w:rsidRPr="00E803CA">
              <w:rPr>
                <w:szCs w:val="22"/>
              </w:rPr>
              <w:t>Operating surplus</w:t>
            </w:r>
          </w:p>
        </w:tc>
        <w:tc>
          <w:tcPr>
            <w:tcW w:w="856" w:type="dxa"/>
            <w:gridSpan w:val="2"/>
            <w:shd w:val="clear" w:color="auto" w:fill="auto"/>
          </w:tcPr>
          <w:p w14:paraId="7C645C89" w14:textId="77777777" w:rsidR="00427070" w:rsidRPr="00E803CA" w:rsidRDefault="00427070" w:rsidP="00427070">
            <w:pPr>
              <w:pStyle w:val="Text"/>
              <w:spacing w:after="0"/>
              <w:ind w:left="-648" w:firstLine="648"/>
              <w:jc w:val="center"/>
              <w:rPr>
                <w:szCs w:val="22"/>
              </w:rPr>
            </w:pPr>
          </w:p>
        </w:tc>
        <w:tc>
          <w:tcPr>
            <w:tcW w:w="1960" w:type="dxa"/>
            <w:gridSpan w:val="2"/>
            <w:tcBorders>
              <w:top w:val="single" w:sz="4" w:space="0" w:color="auto"/>
            </w:tcBorders>
          </w:tcPr>
          <w:p w14:paraId="313EF446" w14:textId="4E05EF95" w:rsidR="00427070" w:rsidRPr="00AA583E" w:rsidRDefault="00B822CC" w:rsidP="00427070">
            <w:pPr>
              <w:pStyle w:val="Text"/>
              <w:spacing w:after="0"/>
              <w:jc w:val="right"/>
              <w:rPr>
                <w:szCs w:val="22"/>
              </w:rPr>
            </w:pPr>
            <w:r w:rsidRPr="00AA583E">
              <w:rPr>
                <w:szCs w:val="22"/>
              </w:rPr>
              <w:t>2</w:t>
            </w:r>
            <w:r w:rsidR="000421F7">
              <w:rPr>
                <w:szCs w:val="22"/>
              </w:rPr>
              <w:t>0,919</w:t>
            </w:r>
          </w:p>
        </w:tc>
        <w:tc>
          <w:tcPr>
            <w:tcW w:w="399" w:type="dxa"/>
            <w:gridSpan w:val="2"/>
          </w:tcPr>
          <w:p w14:paraId="572DE8AF" w14:textId="77777777" w:rsidR="00427070" w:rsidRPr="00E803CA" w:rsidRDefault="00427070" w:rsidP="00427070">
            <w:pPr>
              <w:pStyle w:val="Text"/>
              <w:spacing w:after="0"/>
              <w:jc w:val="right"/>
              <w:rPr>
                <w:szCs w:val="22"/>
              </w:rPr>
            </w:pPr>
          </w:p>
        </w:tc>
        <w:tc>
          <w:tcPr>
            <w:tcW w:w="1191" w:type="dxa"/>
            <w:tcBorders>
              <w:top w:val="single" w:sz="4" w:space="0" w:color="auto"/>
            </w:tcBorders>
          </w:tcPr>
          <w:p w14:paraId="174477D0" w14:textId="2AA62F8C" w:rsidR="00427070" w:rsidRPr="00E803CA" w:rsidRDefault="00427070" w:rsidP="00427070">
            <w:pPr>
              <w:pStyle w:val="Text"/>
              <w:spacing w:after="0"/>
              <w:jc w:val="right"/>
              <w:rPr>
                <w:szCs w:val="22"/>
              </w:rPr>
            </w:pPr>
            <w:r w:rsidRPr="00E803CA">
              <w:rPr>
                <w:szCs w:val="22"/>
              </w:rPr>
              <w:t>14,173</w:t>
            </w:r>
          </w:p>
        </w:tc>
      </w:tr>
      <w:tr w:rsidR="00427070" w:rsidRPr="00E803CA" w14:paraId="29F67BF6" w14:textId="77777777" w:rsidTr="001B026F">
        <w:trPr>
          <w:gridAfter w:val="2"/>
          <w:wAfter w:w="164" w:type="dxa"/>
          <w:trHeight w:val="247"/>
        </w:trPr>
        <w:tc>
          <w:tcPr>
            <w:tcW w:w="4928" w:type="dxa"/>
            <w:gridSpan w:val="7"/>
          </w:tcPr>
          <w:p w14:paraId="1A5259AA" w14:textId="77777777" w:rsidR="00427070" w:rsidRPr="00E803CA" w:rsidRDefault="00427070" w:rsidP="00427070">
            <w:pPr>
              <w:pStyle w:val="Text"/>
              <w:spacing w:after="0"/>
              <w:ind w:left="-108"/>
              <w:jc w:val="left"/>
              <w:rPr>
                <w:szCs w:val="22"/>
              </w:rPr>
            </w:pPr>
          </w:p>
        </w:tc>
        <w:tc>
          <w:tcPr>
            <w:tcW w:w="856" w:type="dxa"/>
            <w:gridSpan w:val="2"/>
            <w:shd w:val="clear" w:color="auto" w:fill="auto"/>
          </w:tcPr>
          <w:p w14:paraId="64469184" w14:textId="77777777" w:rsidR="00427070" w:rsidRPr="00E803CA" w:rsidRDefault="00427070" w:rsidP="00427070">
            <w:pPr>
              <w:pStyle w:val="Text"/>
              <w:spacing w:after="0"/>
              <w:ind w:left="-648" w:firstLine="648"/>
              <w:jc w:val="center"/>
              <w:rPr>
                <w:szCs w:val="22"/>
              </w:rPr>
            </w:pPr>
          </w:p>
        </w:tc>
        <w:tc>
          <w:tcPr>
            <w:tcW w:w="1960" w:type="dxa"/>
            <w:gridSpan w:val="2"/>
          </w:tcPr>
          <w:p w14:paraId="02496F17" w14:textId="77777777" w:rsidR="00427070" w:rsidRPr="00AA583E" w:rsidRDefault="00427070" w:rsidP="00427070">
            <w:pPr>
              <w:pStyle w:val="Text"/>
              <w:spacing w:after="0"/>
              <w:jc w:val="right"/>
              <w:rPr>
                <w:szCs w:val="22"/>
              </w:rPr>
            </w:pPr>
          </w:p>
        </w:tc>
        <w:tc>
          <w:tcPr>
            <w:tcW w:w="399" w:type="dxa"/>
            <w:gridSpan w:val="2"/>
          </w:tcPr>
          <w:p w14:paraId="56377BAD" w14:textId="77777777" w:rsidR="00427070" w:rsidRPr="00E803CA" w:rsidRDefault="00427070" w:rsidP="00427070">
            <w:pPr>
              <w:pStyle w:val="Text"/>
              <w:spacing w:after="0"/>
              <w:jc w:val="right"/>
              <w:rPr>
                <w:szCs w:val="22"/>
              </w:rPr>
            </w:pPr>
          </w:p>
        </w:tc>
        <w:tc>
          <w:tcPr>
            <w:tcW w:w="1191" w:type="dxa"/>
          </w:tcPr>
          <w:p w14:paraId="29909024" w14:textId="77777777" w:rsidR="00427070" w:rsidRPr="00E803CA" w:rsidRDefault="00427070" w:rsidP="00427070">
            <w:pPr>
              <w:pStyle w:val="Text"/>
              <w:spacing w:after="0"/>
              <w:jc w:val="right"/>
              <w:rPr>
                <w:szCs w:val="22"/>
              </w:rPr>
            </w:pPr>
          </w:p>
        </w:tc>
      </w:tr>
      <w:tr w:rsidR="00687E4A" w:rsidRPr="00E803CA" w14:paraId="0088FE88" w14:textId="77777777" w:rsidTr="001B026F">
        <w:trPr>
          <w:gridAfter w:val="2"/>
          <w:wAfter w:w="164" w:type="dxa"/>
          <w:trHeight w:val="229"/>
        </w:trPr>
        <w:tc>
          <w:tcPr>
            <w:tcW w:w="4928" w:type="dxa"/>
            <w:gridSpan w:val="7"/>
          </w:tcPr>
          <w:p w14:paraId="3A3A2318" w14:textId="4ADAC4CD" w:rsidR="00687E4A" w:rsidRPr="00E803CA" w:rsidRDefault="00687E4A" w:rsidP="00427070">
            <w:pPr>
              <w:pStyle w:val="Text"/>
              <w:spacing w:after="0"/>
              <w:ind w:left="-108"/>
              <w:jc w:val="left"/>
              <w:rPr>
                <w:szCs w:val="22"/>
              </w:rPr>
            </w:pPr>
            <w:r>
              <w:rPr>
                <w:szCs w:val="22"/>
              </w:rPr>
              <w:t>Gain on sale of fixed assets</w:t>
            </w:r>
          </w:p>
        </w:tc>
        <w:tc>
          <w:tcPr>
            <w:tcW w:w="856" w:type="dxa"/>
            <w:gridSpan w:val="2"/>
            <w:shd w:val="clear" w:color="auto" w:fill="auto"/>
          </w:tcPr>
          <w:p w14:paraId="63612D3A" w14:textId="650EDC38" w:rsidR="00687E4A" w:rsidRPr="00E803CA" w:rsidRDefault="00687E4A" w:rsidP="00427070">
            <w:pPr>
              <w:pStyle w:val="Text"/>
              <w:spacing w:after="0"/>
              <w:ind w:left="-648" w:firstLine="648"/>
              <w:jc w:val="center"/>
              <w:rPr>
                <w:szCs w:val="22"/>
              </w:rPr>
            </w:pPr>
            <w:r>
              <w:rPr>
                <w:szCs w:val="22"/>
              </w:rPr>
              <w:t>9</w:t>
            </w:r>
          </w:p>
        </w:tc>
        <w:tc>
          <w:tcPr>
            <w:tcW w:w="1960" w:type="dxa"/>
            <w:gridSpan w:val="2"/>
          </w:tcPr>
          <w:p w14:paraId="2210FE49" w14:textId="47383F21" w:rsidR="00687E4A" w:rsidRPr="00AA583E" w:rsidRDefault="00BC54DB" w:rsidP="00427070">
            <w:pPr>
              <w:pStyle w:val="Text"/>
              <w:spacing w:after="0"/>
              <w:jc w:val="right"/>
              <w:rPr>
                <w:szCs w:val="22"/>
              </w:rPr>
            </w:pPr>
            <w:r>
              <w:rPr>
                <w:szCs w:val="22"/>
              </w:rPr>
              <w:t>359</w:t>
            </w:r>
          </w:p>
        </w:tc>
        <w:tc>
          <w:tcPr>
            <w:tcW w:w="399" w:type="dxa"/>
            <w:gridSpan w:val="2"/>
          </w:tcPr>
          <w:p w14:paraId="00F805CC" w14:textId="77777777" w:rsidR="00687E4A" w:rsidRPr="00E803CA" w:rsidRDefault="00687E4A" w:rsidP="00427070">
            <w:pPr>
              <w:pStyle w:val="Text"/>
              <w:spacing w:after="0"/>
              <w:jc w:val="right"/>
              <w:rPr>
                <w:szCs w:val="22"/>
              </w:rPr>
            </w:pPr>
          </w:p>
        </w:tc>
        <w:tc>
          <w:tcPr>
            <w:tcW w:w="1191" w:type="dxa"/>
          </w:tcPr>
          <w:p w14:paraId="46031D54" w14:textId="53DAAA55" w:rsidR="00687E4A" w:rsidRPr="00E803CA" w:rsidRDefault="00BC54DB" w:rsidP="00427070">
            <w:pPr>
              <w:pStyle w:val="Text"/>
              <w:spacing w:after="0"/>
              <w:jc w:val="right"/>
              <w:rPr>
                <w:szCs w:val="22"/>
              </w:rPr>
            </w:pPr>
            <w:r>
              <w:rPr>
                <w:szCs w:val="22"/>
              </w:rPr>
              <w:t>-</w:t>
            </w:r>
          </w:p>
        </w:tc>
      </w:tr>
      <w:tr w:rsidR="00427070" w:rsidRPr="00E803CA" w14:paraId="799B061D" w14:textId="77777777" w:rsidTr="001B026F">
        <w:trPr>
          <w:gridAfter w:val="2"/>
          <w:wAfter w:w="164" w:type="dxa"/>
          <w:trHeight w:val="229"/>
        </w:trPr>
        <w:tc>
          <w:tcPr>
            <w:tcW w:w="4928" w:type="dxa"/>
            <w:gridSpan w:val="7"/>
          </w:tcPr>
          <w:p w14:paraId="6FFE5FC3" w14:textId="77777777" w:rsidR="00427070" w:rsidRPr="00E803CA" w:rsidRDefault="00427070" w:rsidP="00427070">
            <w:pPr>
              <w:pStyle w:val="Text"/>
              <w:spacing w:after="0"/>
              <w:ind w:left="-108"/>
              <w:jc w:val="left"/>
              <w:rPr>
                <w:szCs w:val="22"/>
              </w:rPr>
            </w:pPr>
            <w:r w:rsidRPr="00E803CA">
              <w:rPr>
                <w:szCs w:val="22"/>
              </w:rPr>
              <w:t>Finance income</w:t>
            </w:r>
          </w:p>
        </w:tc>
        <w:tc>
          <w:tcPr>
            <w:tcW w:w="856" w:type="dxa"/>
            <w:gridSpan w:val="2"/>
            <w:shd w:val="clear" w:color="auto" w:fill="auto"/>
          </w:tcPr>
          <w:p w14:paraId="0CAC9C0D" w14:textId="0EDBC090" w:rsidR="00427070" w:rsidRPr="00E803CA" w:rsidRDefault="00427070" w:rsidP="00427070">
            <w:pPr>
              <w:pStyle w:val="Text"/>
              <w:spacing w:after="0"/>
              <w:ind w:left="-648" w:firstLine="648"/>
              <w:jc w:val="center"/>
              <w:rPr>
                <w:szCs w:val="22"/>
              </w:rPr>
            </w:pPr>
            <w:r w:rsidRPr="00E803CA">
              <w:rPr>
                <w:szCs w:val="22"/>
              </w:rPr>
              <w:t>10</w:t>
            </w:r>
          </w:p>
        </w:tc>
        <w:tc>
          <w:tcPr>
            <w:tcW w:w="1960" w:type="dxa"/>
            <w:gridSpan w:val="2"/>
          </w:tcPr>
          <w:p w14:paraId="54EB5AE4" w14:textId="1B9CF3C2" w:rsidR="00427070" w:rsidRPr="00AA583E" w:rsidRDefault="00B822CC" w:rsidP="00427070">
            <w:pPr>
              <w:pStyle w:val="Text"/>
              <w:spacing w:after="0"/>
              <w:jc w:val="right"/>
              <w:rPr>
                <w:szCs w:val="22"/>
              </w:rPr>
            </w:pPr>
            <w:r w:rsidRPr="00AA583E">
              <w:rPr>
                <w:szCs w:val="22"/>
              </w:rPr>
              <w:t>188</w:t>
            </w:r>
          </w:p>
        </w:tc>
        <w:tc>
          <w:tcPr>
            <w:tcW w:w="399" w:type="dxa"/>
            <w:gridSpan w:val="2"/>
          </w:tcPr>
          <w:p w14:paraId="640AB132" w14:textId="77777777" w:rsidR="00427070" w:rsidRPr="00E803CA" w:rsidRDefault="00427070" w:rsidP="00427070">
            <w:pPr>
              <w:pStyle w:val="Text"/>
              <w:spacing w:after="0"/>
              <w:jc w:val="right"/>
              <w:rPr>
                <w:szCs w:val="22"/>
              </w:rPr>
            </w:pPr>
          </w:p>
        </w:tc>
        <w:tc>
          <w:tcPr>
            <w:tcW w:w="1191" w:type="dxa"/>
          </w:tcPr>
          <w:p w14:paraId="093CB93D" w14:textId="3917BB36" w:rsidR="00427070" w:rsidRPr="00E803CA" w:rsidRDefault="00427070" w:rsidP="00427070">
            <w:pPr>
              <w:pStyle w:val="Text"/>
              <w:spacing w:after="0"/>
              <w:jc w:val="right"/>
              <w:rPr>
                <w:szCs w:val="22"/>
              </w:rPr>
            </w:pPr>
            <w:r w:rsidRPr="00E803CA">
              <w:rPr>
                <w:szCs w:val="22"/>
              </w:rPr>
              <w:t>22</w:t>
            </w:r>
          </w:p>
        </w:tc>
      </w:tr>
      <w:tr w:rsidR="00427070" w:rsidRPr="00E803CA" w14:paraId="22AB1DBC" w14:textId="77777777" w:rsidTr="001B026F">
        <w:trPr>
          <w:gridAfter w:val="2"/>
          <w:wAfter w:w="164" w:type="dxa"/>
          <w:trHeight w:val="229"/>
        </w:trPr>
        <w:tc>
          <w:tcPr>
            <w:tcW w:w="4928" w:type="dxa"/>
            <w:gridSpan w:val="7"/>
          </w:tcPr>
          <w:p w14:paraId="65B9A2C7" w14:textId="77777777" w:rsidR="00427070" w:rsidRPr="00E803CA" w:rsidRDefault="00427070" w:rsidP="00427070">
            <w:pPr>
              <w:pStyle w:val="Text"/>
              <w:spacing w:after="0"/>
              <w:ind w:left="-108"/>
              <w:rPr>
                <w:szCs w:val="22"/>
              </w:rPr>
            </w:pPr>
            <w:r w:rsidRPr="00E803CA">
              <w:rPr>
                <w:szCs w:val="22"/>
                <w:lang w:eastAsia="en-GB"/>
              </w:rPr>
              <w:t>Finance charges</w:t>
            </w:r>
          </w:p>
        </w:tc>
        <w:tc>
          <w:tcPr>
            <w:tcW w:w="856" w:type="dxa"/>
            <w:gridSpan w:val="2"/>
            <w:shd w:val="clear" w:color="auto" w:fill="auto"/>
          </w:tcPr>
          <w:p w14:paraId="1DA6956B" w14:textId="3544789D" w:rsidR="00427070" w:rsidRPr="00E803CA" w:rsidRDefault="00427070" w:rsidP="00427070">
            <w:pPr>
              <w:pStyle w:val="Text"/>
              <w:spacing w:after="0"/>
              <w:ind w:left="-648" w:firstLine="648"/>
              <w:jc w:val="center"/>
              <w:rPr>
                <w:szCs w:val="22"/>
              </w:rPr>
            </w:pPr>
            <w:r w:rsidRPr="00E803CA">
              <w:rPr>
                <w:szCs w:val="22"/>
              </w:rPr>
              <w:t>11</w:t>
            </w:r>
          </w:p>
        </w:tc>
        <w:tc>
          <w:tcPr>
            <w:tcW w:w="1960" w:type="dxa"/>
            <w:gridSpan w:val="2"/>
          </w:tcPr>
          <w:p w14:paraId="1ABEFDA5" w14:textId="0EFF2929" w:rsidR="00427070" w:rsidRPr="00AA583E" w:rsidRDefault="00B822CC" w:rsidP="00427070">
            <w:pPr>
              <w:pStyle w:val="Text"/>
              <w:spacing w:after="0"/>
              <w:jc w:val="right"/>
              <w:rPr>
                <w:szCs w:val="22"/>
                <w:lang w:eastAsia="en-GB"/>
              </w:rPr>
            </w:pPr>
            <w:r w:rsidRPr="00AA583E">
              <w:rPr>
                <w:szCs w:val="22"/>
                <w:lang w:eastAsia="en-GB"/>
              </w:rPr>
              <w:t>(6,473)</w:t>
            </w:r>
          </w:p>
        </w:tc>
        <w:tc>
          <w:tcPr>
            <w:tcW w:w="399" w:type="dxa"/>
            <w:gridSpan w:val="2"/>
          </w:tcPr>
          <w:p w14:paraId="2C155944" w14:textId="77777777" w:rsidR="00427070" w:rsidRPr="00E803CA" w:rsidRDefault="00427070" w:rsidP="00427070">
            <w:pPr>
              <w:pStyle w:val="Text"/>
              <w:spacing w:after="0"/>
              <w:jc w:val="right"/>
              <w:rPr>
                <w:szCs w:val="22"/>
              </w:rPr>
            </w:pPr>
          </w:p>
        </w:tc>
        <w:tc>
          <w:tcPr>
            <w:tcW w:w="1191" w:type="dxa"/>
          </w:tcPr>
          <w:p w14:paraId="4A0E53A1" w14:textId="6898B80C" w:rsidR="00427070" w:rsidRPr="00E803CA" w:rsidRDefault="00427070" w:rsidP="00427070">
            <w:pPr>
              <w:pStyle w:val="Text"/>
              <w:spacing w:after="0"/>
              <w:jc w:val="right"/>
              <w:rPr>
                <w:szCs w:val="22"/>
                <w:lang w:eastAsia="en-GB"/>
              </w:rPr>
            </w:pPr>
            <w:r w:rsidRPr="00E803CA">
              <w:rPr>
                <w:szCs w:val="22"/>
                <w:lang w:eastAsia="en-GB"/>
              </w:rPr>
              <w:t>(5,307)</w:t>
            </w:r>
          </w:p>
        </w:tc>
      </w:tr>
      <w:tr w:rsidR="00427070" w:rsidRPr="00E803CA" w14:paraId="424811AB" w14:textId="77777777" w:rsidTr="001B026F">
        <w:trPr>
          <w:gridAfter w:val="1"/>
          <w:wAfter w:w="76" w:type="dxa"/>
          <w:trHeight w:val="229"/>
        </w:trPr>
        <w:tc>
          <w:tcPr>
            <w:tcW w:w="4928" w:type="dxa"/>
            <w:gridSpan w:val="7"/>
          </w:tcPr>
          <w:p w14:paraId="0B4AC7BE" w14:textId="77777777" w:rsidR="00427070" w:rsidRPr="00E803CA" w:rsidRDefault="00427070" w:rsidP="00427070">
            <w:pPr>
              <w:pStyle w:val="Text"/>
              <w:spacing w:after="0"/>
              <w:ind w:left="-108"/>
              <w:rPr>
                <w:szCs w:val="22"/>
              </w:rPr>
            </w:pPr>
          </w:p>
        </w:tc>
        <w:tc>
          <w:tcPr>
            <w:tcW w:w="856" w:type="dxa"/>
            <w:gridSpan w:val="2"/>
            <w:shd w:val="clear" w:color="auto" w:fill="auto"/>
          </w:tcPr>
          <w:p w14:paraId="4EDD8463" w14:textId="77777777" w:rsidR="00427070" w:rsidRPr="00E803CA" w:rsidRDefault="00427070" w:rsidP="00427070">
            <w:pPr>
              <w:pStyle w:val="Text"/>
              <w:spacing w:after="0"/>
              <w:ind w:left="-648" w:firstLine="648"/>
              <w:jc w:val="center"/>
              <w:rPr>
                <w:szCs w:val="22"/>
              </w:rPr>
            </w:pPr>
          </w:p>
        </w:tc>
        <w:tc>
          <w:tcPr>
            <w:tcW w:w="1960" w:type="dxa"/>
            <w:gridSpan w:val="2"/>
          </w:tcPr>
          <w:p w14:paraId="232CA4EE" w14:textId="77777777" w:rsidR="00427070" w:rsidRPr="00AA583E" w:rsidRDefault="00427070" w:rsidP="00427070">
            <w:pPr>
              <w:pStyle w:val="Text"/>
              <w:spacing w:after="0"/>
              <w:jc w:val="right"/>
              <w:rPr>
                <w:szCs w:val="22"/>
              </w:rPr>
            </w:pPr>
          </w:p>
        </w:tc>
        <w:tc>
          <w:tcPr>
            <w:tcW w:w="399" w:type="dxa"/>
            <w:gridSpan w:val="2"/>
          </w:tcPr>
          <w:p w14:paraId="02C00592" w14:textId="77777777" w:rsidR="00427070" w:rsidRPr="00E803CA" w:rsidRDefault="00427070" w:rsidP="00427070">
            <w:pPr>
              <w:pStyle w:val="Text"/>
              <w:spacing w:after="0"/>
              <w:jc w:val="right"/>
              <w:rPr>
                <w:szCs w:val="22"/>
              </w:rPr>
            </w:pPr>
          </w:p>
        </w:tc>
        <w:tc>
          <w:tcPr>
            <w:tcW w:w="1279" w:type="dxa"/>
            <w:gridSpan w:val="2"/>
          </w:tcPr>
          <w:p w14:paraId="1BA273FA" w14:textId="77777777" w:rsidR="00427070" w:rsidRPr="00E803CA" w:rsidRDefault="00427070" w:rsidP="00427070">
            <w:pPr>
              <w:pStyle w:val="Text"/>
              <w:spacing w:after="0"/>
              <w:jc w:val="right"/>
              <w:rPr>
                <w:szCs w:val="22"/>
              </w:rPr>
            </w:pPr>
          </w:p>
        </w:tc>
      </w:tr>
      <w:tr w:rsidR="00427070" w:rsidRPr="00E803CA" w14:paraId="571BCB14" w14:textId="77777777" w:rsidTr="001B026F">
        <w:trPr>
          <w:gridAfter w:val="2"/>
          <w:wAfter w:w="164" w:type="dxa"/>
          <w:trHeight w:val="229"/>
        </w:trPr>
        <w:tc>
          <w:tcPr>
            <w:tcW w:w="4928" w:type="dxa"/>
            <w:gridSpan w:val="7"/>
          </w:tcPr>
          <w:p w14:paraId="7EFA0D47" w14:textId="09870FC0" w:rsidR="00427070" w:rsidRPr="00E803CA" w:rsidRDefault="00720672" w:rsidP="00427070">
            <w:pPr>
              <w:pStyle w:val="Text"/>
              <w:spacing w:after="0"/>
              <w:ind w:left="-108"/>
              <w:rPr>
                <w:szCs w:val="22"/>
              </w:rPr>
            </w:pPr>
            <w:r>
              <w:rPr>
                <w:szCs w:val="22"/>
                <w:lang w:eastAsia="en-GB"/>
              </w:rPr>
              <w:t>Increase / (d</w:t>
            </w:r>
            <w:r w:rsidR="00427070" w:rsidRPr="00E803CA">
              <w:rPr>
                <w:szCs w:val="22"/>
                <w:lang w:eastAsia="en-GB"/>
              </w:rPr>
              <w:t>ecrease</w:t>
            </w:r>
            <w:r>
              <w:rPr>
                <w:szCs w:val="22"/>
                <w:lang w:eastAsia="en-GB"/>
              </w:rPr>
              <w:t>)</w:t>
            </w:r>
            <w:r w:rsidR="00427070" w:rsidRPr="00E803CA">
              <w:rPr>
                <w:szCs w:val="22"/>
                <w:lang w:eastAsia="en-GB"/>
              </w:rPr>
              <w:t xml:space="preserve"> in valuation of other fixed assets</w:t>
            </w:r>
          </w:p>
        </w:tc>
        <w:tc>
          <w:tcPr>
            <w:tcW w:w="856" w:type="dxa"/>
            <w:gridSpan w:val="2"/>
            <w:shd w:val="clear" w:color="auto" w:fill="auto"/>
          </w:tcPr>
          <w:p w14:paraId="59DC6A68" w14:textId="59B86F1A" w:rsidR="00427070" w:rsidRPr="00E803CA" w:rsidRDefault="00427070" w:rsidP="00427070">
            <w:pPr>
              <w:pStyle w:val="Text"/>
              <w:spacing w:after="0"/>
              <w:ind w:left="-648" w:firstLine="648"/>
              <w:jc w:val="center"/>
              <w:rPr>
                <w:szCs w:val="22"/>
              </w:rPr>
            </w:pPr>
            <w:r w:rsidRPr="00E803CA">
              <w:rPr>
                <w:szCs w:val="22"/>
              </w:rPr>
              <w:t>15</w:t>
            </w:r>
          </w:p>
        </w:tc>
        <w:tc>
          <w:tcPr>
            <w:tcW w:w="1960" w:type="dxa"/>
            <w:gridSpan w:val="2"/>
          </w:tcPr>
          <w:p w14:paraId="77EAFD4E" w14:textId="6DDACA7B" w:rsidR="00427070" w:rsidRPr="00AA583E" w:rsidRDefault="00B822CC" w:rsidP="00427070">
            <w:pPr>
              <w:pStyle w:val="Text"/>
              <w:spacing w:after="0"/>
              <w:jc w:val="right"/>
              <w:rPr>
                <w:szCs w:val="22"/>
              </w:rPr>
            </w:pPr>
            <w:r w:rsidRPr="00AA583E">
              <w:rPr>
                <w:szCs w:val="22"/>
              </w:rPr>
              <w:t>3</w:t>
            </w:r>
          </w:p>
        </w:tc>
        <w:tc>
          <w:tcPr>
            <w:tcW w:w="399" w:type="dxa"/>
            <w:gridSpan w:val="2"/>
          </w:tcPr>
          <w:p w14:paraId="0D049E43" w14:textId="77777777" w:rsidR="00427070" w:rsidRPr="00E803CA" w:rsidRDefault="00427070" w:rsidP="00427070">
            <w:pPr>
              <w:pStyle w:val="Text"/>
              <w:spacing w:after="0"/>
              <w:jc w:val="right"/>
              <w:rPr>
                <w:szCs w:val="22"/>
              </w:rPr>
            </w:pPr>
          </w:p>
        </w:tc>
        <w:tc>
          <w:tcPr>
            <w:tcW w:w="1191" w:type="dxa"/>
          </w:tcPr>
          <w:p w14:paraId="05382CD0" w14:textId="4868A70C" w:rsidR="00427070" w:rsidRPr="00E803CA" w:rsidRDefault="00427070" w:rsidP="00427070">
            <w:pPr>
              <w:pStyle w:val="Text"/>
              <w:spacing w:after="0"/>
              <w:jc w:val="right"/>
              <w:rPr>
                <w:szCs w:val="22"/>
              </w:rPr>
            </w:pPr>
            <w:r w:rsidRPr="00E803CA">
              <w:rPr>
                <w:szCs w:val="22"/>
              </w:rPr>
              <w:t>(44)</w:t>
            </w:r>
          </w:p>
        </w:tc>
      </w:tr>
      <w:tr w:rsidR="00427070" w:rsidRPr="00E803CA" w14:paraId="2B71AB53" w14:textId="77777777" w:rsidTr="001B026F">
        <w:trPr>
          <w:gridAfter w:val="2"/>
          <w:wAfter w:w="164" w:type="dxa"/>
          <w:trHeight w:val="331"/>
        </w:trPr>
        <w:tc>
          <w:tcPr>
            <w:tcW w:w="4928" w:type="dxa"/>
            <w:gridSpan w:val="7"/>
          </w:tcPr>
          <w:p w14:paraId="604A9BD9" w14:textId="77777777" w:rsidR="00427070" w:rsidRPr="00E803CA" w:rsidRDefault="00427070" w:rsidP="00427070">
            <w:pPr>
              <w:pStyle w:val="Text"/>
              <w:spacing w:after="0"/>
              <w:ind w:left="-108"/>
              <w:rPr>
                <w:szCs w:val="22"/>
              </w:rPr>
            </w:pPr>
          </w:p>
        </w:tc>
        <w:tc>
          <w:tcPr>
            <w:tcW w:w="856" w:type="dxa"/>
            <w:gridSpan w:val="2"/>
            <w:shd w:val="clear" w:color="auto" w:fill="auto"/>
          </w:tcPr>
          <w:p w14:paraId="2949CF04" w14:textId="77777777" w:rsidR="00427070" w:rsidRPr="00E803CA" w:rsidRDefault="00427070" w:rsidP="00427070">
            <w:pPr>
              <w:pStyle w:val="Text"/>
              <w:spacing w:after="0"/>
              <w:ind w:left="-648" w:firstLine="648"/>
              <w:jc w:val="center"/>
              <w:rPr>
                <w:szCs w:val="22"/>
              </w:rPr>
            </w:pPr>
          </w:p>
        </w:tc>
        <w:tc>
          <w:tcPr>
            <w:tcW w:w="1960" w:type="dxa"/>
            <w:gridSpan w:val="2"/>
            <w:tcBorders>
              <w:top w:val="single" w:sz="4" w:space="0" w:color="auto"/>
            </w:tcBorders>
          </w:tcPr>
          <w:p w14:paraId="0F97979C" w14:textId="77777777" w:rsidR="00427070" w:rsidRPr="00AA583E" w:rsidRDefault="00427070" w:rsidP="00427070">
            <w:pPr>
              <w:pStyle w:val="Text"/>
              <w:spacing w:after="0"/>
              <w:jc w:val="right"/>
              <w:rPr>
                <w:szCs w:val="22"/>
              </w:rPr>
            </w:pPr>
          </w:p>
        </w:tc>
        <w:tc>
          <w:tcPr>
            <w:tcW w:w="399" w:type="dxa"/>
            <w:gridSpan w:val="2"/>
          </w:tcPr>
          <w:p w14:paraId="459FF644" w14:textId="77777777" w:rsidR="00427070" w:rsidRPr="00E803CA" w:rsidRDefault="00427070" w:rsidP="00427070">
            <w:pPr>
              <w:pStyle w:val="Text"/>
              <w:spacing w:after="0"/>
              <w:jc w:val="right"/>
              <w:rPr>
                <w:szCs w:val="22"/>
              </w:rPr>
            </w:pPr>
          </w:p>
        </w:tc>
        <w:tc>
          <w:tcPr>
            <w:tcW w:w="1191" w:type="dxa"/>
            <w:tcBorders>
              <w:top w:val="single" w:sz="4" w:space="0" w:color="auto"/>
            </w:tcBorders>
          </w:tcPr>
          <w:p w14:paraId="24B76A31" w14:textId="77777777" w:rsidR="00427070" w:rsidRPr="00E803CA" w:rsidRDefault="00427070" w:rsidP="00427070">
            <w:pPr>
              <w:pStyle w:val="Text"/>
              <w:spacing w:after="0"/>
              <w:jc w:val="right"/>
              <w:rPr>
                <w:szCs w:val="22"/>
              </w:rPr>
            </w:pPr>
          </w:p>
        </w:tc>
      </w:tr>
      <w:tr w:rsidR="00427070" w:rsidRPr="00E803CA" w14:paraId="7217821D" w14:textId="77777777" w:rsidTr="001B026F">
        <w:trPr>
          <w:gridAfter w:val="2"/>
          <w:wAfter w:w="164" w:type="dxa"/>
          <w:trHeight w:val="229"/>
        </w:trPr>
        <w:tc>
          <w:tcPr>
            <w:tcW w:w="4928" w:type="dxa"/>
            <w:gridSpan w:val="7"/>
          </w:tcPr>
          <w:p w14:paraId="42C65A9B" w14:textId="74AB4BCF" w:rsidR="00427070" w:rsidRPr="00E803CA" w:rsidRDefault="00427070" w:rsidP="00427070">
            <w:pPr>
              <w:pStyle w:val="Text"/>
              <w:spacing w:after="0"/>
              <w:ind w:left="-108"/>
              <w:rPr>
                <w:szCs w:val="22"/>
                <w:lang w:eastAsia="en-GB"/>
              </w:rPr>
            </w:pPr>
            <w:r w:rsidRPr="00E803CA">
              <w:rPr>
                <w:szCs w:val="22"/>
                <w:lang w:eastAsia="en-GB"/>
              </w:rPr>
              <w:t>Surplus for the year</w:t>
            </w:r>
          </w:p>
        </w:tc>
        <w:tc>
          <w:tcPr>
            <w:tcW w:w="856" w:type="dxa"/>
            <w:gridSpan w:val="2"/>
            <w:shd w:val="clear" w:color="auto" w:fill="auto"/>
          </w:tcPr>
          <w:p w14:paraId="4E8EC2C6" w14:textId="77777777" w:rsidR="00427070" w:rsidRPr="00E803CA" w:rsidRDefault="00427070" w:rsidP="00427070">
            <w:pPr>
              <w:pStyle w:val="Text"/>
              <w:spacing w:after="0"/>
              <w:ind w:left="-648" w:firstLine="648"/>
              <w:jc w:val="center"/>
              <w:rPr>
                <w:szCs w:val="22"/>
              </w:rPr>
            </w:pPr>
          </w:p>
        </w:tc>
        <w:tc>
          <w:tcPr>
            <w:tcW w:w="1960" w:type="dxa"/>
            <w:gridSpan w:val="2"/>
          </w:tcPr>
          <w:p w14:paraId="55D3174C" w14:textId="0B0B3451" w:rsidR="00427070" w:rsidRPr="00AA583E" w:rsidRDefault="00B822CC" w:rsidP="00427070">
            <w:pPr>
              <w:pStyle w:val="Text"/>
              <w:spacing w:after="0"/>
              <w:jc w:val="right"/>
              <w:rPr>
                <w:szCs w:val="22"/>
              </w:rPr>
            </w:pPr>
            <w:r w:rsidRPr="00AA583E">
              <w:rPr>
                <w:szCs w:val="22"/>
              </w:rPr>
              <w:t>1</w:t>
            </w:r>
            <w:r w:rsidR="00B922A3" w:rsidRPr="00AA583E">
              <w:rPr>
                <w:szCs w:val="22"/>
              </w:rPr>
              <w:t>4,9</w:t>
            </w:r>
            <w:r w:rsidR="0016173A">
              <w:rPr>
                <w:szCs w:val="22"/>
              </w:rPr>
              <w:t>9</w:t>
            </w:r>
            <w:r w:rsidR="00B922A3" w:rsidRPr="00AA583E">
              <w:rPr>
                <w:szCs w:val="22"/>
              </w:rPr>
              <w:t>6</w:t>
            </w:r>
          </w:p>
        </w:tc>
        <w:tc>
          <w:tcPr>
            <w:tcW w:w="399" w:type="dxa"/>
            <w:gridSpan w:val="2"/>
          </w:tcPr>
          <w:p w14:paraId="1E3191A2" w14:textId="77777777" w:rsidR="00427070" w:rsidRPr="00E803CA" w:rsidRDefault="00427070" w:rsidP="00427070">
            <w:pPr>
              <w:pStyle w:val="Text"/>
              <w:spacing w:after="0"/>
              <w:jc w:val="right"/>
              <w:rPr>
                <w:szCs w:val="22"/>
              </w:rPr>
            </w:pPr>
          </w:p>
        </w:tc>
        <w:tc>
          <w:tcPr>
            <w:tcW w:w="1191" w:type="dxa"/>
          </w:tcPr>
          <w:p w14:paraId="6EACB137" w14:textId="51924DEF" w:rsidR="00427070" w:rsidRPr="00E803CA" w:rsidRDefault="00427070" w:rsidP="00427070">
            <w:pPr>
              <w:pStyle w:val="Text"/>
              <w:spacing w:after="0"/>
              <w:jc w:val="right"/>
              <w:rPr>
                <w:szCs w:val="22"/>
              </w:rPr>
            </w:pPr>
            <w:r w:rsidRPr="00E803CA">
              <w:rPr>
                <w:szCs w:val="22"/>
              </w:rPr>
              <w:t>8,844</w:t>
            </w:r>
          </w:p>
        </w:tc>
      </w:tr>
      <w:tr w:rsidR="00427070" w:rsidRPr="00E803CA" w14:paraId="7BCC2E41" w14:textId="77777777" w:rsidTr="001B026F">
        <w:trPr>
          <w:gridAfter w:val="2"/>
          <w:wAfter w:w="164" w:type="dxa"/>
          <w:trHeight w:val="229"/>
        </w:trPr>
        <w:tc>
          <w:tcPr>
            <w:tcW w:w="4928" w:type="dxa"/>
            <w:gridSpan w:val="7"/>
          </w:tcPr>
          <w:p w14:paraId="0AE78B8C" w14:textId="77777777" w:rsidR="00427070" w:rsidRPr="00E803CA" w:rsidRDefault="00427070" w:rsidP="00427070">
            <w:pPr>
              <w:pStyle w:val="Text"/>
              <w:spacing w:after="0"/>
              <w:ind w:left="-108"/>
              <w:rPr>
                <w:szCs w:val="22"/>
                <w:lang w:eastAsia="en-GB"/>
              </w:rPr>
            </w:pPr>
          </w:p>
        </w:tc>
        <w:tc>
          <w:tcPr>
            <w:tcW w:w="856" w:type="dxa"/>
            <w:gridSpan w:val="2"/>
            <w:shd w:val="clear" w:color="auto" w:fill="auto"/>
          </w:tcPr>
          <w:p w14:paraId="6FE13AD2" w14:textId="77777777" w:rsidR="00427070" w:rsidRPr="00E803CA" w:rsidRDefault="00427070" w:rsidP="00427070">
            <w:pPr>
              <w:pStyle w:val="Text"/>
              <w:spacing w:after="0"/>
              <w:ind w:left="-648" w:firstLine="648"/>
              <w:jc w:val="center"/>
              <w:rPr>
                <w:szCs w:val="22"/>
              </w:rPr>
            </w:pPr>
          </w:p>
        </w:tc>
        <w:tc>
          <w:tcPr>
            <w:tcW w:w="1960" w:type="dxa"/>
            <w:gridSpan w:val="2"/>
          </w:tcPr>
          <w:p w14:paraId="2E9A76A3" w14:textId="77777777" w:rsidR="00427070" w:rsidRPr="00AA583E" w:rsidRDefault="00427070" w:rsidP="00427070">
            <w:pPr>
              <w:pStyle w:val="Text"/>
              <w:spacing w:after="0"/>
              <w:jc w:val="right"/>
              <w:rPr>
                <w:szCs w:val="22"/>
              </w:rPr>
            </w:pPr>
          </w:p>
        </w:tc>
        <w:tc>
          <w:tcPr>
            <w:tcW w:w="399" w:type="dxa"/>
            <w:gridSpan w:val="2"/>
          </w:tcPr>
          <w:p w14:paraId="76C617DD" w14:textId="77777777" w:rsidR="00427070" w:rsidRPr="00E803CA" w:rsidRDefault="00427070" w:rsidP="00427070">
            <w:pPr>
              <w:pStyle w:val="Text"/>
              <w:spacing w:after="0"/>
              <w:jc w:val="right"/>
              <w:rPr>
                <w:szCs w:val="22"/>
              </w:rPr>
            </w:pPr>
          </w:p>
        </w:tc>
        <w:tc>
          <w:tcPr>
            <w:tcW w:w="1191" w:type="dxa"/>
          </w:tcPr>
          <w:p w14:paraId="288E7285" w14:textId="77777777" w:rsidR="00427070" w:rsidRPr="00E803CA" w:rsidRDefault="00427070" w:rsidP="00427070">
            <w:pPr>
              <w:pStyle w:val="Text"/>
              <w:spacing w:after="0"/>
              <w:jc w:val="right"/>
              <w:rPr>
                <w:szCs w:val="22"/>
              </w:rPr>
            </w:pPr>
          </w:p>
        </w:tc>
      </w:tr>
      <w:tr w:rsidR="00427070" w:rsidRPr="00E803CA" w14:paraId="275714DC" w14:textId="77777777" w:rsidTr="001B026F">
        <w:trPr>
          <w:gridAfter w:val="2"/>
          <w:wAfter w:w="164" w:type="dxa"/>
          <w:trHeight w:val="229"/>
        </w:trPr>
        <w:tc>
          <w:tcPr>
            <w:tcW w:w="4928" w:type="dxa"/>
            <w:gridSpan w:val="7"/>
          </w:tcPr>
          <w:p w14:paraId="631780ED" w14:textId="7D1195C9" w:rsidR="00427070" w:rsidRPr="00E803CA" w:rsidRDefault="00427070" w:rsidP="00427070">
            <w:pPr>
              <w:pStyle w:val="Text"/>
              <w:spacing w:after="0"/>
              <w:ind w:left="-108"/>
              <w:rPr>
                <w:szCs w:val="22"/>
                <w:lang w:eastAsia="en-GB"/>
              </w:rPr>
            </w:pPr>
            <w:r w:rsidRPr="00882535">
              <w:rPr>
                <w:szCs w:val="22"/>
                <w:lang w:eastAsia="en-GB"/>
              </w:rPr>
              <w:t xml:space="preserve">Unrealised </w:t>
            </w:r>
            <w:r w:rsidR="00DA784F" w:rsidRPr="00882535">
              <w:rPr>
                <w:szCs w:val="22"/>
                <w:lang w:eastAsia="en-GB"/>
              </w:rPr>
              <w:t>surplus/ (</w:t>
            </w:r>
            <w:r w:rsidRPr="00882535">
              <w:rPr>
                <w:szCs w:val="22"/>
                <w:lang w:eastAsia="en-GB"/>
              </w:rPr>
              <w:t>deficit</w:t>
            </w:r>
            <w:r w:rsidR="00DA784F" w:rsidRPr="00882535">
              <w:rPr>
                <w:szCs w:val="22"/>
                <w:lang w:eastAsia="en-GB"/>
              </w:rPr>
              <w:t>)</w:t>
            </w:r>
            <w:r w:rsidRPr="00882535">
              <w:rPr>
                <w:szCs w:val="22"/>
                <w:lang w:eastAsia="en-GB"/>
              </w:rPr>
              <w:t xml:space="preserve"> on revaluation of housing properties</w:t>
            </w:r>
          </w:p>
        </w:tc>
        <w:tc>
          <w:tcPr>
            <w:tcW w:w="856" w:type="dxa"/>
            <w:gridSpan w:val="2"/>
            <w:shd w:val="clear" w:color="auto" w:fill="auto"/>
          </w:tcPr>
          <w:p w14:paraId="17B9F41E" w14:textId="643C47B9" w:rsidR="00427070" w:rsidRPr="00E803CA" w:rsidRDefault="004774C2" w:rsidP="00427070">
            <w:pPr>
              <w:pStyle w:val="Text"/>
              <w:spacing w:after="0"/>
              <w:ind w:left="-648" w:firstLine="648"/>
              <w:jc w:val="center"/>
              <w:rPr>
                <w:szCs w:val="22"/>
              </w:rPr>
            </w:pPr>
            <w:r>
              <w:rPr>
                <w:szCs w:val="22"/>
              </w:rPr>
              <w:t>14</w:t>
            </w:r>
          </w:p>
        </w:tc>
        <w:tc>
          <w:tcPr>
            <w:tcW w:w="1960" w:type="dxa"/>
            <w:gridSpan w:val="2"/>
          </w:tcPr>
          <w:p w14:paraId="53D6EB94" w14:textId="3E0582B1" w:rsidR="00427070" w:rsidRPr="00AA583E" w:rsidRDefault="00882535" w:rsidP="00427070">
            <w:pPr>
              <w:pStyle w:val="Text"/>
              <w:spacing w:after="0"/>
              <w:jc w:val="right"/>
              <w:rPr>
                <w:szCs w:val="22"/>
              </w:rPr>
            </w:pPr>
            <w:r w:rsidRPr="00AA583E">
              <w:rPr>
                <w:szCs w:val="22"/>
              </w:rPr>
              <w:t>12,637</w:t>
            </w:r>
          </w:p>
        </w:tc>
        <w:tc>
          <w:tcPr>
            <w:tcW w:w="399" w:type="dxa"/>
            <w:gridSpan w:val="2"/>
          </w:tcPr>
          <w:p w14:paraId="77186DF2" w14:textId="77777777" w:rsidR="00427070" w:rsidRPr="00E803CA" w:rsidRDefault="00427070" w:rsidP="00427070">
            <w:pPr>
              <w:pStyle w:val="Text"/>
              <w:spacing w:after="0"/>
              <w:jc w:val="right"/>
              <w:rPr>
                <w:szCs w:val="22"/>
              </w:rPr>
            </w:pPr>
          </w:p>
        </w:tc>
        <w:tc>
          <w:tcPr>
            <w:tcW w:w="1191" w:type="dxa"/>
          </w:tcPr>
          <w:p w14:paraId="7F3ECD4E" w14:textId="363D88A3" w:rsidR="00427070" w:rsidRPr="00E803CA" w:rsidRDefault="00427070" w:rsidP="00427070">
            <w:pPr>
              <w:pStyle w:val="Text"/>
              <w:spacing w:after="0"/>
              <w:jc w:val="right"/>
              <w:rPr>
                <w:szCs w:val="22"/>
              </w:rPr>
            </w:pPr>
            <w:r w:rsidRPr="00E803CA">
              <w:rPr>
                <w:szCs w:val="22"/>
              </w:rPr>
              <w:t>(7,012)</w:t>
            </w:r>
          </w:p>
        </w:tc>
      </w:tr>
      <w:tr w:rsidR="00427070" w:rsidRPr="00E803CA" w14:paraId="4E84B542" w14:textId="77777777" w:rsidTr="001B026F">
        <w:trPr>
          <w:gridAfter w:val="2"/>
          <w:wAfter w:w="164" w:type="dxa"/>
          <w:trHeight w:val="229"/>
        </w:trPr>
        <w:tc>
          <w:tcPr>
            <w:tcW w:w="4928" w:type="dxa"/>
            <w:gridSpan w:val="7"/>
          </w:tcPr>
          <w:p w14:paraId="3D8AD39A" w14:textId="77777777" w:rsidR="00427070" w:rsidRPr="00E803CA" w:rsidRDefault="00427070" w:rsidP="00427070">
            <w:pPr>
              <w:pStyle w:val="Text"/>
              <w:spacing w:after="0"/>
              <w:ind w:left="-108"/>
              <w:rPr>
                <w:szCs w:val="22"/>
                <w:lang w:eastAsia="en-GB"/>
              </w:rPr>
            </w:pPr>
          </w:p>
        </w:tc>
        <w:tc>
          <w:tcPr>
            <w:tcW w:w="856" w:type="dxa"/>
            <w:gridSpan w:val="2"/>
            <w:shd w:val="clear" w:color="auto" w:fill="auto"/>
          </w:tcPr>
          <w:p w14:paraId="11E485A7" w14:textId="77777777" w:rsidR="00427070" w:rsidRPr="00E803CA" w:rsidRDefault="00427070" w:rsidP="00427070">
            <w:pPr>
              <w:pStyle w:val="Text"/>
              <w:spacing w:after="0"/>
              <w:ind w:left="-648" w:firstLine="648"/>
              <w:jc w:val="center"/>
              <w:rPr>
                <w:szCs w:val="22"/>
              </w:rPr>
            </w:pPr>
          </w:p>
        </w:tc>
        <w:tc>
          <w:tcPr>
            <w:tcW w:w="1960" w:type="dxa"/>
            <w:gridSpan w:val="2"/>
            <w:tcBorders>
              <w:top w:val="single" w:sz="4" w:space="0" w:color="auto"/>
            </w:tcBorders>
          </w:tcPr>
          <w:p w14:paraId="06E80ED2" w14:textId="77777777" w:rsidR="00427070" w:rsidRPr="00AA583E" w:rsidRDefault="00427070" w:rsidP="00427070">
            <w:pPr>
              <w:pStyle w:val="Text"/>
              <w:spacing w:after="0"/>
              <w:jc w:val="right"/>
              <w:rPr>
                <w:szCs w:val="22"/>
              </w:rPr>
            </w:pPr>
          </w:p>
        </w:tc>
        <w:tc>
          <w:tcPr>
            <w:tcW w:w="399" w:type="dxa"/>
            <w:gridSpan w:val="2"/>
          </w:tcPr>
          <w:p w14:paraId="0F8D35C8" w14:textId="77777777" w:rsidR="00427070" w:rsidRPr="00E803CA" w:rsidRDefault="00427070" w:rsidP="00427070">
            <w:pPr>
              <w:pStyle w:val="Text"/>
              <w:spacing w:after="0"/>
              <w:jc w:val="right"/>
              <w:rPr>
                <w:szCs w:val="22"/>
              </w:rPr>
            </w:pPr>
          </w:p>
        </w:tc>
        <w:tc>
          <w:tcPr>
            <w:tcW w:w="1191" w:type="dxa"/>
            <w:tcBorders>
              <w:top w:val="single" w:sz="4" w:space="0" w:color="auto"/>
            </w:tcBorders>
          </w:tcPr>
          <w:p w14:paraId="3754E291" w14:textId="77777777" w:rsidR="00427070" w:rsidRPr="00E803CA" w:rsidRDefault="00427070" w:rsidP="00427070">
            <w:pPr>
              <w:pStyle w:val="Text"/>
              <w:spacing w:after="0"/>
              <w:jc w:val="right"/>
              <w:rPr>
                <w:szCs w:val="22"/>
              </w:rPr>
            </w:pPr>
          </w:p>
        </w:tc>
      </w:tr>
      <w:tr w:rsidR="00427070" w:rsidRPr="00E803CA" w14:paraId="20FFB4D2" w14:textId="77777777" w:rsidTr="001B026F">
        <w:trPr>
          <w:gridAfter w:val="2"/>
          <w:wAfter w:w="164" w:type="dxa"/>
          <w:trHeight w:val="229"/>
        </w:trPr>
        <w:tc>
          <w:tcPr>
            <w:tcW w:w="4928" w:type="dxa"/>
            <w:gridSpan w:val="7"/>
          </w:tcPr>
          <w:p w14:paraId="542A83FC" w14:textId="55A88E6F" w:rsidR="00427070" w:rsidRPr="00E803CA" w:rsidRDefault="00427070" w:rsidP="00427070">
            <w:pPr>
              <w:pStyle w:val="Text"/>
              <w:spacing w:after="0"/>
              <w:ind w:left="-108"/>
              <w:rPr>
                <w:szCs w:val="22"/>
                <w:lang w:eastAsia="en-GB"/>
              </w:rPr>
            </w:pPr>
            <w:r w:rsidRPr="00E803CA">
              <w:rPr>
                <w:szCs w:val="22"/>
                <w:lang w:eastAsia="en-GB"/>
              </w:rPr>
              <w:t xml:space="preserve">Total comprehensive </w:t>
            </w:r>
            <w:r w:rsidR="006643A1">
              <w:rPr>
                <w:szCs w:val="22"/>
                <w:lang w:eastAsia="en-GB"/>
              </w:rPr>
              <w:t>surplus</w:t>
            </w:r>
            <w:r w:rsidRPr="00E803CA">
              <w:rPr>
                <w:szCs w:val="22"/>
                <w:lang w:eastAsia="en-GB"/>
              </w:rPr>
              <w:t xml:space="preserve"> for the year</w:t>
            </w:r>
          </w:p>
        </w:tc>
        <w:tc>
          <w:tcPr>
            <w:tcW w:w="856" w:type="dxa"/>
            <w:gridSpan w:val="2"/>
            <w:shd w:val="clear" w:color="auto" w:fill="auto"/>
          </w:tcPr>
          <w:p w14:paraId="7E1640AC" w14:textId="77777777" w:rsidR="00427070" w:rsidRPr="00E803CA" w:rsidRDefault="00427070" w:rsidP="00427070">
            <w:pPr>
              <w:pStyle w:val="Text"/>
              <w:spacing w:after="0"/>
              <w:ind w:left="-648" w:firstLine="648"/>
              <w:jc w:val="center"/>
              <w:rPr>
                <w:szCs w:val="22"/>
              </w:rPr>
            </w:pPr>
          </w:p>
        </w:tc>
        <w:tc>
          <w:tcPr>
            <w:tcW w:w="1960" w:type="dxa"/>
            <w:gridSpan w:val="2"/>
            <w:tcBorders>
              <w:bottom w:val="double" w:sz="4" w:space="0" w:color="auto"/>
            </w:tcBorders>
          </w:tcPr>
          <w:p w14:paraId="36BBF66E" w14:textId="30D41EB3" w:rsidR="00427070" w:rsidRPr="00AA583E" w:rsidRDefault="00882535" w:rsidP="00427070">
            <w:pPr>
              <w:pStyle w:val="Text"/>
              <w:spacing w:after="0"/>
              <w:jc w:val="right"/>
              <w:rPr>
                <w:szCs w:val="22"/>
              </w:rPr>
            </w:pPr>
            <w:r w:rsidRPr="00AA583E">
              <w:rPr>
                <w:szCs w:val="22"/>
              </w:rPr>
              <w:t>27,</w:t>
            </w:r>
            <w:r w:rsidR="00B922A3" w:rsidRPr="00AA583E">
              <w:rPr>
                <w:szCs w:val="22"/>
              </w:rPr>
              <w:t>633</w:t>
            </w:r>
          </w:p>
        </w:tc>
        <w:tc>
          <w:tcPr>
            <w:tcW w:w="399" w:type="dxa"/>
            <w:gridSpan w:val="2"/>
          </w:tcPr>
          <w:p w14:paraId="63E99BD2" w14:textId="77777777" w:rsidR="00427070" w:rsidRPr="00E803CA" w:rsidRDefault="00427070" w:rsidP="00427070">
            <w:pPr>
              <w:pStyle w:val="Text"/>
              <w:spacing w:after="0"/>
              <w:jc w:val="right"/>
              <w:rPr>
                <w:szCs w:val="22"/>
              </w:rPr>
            </w:pPr>
          </w:p>
        </w:tc>
        <w:tc>
          <w:tcPr>
            <w:tcW w:w="1191" w:type="dxa"/>
            <w:tcBorders>
              <w:bottom w:val="double" w:sz="4" w:space="0" w:color="auto"/>
            </w:tcBorders>
          </w:tcPr>
          <w:p w14:paraId="140BBA88" w14:textId="3A96261A" w:rsidR="00427070" w:rsidRPr="00E803CA" w:rsidRDefault="00427070" w:rsidP="00427070">
            <w:pPr>
              <w:pStyle w:val="Text"/>
              <w:spacing w:after="0"/>
              <w:jc w:val="right"/>
              <w:rPr>
                <w:szCs w:val="22"/>
              </w:rPr>
            </w:pPr>
            <w:r w:rsidRPr="00E803CA">
              <w:rPr>
                <w:szCs w:val="22"/>
              </w:rPr>
              <w:t>1,832</w:t>
            </w:r>
          </w:p>
        </w:tc>
      </w:tr>
      <w:tr w:rsidR="002855B7" w:rsidRPr="00E803CA" w14:paraId="54DF910B" w14:textId="77777777" w:rsidTr="006761F4">
        <w:trPr>
          <w:gridAfter w:val="2"/>
          <w:wAfter w:w="164" w:type="dxa"/>
          <w:trHeight w:val="229"/>
        </w:trPr>
        <w:tc>
          <w:tcPr>
            <w:tcW w:w="4928" w:type="dxa"/>
            <w:gridSpan w:val="7"/>
          </w:tcPr>
          <w:p w14:paraId="0CC8A5B9" w14:textId="77777777" w:rsidR="002855B7" w:rsidRPr="00E803CA" w:rsidRDefault="002855B7" w:rsidP="002855B7">
            <w:pPr>
              <w:pStyle w:val="Text"/>
              <w:tabs>
                <w:tab w:val="left" w:pos="42"/>
              </w:tabs>
              <w:spacing w:after="0"/>
              <w:ind w:left="-108"/>
              <w:rPr>
                <w:szCs w:val="22"/>
                <w:lang w:eastAsia="en-GB"/>
              </w:rPr>
            </w:pPr>
          </w:p>
        </w:tc>
        <w:tc>
          <w:tcPr>
            <w:tcW w:w="856" w:type="dxa"/>
            <w:gridSpan w:val="2"/>
            <w:shd w:val="clear" w:color="auto" w:fill="auto"/>
          </w:tcPr>
          <w:p w14:paraId="088A5DFC" w14:textId="77777777" w:rsidR="002855B7" w:rsidRPr="00E803CA" w:rsidRDefault="002855B7" w:rsidP="002855B7">
            <w:pPr>
              <w:pStyle w:val="Text"/>
              <w:spacing w:after="0"/>
              <w:ind w:left="-648" w:firstLine="648"/>
              <w:jc w:val="center"/>
              <w:rPr>
                <w:szCs w:val="22"/>
              </w:rPr>
            </w:pPr>
          </w:p>
        </w:tc>
        <w:tc>
          <w:tcPr>
            <w:tcW w:w="1960" w:type="dxa"/>
            <w:gridSpan w:val="2"/>
            <w:tcBorders>
              <w:top w:val="double" w:sz="4" w:space="0" w:color="auto"/>
            </w:tcBorders>
          </w:tcPr>
          <w:p w14:paraId="3F4453BB" w14:textId="77777777" w:rsidR="002855B7" w:rsidRPr="00E803CA" w:rsidRDefault="002855B7" w:rsidP="002855B7">
            <w:pPr>
              <w:pStyle w:val="Text"/>
              <w:spacing w:after="0"/>
              <w:jc w:val="right"/>
              <w:rPr>
                <w:szCs w:val="22"/>
              </w:rPr>
            </w:pPr>
          </w:p>
        </w:tc>
        <w:tc>
          <w:tcPr>
            <w:tcW w:w="399" w:type="dxa"/>
            <w:gridSpan w:val="2"/>
          </w:tcPr>
          <w:p w14:paraId="3B4CF5D7" w14:textId="77777777" w:rsidR="002855B7" w:rsidRPr="00E803CA" w:rsidRDefault="002855B7" w:rsidP="002855B7">
            <w:pPr>
              <w:pStyle w:val="Text"/>
              <w:spacing w:after="0"/>
              <w:jc w:val="right"/>
              <w:rPr>
                <w:szCs w:val="22"/>
              </w:rPr>
            </w:pPr>
          </w:p>
        </w:tc>
        <w:tc>
          <w:tcPr>
            <w:tcW w:w="1191" w:type="dxa"/>
            <w:tcBorders>
              <w:top w:val="double" w:sz="4" w:space="0" w:color="auto"/>
            </w:tcBorders>
          </w:tcPr>
          <w:p w14:paraId="128008D5" w14:textId="77777777" w:rsidR="002855B7" w:rsidRPr="00E803CA" w:rsidRDefault="002855B7" w:rsidP="002855B7">
            <w:pPr>
              <w:pStyle w:val="Text"/>
              <w:spacing w:after="0"/>
              <w:jc w:val="right"/>
              <w:rPr>
                <w:szCs w:val="22"/>
              </w:rPr>
            </w:pPr>
          </w:p>
        </w:tc>
      </w:tr>
      <w:tr w:rsidR="002855B7" w:rsidRPr="00E803CA" w14:paraId="0A0638A4" w14:textId="77777777" w:rsidTr="006761F4">
        <w:trPr>
          <w:gridAfter w:val="2"/>
          <w:wAfter w:w="164" w:type="dxa"/>
          <w:trHeight w:val="226"/>
        </w:trPr>
        <w:tc>
          <w:tcPr>
            <w:tcW w:w="4928" w:type="dxa"/>
            <w:gridSpan w:val="7"/>
          </w:tcPr>
          <w:p w14:paraId="1FCC3FA5" w14:textId="77777777" w:rsidR="002855B7" w:rsidRPr="00E803CA" w:rsidRDefault="002855B7" w:rsidP="002855B7">
            <w:pPr>
              <w:pStyle w:val="Text"/>
              <w:spacing w:after="0"/>
              <w:rPr>
                <w:szCs w:val="22"/>
              </w:rPr>
            </w:pPr>
          </w:p>
        </w:tc>
        <w:tc>
          <w:tcPr>
            <w:tcW w:w="856" w:type="dxa"/>
            <w:gridSpan w:val="2"/>
          </w:tcPr>
          <w:p w14:paraId="79B25EF3" w14:textId="77777777" w:rsidR="002855B7" w:rsidRPr="00E803CA" w:rsidRDefault="002855B7" w:rsidP="002855B7">
            <w:pPr>
              <w:pStyle w:val="Text"/>
              <w:spacing w:after="0"/>
              <w:ind w:left="-648" w:firstLine="648"/>
              <w:jc w:val="center"/>
              <w:rPr>
                <w:szCs w:val="22"/>
              </w:rPr>
            </w:pPr>
          </w:p>
        </w:tc>
        <w:tc>
          <w:tcPr>
            <w:tcW w:w="1960" w:type="dxa"/>
            <w:gridSpan w:val="2"/>
          </w:tcPr>
          <w:p w14:paraId="4AF19174" w14:textId="77777777" w:rsidR="002855B7" w:rsidRPr="00E803CA" w:rsidRDefault="002855B7" w:rsidP="002855B7">
            <w:pPr>
              <w:pStyle w:val="Text"/>
              <w:spacing w:after="0"/>
              <w:jc w:val="right"/>
              <w:rPr>
                <w:szCs w:val="22"/>
              </w:rPr>
            </w:pPr>
          </w:p>
        </w:tc>
        <w:tc>
          <w:tcPr>
            <w:tcW w:w="399" w:type="dxa"/>
            <w:gridSpan w:val="2"/>
          </w:tcPr>
          <w:p w14:paraId="3065EEAD" w14:textId="77777777" w:rsidR="002855B7" w:rsidRPr="00E803CA" w:rsidRDefault="002855B7" w:rsidP="002855B7">
            <w:pPr>
              <w:pStyle w:val="Text"/>
              <w:spacing w:after="0"/>
              <w:jc w:val="right"/>
              <w:rPr>
                <w:szCs w:val="22"/>
              </w:rPr>
            </w:pPr>
          </w:p>
        </w:tc>
        <w:tc>
          <w:tcPr>
            <w:tcW w:w="1191" w:type="dxa"/>
          </w:tcPr>
          <w:p w14:paraId="51822D07" w14:textId="77777777" w:rsidR="002855B7" w:rsidRPr="00E803CA" w:rsidRDefault="002855B7" w:rsidP="002855B7">
            <w:pPr>
              <w:pStyle w:val="Text"/>
              <w:spacing w:after="0"/>
              <w:jc w:val="right"/>
              <w:rPr>
                <w:szCs w:val="22"/>
              </w:rPr>
            </w:pPr>
          </w:p>
        </w:tc>
      </w:tr>
      <w:tr w:rsidR="002855B7" w:rsidRPr="00E803CA" w14:paraId="7A8D4AE9" w14:textId="77777777" w:rsidTr="006761F4">
        <w:trPr>
          <w:trHeight w:val="226"/>
        </w:trPr>
        <w:tc>
          <w:tcPr>
            <w:tcW w:w="4928" w:type="dxa"/>
            <w:gridSpan w:val="7"/>
            <w:shd w:val="clear" w:color="auto" w:fill="auto"/>
            <w:vAlign w:val="bottom"/>
          </w:tcPr>
          <w:p w14:paraId="2BB7AFEA" w14:textId="77777777" w:rsidR="002855B7" w:rsidRPr="00E803CA" w:rsidRDefault="002855B7" w:rsidP="002855B7">
            <w:pPr>
              <w:pStyle w:val="Text"/>
              <w:tabs>
                <w:tab w:val="left" w:pos="2340"/>
              </w:tabs>
              <w:spacing w:after="0"/>
              <w:rPr>
                <w:szCs w:val="22"/>
              </w:rPr>
            </w:pPr>
          </w:p>
        </w:tc>
        <w:tc>
          <w:tcPr>
            <w:tcW w:w="856" w:type="dxa"/>
            <w:gridSpan w:val="2"/>
            <w:shd w:val="clear" w:color="auto" w:fill="auto"/>
            <w:vAlign w:val="bottom"/>
          </w:tcPr>
          <w:p w14:paraId="40E470A9" w14:textId="77777777" w:rsidR="002855B7" w:rsidRPr="00E803CA" w:rsidRDefault="002855B7" w:rsidP="002855B7">
            <w:pPr>
              <w:pStyle w:val="Text"/>
              <w:spacing w:after="0"/>
              <w:ind w:left="-648" w:firstLine="648"/>
              <w:jc w:val="center"/>
              <w:rPr>
                <w:szCs w:val="22"/>
              </w:rPr>
            </w:pPr>
          </w:p>
        </w:tc>
        <w:tc>
          <w:tcPr>
            <w:tcW w:w="1960" w:type="dxa"/>
            <w:gridSpan w:val="2"/>
            <w:shd w:val="clear" w:color="auto" w:fill="auto"/>
            <w:vAlign w:val="bottom"/>
          </w:tcPr>
          <w:p w14:paraId="16C2D645" w14:textId="77777777" w:rsidR="002855B7" w:rsidRPr="00E803CA" w:rsidRDefault="002855B7" w:rsidP="002855B7">
            <w:pPr>
              <w:pStyle w:val="Text"/>
              <w:spacing w:after="0"/>
              <w:jc w:val="right"/>
              <w:rPr>
                <w:szCs w:val="22"/>
              </w:rPr>
            </w:pPr>
          </w:p>
        </w:tc>
        <w:tc>
          <w:tcPr>
            <w:tcW w:w="399" w:type="dxa"/>
            <w:gridSpan w:val="2"/>
            <w:shd w:val="clear" w:color="auto" w:fill="auto"/>
            <w:vAlign w:val="bottom"/>
          </w:tcPr>
          <w:p w14:paraId="4BA2C47F" w14:textId="77777777" w:rsidR="002855B7" w:rsidRPr="00E803CA" w:rsidRDefault="002855B7" w:rsidP="002855B7">
            <w:pPr>
              <w:pStyle w:val="Text"/>
              <w:spacing w:after="0"/>
              <w:jc w:val="right"/>
              <w:rPr>
                <w:szCs w:val="22"/>
              </w:rPr>
            </w:pPr>
          </w:p>
        </w:tc>
        <w:tc>
          <w:tcPr>
            <w:tcW w:w="1355" w:type="dxa"/>
            <w:gridSpan w:val="3"/>
            <w:shd w:val="clear" w:color="auto" w:fill="auto"/>
            <w:vAlign w:val="bottom"/>
          </w:tcPr>
          <w:p w14:paraId="3E591527" w14:textId="77777777" w:rsidR="002855B7" w:rsidRPr="00E803CA" w:rsidRDefault="002855B7" w:rsidP="002855B7">
            <w:pPr>
              <w:pStyle w:val="Text"/>
              <w:spacing w:after="0"/>
              <w:jc w:val="right"/>
              <w:rPr>
                <w:szCs w:val="22"/>
              </w:rPr>
            </w:pPr>
          </w:p>
        </w:tc>
      </w:tr>
      <w:tr w:rsidR="002855B7" w:rsidRPr="00E803CA" w14:paraId="7B832353" w14:textId="77777777" w:rsidTr="006761F4">
        <w:tblPrEx>
          <w:tblLook w:val="04A0" w:firstRow="1" w:lastRow="0" w:firstColumn="1" w:lastColumn="0" w:noHBand="0" w:noVBand="1"/>
        </w:tblPrEx>
        <w:trPr>
          <w:trHeight w:val="10"/>
        </w:trPr>
        <w:tc>
          <w:tcPr>
            <w:tcW w:w="948" w:type="dxa"/>
            <w:shd w:val="clear" w:color="auto" w:fill="auto"/>
            <w:noWrap/>
            <w:vAlign w:val="bottom"/>
          </w:tcPr>
          <w:p w14:paraId="197FD35E" w14:textId="77777777" w:rsidR="002855B7" w:rsidRPr="00E803CA" w:rsidRDefault="002855B7" w:rsidP="002855B7">
            <w:pPr>
              <w:rPr>
                <w:b/>
                <w:bCs/>
                <w:sz w:val="22"/>
                <w:szCs w:val="22"/>
              </w:rPr>
            </w:pPr>
          </w:p>
        </w:tc>
        <w:tc>
          <w:tcPr>
            <w:tcW w:w="950" w:type="dxa"/>
            <w:shd w:val="clear" w:color="auto" w:fill="auto"/>
            <w:noWrap/>
            <w:vAlign w:val="bottom"/>
          </w:tcPr>
          <w:p w14:paraId="57DC8767" w14:textId="77777777" w:rsidR="002855B7" w:rsidRPr="00E803CA" w:rsidRDefault="002855B7" w:rsidP="002855B7">
            <w:pPr>
              <w:rPr>
                <w:sz w:val="22"/>
                <w:szCs w:val="22"/>
              </w:rPr>
            </w:pPr>
          </w:p>
        </w:tc>
        <w:tc>
          <w:tcPr>
            <w:tcW w:w="948" w:type="dxa"/>
            <w:shd w:val="clear" w:color="auto" w:fill="auto"/>
            <w:noWrap/>
            <w:vAlign w:val="bottom"/>
          </w:tcPr>
          <w:p w14:paraId="4243547B" w14:textId="77777777" w:rsidR="002855B7" w:rsidRPr="00E803CA" w:rsidRDefault="002855B7" w:rsidP="002855B7">
            <w:pPr>
              <w:rPr>
                <w:sz w:val="22"/>
                <w:szCs w:val="22"/>
              </w:rPr>
            </w:pPr>
          </w:p>
        </w:tc>
        <w:tc>
          <w:tcPr>
            <w:tcW w:w="514" w:type="dxa"/>
            <w:shd w:val="clear" w:color="auto" w:fill="auto"/>
            <w:noWrap/>
            <w:vAlign w:val="bottom"/>
          </w:tcPr>
          <w:p w14:paraId="2C0CD943" w14:textId="77777777" w:rsidR="002855B7" w:rsidRPr="00E803CA" w:rsidRDefault="002855B7" w:rsidP="002855B7">
            <w:pPr>
              <w:rPr>
                <w:sz w:val="22"/>
                <w:szCs w:val="22"/>
              </w:rPr>
            </w:pPr>
          </w:p>
        </w:tc>
        <w:tc>
          <w:tcPr>
            <w:tcW w:w="376" w:type="dxa"/>
            <w:shd w:val="clear" w:color="auto" w:fill="auto"/>
            <w:noWrap/>
            <w:vAlign w:val="bottom"/>
          </w:tcPr>
          <w:p w14:paraId="03F7AC5F" w14:textId="77777777" w:rsidR="002855B7" w:rsidRPr="00E803CA" w:rsidRDefault="002855B7" w:rsidP="002855B7">
            <w:pPr>
              <w:rPr>
                <w:sz w:val="22"/>
                <w:szCs w:val="22"/>
              </w:rPr>
            </w:pPr>
          </w:p>
        </w:tc>
        <w:tc>
          <w:tcPr>
            <w:tcW w:w="949" w:type="dxa"/>
            <w:shd w:val="clear" w:color="auto" w:fill="auto"/>
            <w:noWrap/>
            <w:vAlign w:val="bottom"/>
          </w:tcPr>
          <w:p w14:paraId="4F9C617F" w14:textId="77777777" w:rsidR="002855B7" w:rsidRPr="00E803CA" w:rsidRDefault="002855B7" w:rsidP="002855B7">
            <w:pPr>
              <w:rPr>
                <w:sz w:val="22"/>
                <w:szCs w:val="22"/>
              </w:rPr>
            </w:pPr>
          </w:p>
        </w:tc>
        <w:tc>
          <w:tcPr>
            <w:tcW w:w="929" w:type="dxa"/>
            <w:gridSpan w:val="2"/>
            <w:shd w:val="clear" w:color="auto" w:fill="auto"/>
            <w:noWrap/>
            <w:vAlign w:val="bottom"/>
          </w:tcPr>
          <w:p w14:paraId="3D552CB0" w14:textId="77777777" w:rsidR="002855B7" w:rsidRPr="00E803CA" w:rsidRDefault="002855B7" w:rsidP="002855B7">
            <w:pPr>
              <w:rPr>
                <w:sz w:val="22"/>
                <w:szCs w:val="22"/>
              </w:rPr>
            </w:pPr>
          </w:p>
        </w:tc>
        <w:tc>
          <w:tcPr>
            <w:tcW w:w="1469" w:type="dxa"/>
            <w:gridSpan w:val="2"/>
            <w:shd w:val="clear" w:color="auto" w:fill="auto"/>
            <w:noWrap/>
            <w:vAlign w:val="bottom"/>
          </w:tcPr>
          <w:p w14:paraId="07A036D4" w14:textId="77777777" w:rsidR="002855B7" w:rsidRPr="00E803CA" w:rsidRDefault="002855B7" w:rsidP="002855B7">
            <w:pPr>
              <w:rPr>
                <w:sz w:val="22"/>
                <w:szCs w:val="22"/>
              </w:rPr>
            </w:pPr>
          </w:p>
        </w:tc>
        <w:tc>
          <w:tcPr>
            <w:tcW w:w="706" w:type="dxa"/>
            <w:gridSpan w:val="2"/>
            <w:shd w:val="clear" w:color="auto" w:fill="auto"/>
            <w:noWrap/>
            <w:vAlign w:val="bottom"/>
          </w:tcPr>
          <w:p w14:paraId="28642328" w14:textId="77777777" w:rsidR="002855B7" w:rsidRPr="00E803CA" w:rsidRDefault="002855B7" w:rsidP="002855B7">
            <w:pPr>
              <w:rPr>
                <w:sz w:val="22"/>
                <w:szCs w:val="22"/>
              </w:rPr>
            </w:pPr>
          </w:p>
        </w:tc>
        <w:tc>
          <w:tcPr>
            <w:tcW w:w="1709" w:type="dxa"/>
            <w:gridSpan w:val="4"/>
            <w:shd w:val="clear" w:color="auto" w:fill="auto"/>
            <w:noWrap/>
            <w:vAlign w:val="bottom"/>
          </w:tcPr>
          <w:p w14:paraId="24A57B97" w14:textId="77777777" w:rsidR="002855B7" w:rsidRPr="00E803CA" w:rsidRDefault="002855B7" w:rsidP="002855B7">
            <w:pPr>
              <w:rPr>
                <w:sz w:val="22"/>
                <w:szCs w:val="22"/>
              </w:rPr>
            </w:pPr>
          </w:p>
        </w:tc>
      </w:tr>
    </w:tbl>
    <w:p w14:paraId="55B25AC9" w14:textId="77777777" w:rsidR="00DB51C0" w:rsidRPr="00E803CA" w:rsidRDefault="00DB51C0" w:rsidP="00822A08">
      <w:pPr>
        <w:pStyle w:val="ACText"/>
        <w:spacing w:before="0"/>
        <w:rPr>
          <w:sz w:val="22"/>
          <w:szCs w:val="22"/>
        </w:rPr>
      </w:pPr>
      <w:r w:rsidRPr="00E803CA">
        <w:rPr>
          <w:sz w:val="22"/>
          <w:szCs w:val="22"/>
        </w:rPr>
        <w:t xml:space="preserve">All amounts relate to continuing operations.  </w:t>
      </w:r>
    </w:p>
    <w:p w14:paraId="3651BE6A" w14:textId="77777777" w:rsidR="00DB51C0" w:rsidRPr="00E803CA" w:rsidRDefault="00DB51C0" w:rsidP="00822A08">
      <w:pPr>
        <w:jc w:val="both"/>
        <w:rPr>
          <w:sz w:val="22"/>
          <w:szCs w:val="22"/>
        </w:rPr>
      </w:pPr>
    </w:p>
    <w:p w14:paraId="7902C9D6" w14:textId="37836F0D" w:rsidR="00DB51C0" w:rsidRPr="00E803CA" w:rsidRDefault="00DB51C0" w:rsidP="00822A08">
      <w:pPr>
        <w:jc w:val="both"/>
        <w:rPr>
          <w:sz w:val="22"/>
          <w:szCs w:val="22"/>
        </w:rPr>
      </w:pPr>
      <w:r w:rsidRPr="00E803CA">
        <w:rPr>
          <w:sz w:val="22"/>
          <w:szCs w:val="22"/>
        </w:rPr>
        <w:t xml:space="preserve">The notes on pages </w:t>
      </w:r>
      <w:r w:rsidR="00F66B00" w:rsidRPr="00E803CA">
        <w:rPr>
          <w:sz w:val="22"/>
          <w:szCs w:val="22"/>
        </w:rPr>
        <w:t>2</w:t>
      </w:r>
      <w:r w:rsidR="007D0D2A">
        <w:rPr>
          <w:sz w:val="22"/>
          <w:szCs w:val="22"/>
        </w:rPr>
        <w:t>1</w:t>
      </w:r>
      <w:r w:rsidRPr="00E803CA">
        <w:rPr>
          <w:sz w:val="22"/>
          <w:szCs w:val="22"/>
        </w:rPr>
        <w:t xml:space="preserve"> to</w:t>
      </w:r>
      <w:r w:rsidR="007266A1" w:rsidRPr="00E803CA">
        <w:rPr>
          <w:sz w:val="22"/>
          <w:szCs w:val="22"/>
        </w:rPr>
        <w:t xml:space="preserve"> </w:t>
      </w:r>
      <w:r w:rsidR="004E1648" w:rsidRPr="00E803CA">
        <w:rPr>
          <w:sz w:val="22"/>
          <w:szCs w:val="22"/>
        </w:rPr>
        <w:t>4</w:t>
      </w:r>
      <w:r w:rsidR="007D0D2A">
        <w:rPr>
          <w:sz w:val="22"/>
          <w:szCs w:val="22"/>
        </w:rPr>
        <w:t>2</w:t>
      </w:r>
      <w:r w:rsidR="00174C3F" w:rsidRPr="00E803CA">
        <w:rPr>
          <w:sz w:val="22"/>
          <w:szCs w:val="22"/>
        </w:rPr>
        <w:t xml:space="preserve"> </w:t>
      </w:r>
      <w:r w:rsidRPr="00E803CA">
        <w:rPr>
          <w:sz w:val="22"/>
          <w:szCs w:val="22"/>
        </w:rPr>
        <w:t>form part of these financial statements.</w:t>
      </w:r>
    </w:p>
    <w:p w14:paraId="7B061511" w14:textId="77777777" w:rsidR="00DB51C0" w:rsidRPr="00E803CA" w:rsidRDefault="00DB51C0" w:rsidP="00DB51C0">
      <w:pPr>
        <w:pStyle w:val="ACText"/>
        <w:rPr>
          <w:sz w:val="22"/>
          <w:szCs w:val="22"/>
        </w:rPr>
      </w:pPr>
    </w:p>
    <w:p w14:paraId="336336F8" w14:textId="77777777" w:rsidR="001B44BF" w:rsidRPr="004D388B" w:rsidRDefault="001B44BF">
      <w:pPr>
        <w:rPr>
          <w:highlight w:val="yellow"/>
        </w:rPr>
      </w:pPr>
    </w:p>
    <w:p w14:paraId="0040A370" w14:textId="77777777" w:rsidR="00BD725E" w:rsidRDefault="00BD725E">
      <w:pPr>
        <w:rPr>
          <w:highlight w:val="yellow"/>
        </w:rPr>
      </w:pPr>
    </w:p>
    <w:p w14:paraId="4ACA9CE9" w14:textId="77777777" w:rsidR="003D5898" w:rsidRDefault="003D5898">
      <w:pPr>
        <w:rPr>
          <w:b/>
        </w:rPr>
      </w:pPr>
    </w:p>
    <w:p w14:paraId="59F26A57" w14:textId="77777777" w:rsidR="003D5898" w:rsidRDefault="003D5898">
      <w:pPr>
        <w:rPr>
          <w:b/>
        </w:rPr>
      </w:pPr>
    </w:p>
    <w:p w14:paraId="43E66FB6" w14:textId="77777777" w:rsidR="003D5898" w:rsidRDefault="003D5898">
      <w:pPr>
        <w:rPr>
          <w:b/>
        </w:rPr>
      </w:pPr>
    </w:p>
    <w:p w14:paraId="7A58665D" w14:textId="77777777" w:rsidR="00D969A9" w:rsidRDefault="00D969A9" w:rsidP="005645DB">
      <w:pPr>
        <w:rPr>
          <w:b/>
        </w:rPr>
      </w:pPr>
    </w:p>
    <w:p w14:paraId="3F7017CA" w14:textId="77777777" w:rsidR="00D969A9" w:rsidRDefault="00D969A9" w:rsidP="005645DB">
      <w:pPr>
        <w:rPr>
          <w:b/>
        </w:rPr>
      </w:pPr>
    </w:p>
    <w:p w14:paraId="172067DC" w14:textId="77777777" w:rsidR="00D969A9" w:rsidRDefault="00D969A9" w:rsidP="005645DB">
      <w:pPr>
        <w:rPr>
          <w:b/>
        </w:rPr>
      </w:pPr>
    </w:p>
    <w:p w14:paraId="306E6EC5" w14:textId="77777777" w:rsidR="00D969A9" w:rsidRDefault="00D969A9" w:rsidP="005645DB">
      <w:pPr>
        <w:rPr>
          <w:b/>
        </w:rPr>
      </w:pPr>
    </w:p>
    <w:p w14:paraId="61E47B34" w14:textId="77777777" w:rsidR="00D969A9" w:rsidRDefault="00D969A9" w:rsidP="005645DB">
      <w:pPr>
        <w:rPr>
          <w:b/>
        </w:rPr>
      </w:pPr>
    </w:p>
    <w:p w14:paraId="5572B93B" w14:textId="77777777" w:rsidR="00D969A9" w:rsidRDefault="00D969A9" w:rsidP="005645DB">
      <w:pPr>
        <w:rPr>
          <w:b/>
        </w:rPr>
      </w:pPr>
    </w:p>
    <w:p w14:paraId="7A9380D9" w14:textId="77777777" w:rsidR="00D969A9" w:rsidRDefault="00D969A9" w:rsidP="005645DB">
      <w:pPr>
        <w:rPr>
          <w:b/>
        </w:rPr>
      </w:pPr>
    </w:p>
    <w:p w14:paraId="603D5516" w14:textId="77777777" w:rsidR="00D969A9" w:rsidRDefault="00D969A9" w:rsidP="005645DB">
      <w:pPr>
        <w:rPr>
          <w:b/>
        </w:rPr>
      </w:pPr>
    </w:p>
    <w:p w14:paraId="76F8C5A0" w14:textId="77777777" w:rsidR="0004296D" w:rsidRDefault="0004296D">
      <w:pPr>
        <w:rPr>
          <w:b/>
          <w:sz w:val="22"/>
          <w:szCs w:val="22"/>
        </w:rPr>
      </w:pPr>
      <w:r>
        <w:rPr>
          <w:b/>
          <w:sz w:val="22"/>
          <w:szCs w:val="22"/>
        </w:rPr>
        <w:br w:type="page"/>
      </w:r>
    </w:p>
    <w:p w14:paraId="15568A50" w14:textId="60D8A748" w:rsidR="005645DB" w:rsidRPr="00D969A9" w:rsidRDefault="005645DB" w:rsidP="005645DB">
      <w:pPr>
        <w:rPr>
          <w:b/>
        </w:rPr>
      </w:pPr>
      <w:r w:rsidRPr="00E46CC9">
        <w:rPr>
          <w:b/>
          <w:sz w:val="22"/>
          <w:szCs w:val="22"/>
        </w:rPr>
        <w:lastRenderedPageBreak/>
        <w:t>STATEMENT OF CHANGES IN RESERVES FOR THE YEAR ENDED 31 MARCH</w:t>
      </w:r>
      <w:r w:rsidR="00D240AC" w:rsidRPr="00E46CC9">
        <w:rPr>
          <w:b/>
          <w:sz w:val="22"/>
          <w:szCs w:val="22"/>
        </w:rPr>
        <w:t xml:space="preserve">  </w:t>
      </w:r>
      <w:r w:rsidR="00C32E0F" w:rsidRPr="00E46CC9">
        <w:rPr>
          <w:b/>
          <w:sz w:val="22"/>
          <w:szCs w:val="22"/>
        </w:rPr>
        <w:t>202</w:t>
      </w:r>
      <w:r w:rsidR="001C4AAE">
        <w:rPr>
          <w:b/>
          <w:sz w:val="22"/>
          <w:szCs w:val="22"/>
        </w:rPr>
        <w:t>4</w:t>
      </w:r>
    </w:p>
    <w:tbl>
      <w:tblPr>
        <w:tblW w:w="9072" w:type="dxa"/>
        <w:tblInd w:w="-142" w:type="dxa"/>
        <w:tblLayout w:type="fixed"/>
        <w:tblLook w:val="0000" w:firstRow="0" w:lastRow="0" w:firstColumn="0" w:lastColumn="0" w:noHBand="0" w:noVBand="0"/>
      </w:tblPr>
      <w:tblGrid>
        <w:gridCol w:w="5103"/>
        <w:gridCol w:w="709"/>
        <w:gridCol w:w="992"/>
        <w:gridCol w:w="1276"/>
        <w:gridCol w:w="992"/>
      </w:tblGrid>
      <w:tr w:rsidR="00E74B17" w:rsidRPr="00C9475C" w14:paraId="0D6EFF7C" w14:textId="77777777" w:rsidTr="00102589">
        <w:trPr>
          <w:trHeight w:val="1095"/>
        </w:trPr>
        <w:tc>
          <w:tcPr>
            <w:tcW w:w="5103" w:type="dxa"/>
            <w:tcBorders>
              <w:top w:val="nil"/>
              <w:left w:val="nil"/>
              <w:bottom w:val="nil"/>
              <w:right w:val="nil"/>
            </w:tcBorders>
            <w:shd w:val="clear" w:color="auto" w:fill="auto"/>
            <w:noWrap/>
            <w:vAlign w:val="bottom"/>
          </w:tcPr>
          <w:p w14:paraId="3404D2C4" w14:textId="77777777" w:rsidR="005645DB" w:rsidRPr="00C9475C" w:rsidRDefault="005645DB" w:rsidP="0060076F">
            <w:pPr>
              <w:rPr>
                <w:b/>
                <w:color w:val="000000"/>
                <w:sz w:val="20"/>
                <w:szCs w:val="20"/>
              </w:rPr>
            </w:pPr>
          </w:p>
        </w:tc>
        <w:tc>
          <w:tcPr>
            <w:tcW w:w="709" w:type="dxa"/>
            <w:tcBorders>
              <w:left w:val="nil"/>
              <w:right w:val="nil"/>
            </w:tcBorders>
          </w:tcPr>
          <w:p w14:paraId="3816696B" w14:textId="77777777" w:rsidR="005645DB" w:rsidRPr="00C9475C" w:rsidRDefault="005645DB" w:rsidP="0060076F">
            <w:pPr>
              <w:jc w:val="center"/>
              <w:rPr>
                <w:b/>
                <w:sz w:val="20"/>
                <w:szCs w:val="20"/>
              </w:rPr>
            </w:pPr>
          </w:p>
        </w:tc>
        <w:tc>
          <w:tcPr>
            <w:tcW w:w="992" w:type="dxa"/>
            <w:tcBorders>
              <w:left w:val="nil"/>
              <w:right w:val="nil"/>
            </w:tcBorders>
            <w:shd w:val="clear" w:color="auto" w:fill="auto"/>
            <w:noWrap/>
            <w:vAlign w:val="bottom"/>
          </w:tcPr>
          <w:p w14:paraId="4ED6FAE6" w14:textId="77777777" w:rsidR="005645DB" w:rsidRPr="00C9475C" w:rsidRDefault="005645DB" w:rsidP="0060076F">
            <w:pPr>
              <w:jc w:val="center"/>
              <w:rPr>
                <w:b/>
                <w:sz w:val="20"/>
                <w:szCs w:val="20"/>
              </w:rPr>
            </w:pPr>
          </w:p>
        </w:tc>
        <w:tc>
          <w:tcPr>
            <w:tcW w:w="1276" w:type="dxa"/>
            <w:shd w:val="clear" w:color="auto" w:fill="auto"/>
            <w:vAlign w:val="bottom"/>
          </w:tcPr>
          <w:p w14:paraId="286418E8" w14:textId="77777777" w:rsidR="005645DB" w:rsidRPr="00C9475C" w:rsidRDefault="005645DB" w:rsidP="0060076F">
            <w:pPr>
              <w:jc w:val="center"/>
              <w:rPr>
                <w:b/>
                <w:color w:val="000000"/>
                <w:sz w:val="20"/>
                <w:szCs w:val="20"/>
              </w:rPr>
            </w:pPr>
          </w:p>
        </w:tc>
        <w:tc>
          <w:tcPr>
            <w:tcW w:w="992" w:type="dxa"/>
            <w:tcBorders>
              <w:left w:val="nil"/>
              <w:right w:val="nil"/>
            </w:tcBorders>
            <w:shd w:val="clear" w:color="auto" w:fill="auto"/>
            <w:vAlign w:val="bottom"/>
          </w:tcPr>
          <w:p w14:paraId="231C3D79" w14:textId="77777777" w:rsidR="005645DB" w:rsidRPr="00C9475C" w:rsidRDefault="005645DB" w:rsidP="0060076F">
            <w:pPr>
              <w:jc w:val="center"/>
              <w:rPr>
                <w:b/>
                <w:sz w:val="20"/>
                <w:szCs w:val="20"/>
              </w:rPr>
            </w:pPr>
          </w:p>
        </w:tc>
      </w:tr>
      <w:tr w:rsidR="00E74B17" w:rsidRPr="00C9475C" w14:paraId="548B99CE" w14:textId="77777777" w:rsidTr="000B4685">
        <w:trPr>
          <w:trHeight w:val="255"/>
        </w:trPr>
        <w:tc>
          <w:tcPr>
            <w:tcW w:w="5103" w:type="dxa"/>
            <w:tcBorders>
              <w:top w:val="nil"/>
              <w:left w:val="nil"/>
              <w:bottom w:val="nil"/>
              <w:right w:val="nil"/>
            </w:tcBorders>
            <w:shd w:val="clear" w:color="auto" w:fill="auto"/>
            <w:noWrap/>
            <w:vAlign w:val="bottom"/>
          </w:tcPr>
          <w:p w14:paraId="764BF82F" w14:textId="77777777" w:rsidR="005645DB" w:rsidRPr="00C9475C" w:rsidRDefault="005645DB" w:rsidP="0060076F">
            <w:pPr>
              <w:rPr>
                <w:b/>
                <w:color w:val="000000"/>
                <w:sz w:val="20"/>
                <w:szCs w:val="20"/>
              </w:rPr>
            </w:pPr>
          </w:p>
        </w:tc>
        <w:tc>
          <w:tcPr>
            <w:tcW w:w="709" w:type="dxa"/>
            <w:tcBorders>
              <w:left w:val="nil"/>
              <w:right w:val="nil"/>
            </w:tcBorders>
          </w:tcPr>
          <w:p w14:paraId="5B7D0F7E" w14:textId="77777777" w:rsidR="005645DB" w:rsidRPr="00C9475C" w:rsidRDefault="005645DB" w:rsidP="0060076F">
            <w:pPr>
              <w:jc w:val="center"/>
              <w:rPr>
                <w:b/>
                <w:sz w:val="20"/>
                <w:szCs w:val="20"/>
              </w:rPr>
            </w:pPr>
          </w:p>
        </w:tc>
        <w:tc>
          <w:tcPr>
            <w:tcW w:w="992" w:type="dxa"/>
            <w:tcBorders>
              <w:left w:val="nil"/>
              <w:right w:val="nil"/>
            </w:tcBorders>
            <w:shd w:val="clear" w:color="auto" w:fill="auto"/>
            <w:noWrap/>
            <w:vAlign w:val="bottom"/>
          </w:tcPr>
          <w:p w14:paraId="67C84EAE" w14:textId="77777777" w:rsidR="005645DB" w:rsidRPr="00C9475C" w:rsidRDefault="005645DB" w:rsidP="0060076F">
            <w:pPr>
              <w:jc w:val="center"/>
              <w:rPr>
                <w:b/>
                <w:sz w:val="20"/>
                <w:szCs w:val="20"/>
              </w:rPr>
            </w:pPr>
            <w:r w:rsidRPr="00C9475C">
              <w:rPr>
                <w:b/>
                <w:sz w:val="20"/>
                <w:szCs w:val="20"/>
              </w:rPr>
              <w:t>Revenue</w:t>
            </w:r>
          </w:p>
          <w:p w14:paraId="0A7F575C" w14:textId="77777777" w:rsidR="00054969" w:rsidRPr="00C9475C" w:rsidRDefault="005645DB" w:rsidP="00657046">
            <w:pPr>
              <w:jc w:val="center"/>
              <w:rPr>
                <w:b/>
                <w:sz w:val="20"/>
                <w:szCs w:val="20"/>
              </w:rPr>
            </w:pPr>
            <w:r w:rsidRPr="00C9475C">
              <w:rPr>
                <w:b/>
                <w:sz w:val="20"/>
                <w:szCs w:val="20"/>
              </w:rPr>
              <w:t>Reserve</w:t>
            </w:r>
          </w:p>
        </w:tc>
        <w:tc>
          <w:tcPr>
            <w:tcW w:w="1276" w:type="dxa"/>
            <w:shd w:val="clear" w:color="auto" w:fill="auto"/>
            <w:vAlign w:val="bottom"/>
          </w:tcPr>
          <w:p w14:paraId="52471859" w14:textId="77777777" w:rsidR="00054969" w:rsidRPr="00C9475C" w:rsidRDefault="005645DB" w:rsidP="00657046">
            <w:pPr>
              <w:jc w:val="center"/>
              <w:rPr>
                <w:b/>
                <w:color w:val="000000"/>
                <w:sz w:val="20"/>
                <w:szCs w:val="20"/>
              </w:rPr>
            </w:pPr>
            <w:r w:rsidRPr="00C9475C">
              <w:rPr>
                <w:b/>
                <w:color w:val="000000"/>
                <w:sz w:val="20"/>
                <w:szCs w:val="20"/>
              </w:rPr>
              <w:t>Revaluation Reserve</w:t>
            </w:r>
          </w:p>
        </w:tc>
        <w:tc>
          <w:tcPr>
            <w:tcW w:w="992" w:type="dxa"/>
            <w:tcBorders>
              <w:left w:val="nil"/>
              <w:right w:val="nil"/>
            </w:tcBorders>
            <w:shd w:val="clear" w:color="auto" w:fill="auto"/>
            <w:vAlign w:val="bottom"/>
          </w:tcPr>
          <w:p w14:paraId="0C7DE374" w14:textId="77777777" w:rsidR="00054969" w:rsidRPr="00C9475C" w:rsidRDefault="005645DB" w:rsidP="00657046">
            <w:pPr>
              <w:jc w:val="center"/>
              <w:rPr>
                <w:b/>
                <w:sz w:val="20"/>
                <w:szCs w:val="20"/>
              </w:rPr>
            </w:pPr>
            <w:r w:rsidRPr="00C9475C">
              <w:rPr>
                <w:b/>
                <w:sz w:val="20"/>
                <w:szCs w:val="20"/>
              </w:rPr>
              <w:t>Total Reserves</w:t>
            </w:r>
          </w:p>
        </w:tc>
      </w:tr>
      <w:tr w:rsidR="00E74B17" w:rsidRPr="00C9475C" w14:paraId="640E3EDC" w14:textId="77777777" w:rsidTr="000B4685">
        <w:trPr>
          <w:trHeight w:val="255"/>
        </w:trPr>
        <w:tc>
          <w:tcPr>
            <w:tcW w:w="5103" w:type="dxa"/>
            <w:tcBorders>
              <w:top w:val="nil"/>
              <w:left w:val="nil"/>
              <w:bottom w:val="nil"/>
              <w:right w:val="nil"/>
            </w:tcBorders>
            <w:shd w:val="clear" w:color="auto" w:fill="auto"/>
            <w:noWrap/>
            <w:vAlign w:val="bottom"/>
          </w:tcPr>
          <w:p w14:paraId="0A984450" w14:textId="77777777" w:rsidR="005645DB" w:rsidRPr="00C9475C" w:rsidRDefault="005645DB" w:rsidP="0060076F">
            <w:pPr>
              <w:rPr>
                <w:color w:val="000000"/>
                <w:sz w:val="20"/>
                <w:szCs w:val="20"/>
              </w:rPr>
            </w:pPr>
          </w:p>
        </w:tc>
        <w:tc>
          <w:tcPr>
            <w:tcW w:w="709" w:type="dxa"/>
            <w:tcBorders>
              <w:left w:val="nil"/>
              <w:right w:val="nil"/>
            </w:tcBorders>
          </w:tcPr>
          <w:p w14:paraId="0E8167B0" w14:textId="77777777" w:rsidR="005645DB" w:rsidRPr="00C9475C" w:rsidRDefault="005645DB" w:rsidP="0060076F">
            <w:pPr>
              <w:jc w:val="center"/>
              <w:rPr>
                <w:b/>
                <w:sz w:val="20"/>
                <w:szCs w:val="20"/>
              </w:rPr>
            </w:pPr>
          </w:p>
        </w:tc>
        <w:tc>
          <w:tcPr>
            <w:tcW w:w="992" w:type="dxa"/>
            <w:tcBorders>
              <w:left w:val="nil"/>
              <w:right w:val="nil"/>
            </w:tcBorders>
            <w:shd w:val="clear" w:color="auto" w:fill="auto"/>
            <w:noWrap/>
            <w:vAlign w:val="bottom"/>
          </w:tcPr>
          <w:p w14:paraId="15738E60" w14:textId="77777777" w:rsidR="005645DB" w:rsidRPr="00C9475C" w:rsidRDefault="005645DB" w:rsidP="0060076F">
            <w:pPr>
              <w:jc w:val="center"/>
              <w:rPr>
                <w:b/>
                <w:sz w:val="20"/>
                <w:szCs w:val="20"/>
              </w:rPr>
            </w:pPr>
            <w:r w:rsidRPr="00C9475C">
              <w:rPr>
                <w:b/>
                <w:sz w:val="20"/>
                <w:szCs w:val="20"/>
              </w:rPr>
              <w:t>£’000</w:t>
            </w:r>
          </w:p>
        </w:tc>
        <w:tc>
          <w:tcPr>
            <w:tcW w:w="1276" w:type="dxa"/>
            <w:shd w:val="clear" w:color="auto" w:fill="auto"/>
            <w:vAlign w:val="bottom"/>
          </w:tcPr>
          <w:p w14:paraId="0D29BEA3" w14:textId="77777777" w:rsidR="005645DB" w:rsidRPr="00C9475C" w:rsidRDefault="005645DB" w:rsidP="0060076F">
            <w:pPr>
              <w:jc w:val="center"/>
              <w:rPr>
                <w:color w:val="000000"/>
                <w:sz w:val="20"/>
                <w:szCs w:val="20"/>
              </w:rPr>
            </w:pPr>
            <w:r w:rsidRPr="00C9475C">
              <w:rPr>
                <w:b/>
                <w:color w:val="000000"/>
                <w:sz w:val="20"/>
                <w:szCs w:val="20"/>
              </w:rPr>
              <w:t>£’000</w:t>
            </w:r>
          </w:p>
        </w:tc>
        <w:tc>
          <w:tcPr>
            <w:tcW w:w="992" w:type="dxa"/>
            <w:tcBorders>
              <w:left w:val="nil"/>
              <w:right w:val="nil"/>
            </w:tcBorders>
            <w:shd w:val="clear" w:color="auto" w:fill="auto"/>
            <w:vAlign w:val="bottom"/>
          </w:tcPr>
          <w:p w14:paraId="15832AD1" w14:textId="77777777" w:rsidR="005645DB" w:rsidRPr="00C9475C" w:rsidRDefault="005645DB" w:rsidP="0060076F">
            <w:pPr>
              <w:jc w:val="center"/>
              <w:rPr>
                <w:sz w:val="20"/>
                <w:szCs w:val="20"/>
              </w:rPr>
            </w:pPr>
            <w:r w:rsidRPr="00C9475C">
              <w:rPr>
                <w:b/>
                <w:sz w:val="20"/>
                <w:szCs w:val="20"/>
              </w:rPr>
              <w:t>£’000</w:t>
            </w:r>
          </w:p>
        </w:tc>
      </w:tr>
      <w:tr w:rsidR="00E74B17" w:rsidRPr="00C9475C" w14:paraId="68811FB2" w14:textId="77777777" w:rsidTr="000B4685">
        <w:trPr>
          <w:trHeight w:val="255"/>
        </w:trPr>
        <w:tc>
          <w:tcPr>
            <w:tcW w:w="5103" w:type="dxa"/>
            <w:tcBorders>
              <w:top w:val="nil"/>
              <w:left w:val="nil"/>
              <w:bottom w:val="nil"/>
              <w:right w:val="nil"/>
            </w:tcBorders>
            <w:shd w:val="clear" w:color="auto" w:fill="auto"/>
            <w:noWrap/>
            <w:vAlign w:val="bottom"/>
          </w:tcPr>
          <w:p w14:paraId="118E5AD6" w14:textId="77777777" w:rsidR="00ED4ED4" w:rsidRPr="00C9475C" w:rsidRDefault="00ED4ED4" w:rsidP="0060076F">
            <w:pPr>
              <w:rPr>
                <w:color w:val="000000"/>
                <w:sz w:val="20"/>
                <w:szCs w:val="20"/>
              </w:rPr>
            </w:pPr>
          </w:p>
        </w:tc>
        <w:tc>
          <w:tcPr>
            <w:tcW w:w="709" w:type="dxa"/>
            <w:tcBorders>
              <w:left w:val="nil"/>
              <w:right w:val="nil"/>
            </w:tcBorders>
          </w:tcPr>
          <w:p w14:paraId="1D3F8036" w14:textId="77777777" w:rsidR="00ED4ED4" w:rsidRPr="00C9475C" w:rsidRDefault="00ED4ED4" w:rsidP="0060076F">
            <w:pPr>
              <w:jc w:val="center"/>
              <w:rPr>
                <w:b/>
                <w:sz w:val="20"/>
                <w:szCs w:val="20"/>
              </w:rPr>
            </w:pPr>
          </w:p>
        </w:tc>
        <w:tc>
          <w:tcPr>
            <w:tcW w:w="992" w:type="dxa"/>
            <w:tcBorders>
              <w:left w:val="nil"/>
              <w:right w:val="nil"/>
            </w:tcBorders>
            <w:shd w:val="clear" w:color="auto" w:fill="auto"/>
            <w:noWrap/>
            <w:vAlign w:val="bottom"/>
          </w:tcPr>
          <w:p w14:paraId="28266180" w14:textId="77777777" w:rsidR="00ED4ED4" w:rsidRPr="00C9475C" w:rsidRDefault="00ED4ED4" w:rsidP="0060076F">
            <w:pPr>
              <w:jc w:val="center"/>
              <w:rPr>
                <w:b/>
                <w:sz w:val="20"/>
                <w:szCs w:val="20"/>
              </w:rPr>
            </w:pPr>
          </w:p>
        </w:tc>
        <w:tc>
          <w:tcPr>
            <w:tcW w:w="1276" w:type="dxa"/>
            <w:shd w:val="clear" w:color="auto" w:fill="auto"/>
            <w:vAlign w:val="bottom"/>
          </w:tcPr>
          <w:p w14:paraId="637722B8" w14:textId="77777777" w:rsidR="00ED4ED4" w:rsidRPr="00C9475C" w:rsidRDefault="00ED4ED4" w:rsidP="0060076F">
            <w:pPr>
              <w:jc w:val="center"/>
              <w:rPr>
                <w:b/>
                <w:color w:val="000000"/>
                <w:sz w:val="20"/>
                <w:szCs w:val="20"/>
              </w:rPr>
            </w:pPr>
          </w:p>
        </w:tc>
        <w:tc>
          <w:tcPr>
            <w:tcW w:w="992" w:type="dxa"/>
            <w:tcBorders>
              <w:left w:val="nil"/>
              <w:right w:val="nil"/>
            </w:tcBorders>
            <w:shd w:val="clear" w:color="auto" w:fill="auto"/>
            <w:vAlign w:val="bottom"/>
          </w:tcPr>
          <w:p w14:paraId="6C7BE806" w14:textId="77777777" w:rsidR="00ED4ED4" w:rsidRPr="00C9475C" w:rsidRDefault="00ED4ED4" w:rsidP="0060076F">
            <w:pPr>
              <w:jc w:val="center"/>
              <w:rPr>
                <w:b/>
                <w:sz w:val="20"/>
                <w:szCs w:val="20"/>
              </w:rPr>
            </w:pPr>
          </w:p>
        </w:tc>
      </w:tr>
      <w:tr w:rsidR="00E74B17" w:rsidRPr="00E803CA" w14:paraId="138D5474" w14:textId="77777777" w:rsidTr="000B4685">
        <w:trPr>
          <w:trHeight w:val="255"/>
        </w:trPr>
        <w:tc>
          <w:tcPr>
            <w:tcW w:w="5103" w:type="dxa"/>
            <w:tcBorders>
              <w:top w:val="nil"/>
              <w:left w:val="nil"/>
              <w:bottom w:val="nil"/>
              <w:right w:val="nil"/>
            </w:tcBorders>
            <w:shd w:val="clear" w:color="auto" w:fill="auto"/>
            <w:noWrap/>
            <w:vAlign w:val="bottom"/>
          </w:tcPr>
          <w:p w14:paraId="3CA9D0B2" w14:textId="4D1702C4" w:rsidR="00CD2AA2" w:rsidRPr="00E803CA" w:rsidRDefault="00CD2AA2" w:rsidP="00CD2AA2">
            <w:pPr>
              <w:rPr>
                <w:color w:val="000000"/>
                <w:sz w:val="20"/>
                <w:szCs w:val="20"/>
              </w:rPr>
            </w:pPr>
            <w:r w:rsidRPr="00E803CA">
              <w:rPr>
                <w:color w:val="000000"/>
                <w:sz w:val="20"/>
                <w:szCs w:val="20"/>
              </w:rPr>
              <w:t>Balance at 1 April 202</w:t>
            </w:r>
            <w:r>
              <w:rPr>
                <w:color w:val="000000"/>
                <w:sz w:val="20"/>
                <w:szCs w:val="20"/>
              </w:rPr>
              <w:t>2</w:t>
            </w:r>
          </w:p>
        </w:tc>
        <w:tc>
          <w:tcPr>
            <w:tcW w:w="709" w:type="dxa"/>
            <w:tcBorders>
              <w:left w:val="nil"/>
              <w:right w:val="nil"/>
            </w:tcBorders>
          </w:tcPr>
          <w:p w14:paraId="59B81F1E" w14:textId="77777777" w:rsidR="00CD2AA2" w:rsidRPr="00E803CA" w:rsidRDefault="00CD2AA2" w:rsidP="00CD2AA2">
            <w:pPr>
              <w:jc w:val="center"/>
              <w:rPr>
                <w:sz w:val="20"/>
                <w:szCs w:val="20"/>
              </w:rPr>
            </w:pPr>
          </w:p>
        </w:tc>
        <w:tc>
          <w:tcPr>
            <w:tcW w:w="992" w:type="dxa"/>
            <w:tcBorders>
              <w:left w:val="nil"/>
              <w:right w:val="nil"/>
            </w:tcBorders>
            <w:shd w:val="clear" w:color="auto" w:fill="auto"/>
            <w:noWrap/>
            <w:vAlign w:val="bottom"/>
          </w:tcPr>
          <w:p w14:paraId="078EB5AB" w14:textId="48C841DC" w:rsidR="00CD2AA2" w:rsidRPr="00E803CA" w:rsidRDefault="00CD2AA2" w:rsidP="00CD2AA2">
            <w:pPr>
              <w:jc w:val="center"/>
              <w:rPr>
                <w:sz w:val="20"/>
                <w:szCs w:val="20"/>
              </w:rPr>
            </w:pPr>
            <w:r w:rsidRPr="00E803CA">
              <w:rPr>
                <w:sz w:val="20"/>
                <w:szCs w:val="20"/>
              </w:rPr>
              <w:t>106,369</w:t>
            </w:r>
          </w:p>
        </w:tc>
        <w:tc>
          <w:tcPr>
            <w:tcW w:w="1276" w:type="dxa"/>
            <w:shd w:val="clear" w:color="auto" w:fill="auto"/>
            <w:vAlign w:val="bottom"/>
          </w:tcPr>
          <w:p w14:paraId="08DC0697" w14:textId="41C29AE5" w:rsidR="00CD2AA2" w:rsidRPr="00E803CA" w:rsidRDefault="00CD2AA2" w:rsidP="00CD2AA2">
            <w:pPr>
              <w:jc w:val="center"/>
              <w:rPr>
                <w:color w:val="000000"/>
                <w:sz w:val="20"/>
                <w:szCs w:val="20"/>
              </w:rPr>
            </w:pPr>
            <w:r w:rsidRPr="00E803CA">
              <w:rPr>
                <w:color w:val="000000"/>
                <w:sz w:val="20"/>
                <w:szCs w:val="20"/>
              </w:rPr>
              <w:t>151,323</w:t>
            </w:r>
          </w:p>
        </w:tc>
        <w:tc>
          <w:tcPr>
            <w:tcW w:w="992" w:type="dxa"/>
            <w:tcBorders>
              <w:left w:val="nil"/>
              <w:right w:val="nil"/>
            </w:tcBorders>
            <w:shd w:val="clear" w:color="auto" w:fill="auto"/>
            <w:vAlign w:val="bottom"/>
          </w:tcPr>
          <w:p w14:paraId="7BF57B6F" w14:textId="2E7FD40C" w:rsidR="00CD2AA2" w:rsidRPr="00E803CA" w:rsidRDefault="00CD2AA2" w:rsidP="00CD2AA2">
            <w:pPr>
              <w:jc w:val="center"/>
              <w:rPr>
                <w:sz w:val="20"/>
                <w:szCs w:val="20"/>
              </w:rPr>
            </w:pPr>
            <w:r w:rsidRPr="00E803CA">
              <w:rPr>
                <w:sz w:val="20"/>
                <w:szCs w:val="20"/>
              </w:rPr>
              <w:t>257,692</w:t>
            </w:r>
          </w:p>
        </w:tc>
      </w:tr>
      <w:tr w:rsidR="00E74B17" w:rsidRPr="00E803CA" w14:paraId="26F69145" w14:textId="77777777" w:rsidTr="000B4685">
        <w:trPr>
          <w:trHeight w:val="255"/>
        </w:trPr>
        <w:tc>
          <w:tcPr>
            <w:tcW w:w="5103" w:type="dxa"/>
            <w:tcBorders>
              <w:top w:val="nil"/>
              <w:left w:val="nil"/>
              <w:bottom w:val="nil"/>
              <w:right w:val="nil"/>
            </w:tcBorders>
            <w:shd w:val="clear" w:color="auto" w:fill="auto"/>
            <w:noWrap/>
            <w:vAlign w:val="bottom"/>
          </w:tcPr>
          <w:p w14:paraId="2FED94D2" w14:textId="77777777" w:rsidR="00CD2AA2" w:rsidRPr="00E803CA" w:rsidRDefault="00CD2AA2" w:rsidP="00CD2AA2">
            <w:pPr>
              <w:rPr>
                <w:color w:val="000000"/>
                <w:sz w:val="20"/>
                <w:szCs w:val="20"/>
              </w:rPr>
            </w:pPr>
          </w:p>
        </w:tc>
        <w:tc>
          <w:tcPr>
            <w:tcW w:w="709" w:type="dxa"/>
            <w:tcBorders>
              <w:left w:val="nil"/>
              <w:right w:val="nil"/>
            </w:tcBorders>
          </w:tcPr>
          <w:p w14:paraId="48731C59" w14:textId="77777777" w:rsidR="00CD2AA2" w:rsidRPr="00E803CA" w:rsidRDefault="00CD2AA2" w:rsidP="00CD2AA2">
            <w:pPr>
              <w:jc w:val="center"/>
              <w:rPr>
                <w:sz w:val="20"/>
                <w:szCs w:val="20"/>
              </w:rPr>
            </w:pPr>
          </w:p>
        </w:tc>
        <w:tc>
          <w:tcPr>
            <w:tcW w:w="992" w:type="dxa"/>
            <w:tcBorders>
              <w:left w:val="nil"/>
              <w:right w:val="nil"/>
            </w:tcBorders>
            <w:shd w:val="clear" w:color="auto" w:fill="auto"/>
            <w:noWrap/>
            <w:vAlign w:val="bottom"/>
          </w:tcPr>
          <w:p w14:paraId="031356EE" w14:textId="77777777" w:rsidR="00CD2AA2" w:rsidRPr="00E803CA" w:rsidRDefault="00CD2AA2" w:rsidP="00CD2AA2">
            <w:pPr>
              <w:jc w:val="center"/>
              <w:rPr>
                <w:sz w:val="20"/>
                <w:szCs w:val="20"/>
              </w:rPr>
            </w:pPr>
          </w:p>
        </w:tc>
        <w:tc>
          <w:tcPr>
            <w:tcW w:w="1276" w:type="dxa"/>
            <w:shd w:val="clear" w:color="auto" w:fill="auto"/>
            <w:vAlign w:val="bottom"/>
          </w:tcPr>
          <w:p w14:paraId="17FA9EB6" w14:textId="77777777" w:rsidR="00CD2AA2" w:rsidRPr="00E803CA" w:rsidRDefault="00CD2AA2" w:rsidP="00CD2AA2">
            <w:pPr>
              <w:jc w:val="center"/>
              <w:rPr>
                <w:color w:val="000000"/>
                <w:sz w:val="20"/>
                <w:szCs w:val="20"/>
              </w:rPr>
            </w:pPr>
          </w:p>
        </w:tc>
        <w:tc>
          <w:tcPr>
            <w:tcW w:w="992" w:type="dxa"/>
            <w:tcBorders>
              <w:left w:val="nil"/>
              <w:right w:val="nil"/>
            </w:tcBorders>
            <w:shd w:val="clear" w:color="auto" w:fill="auto"/>
            <w:vAlign w:val="bottom"/>
          </w:tcPr>
          <w:p w14:paraId="04A77315" w14:textId="77777777" w:rsidR="00CD2AA2" w:rsidRPr="00E803CA" w:rsidRDefault="00CD2AA2" w:rsidP="00CD2AA2">
            <w:pPr>
              <w:jc w:val="center"/>
              <w:rPr>
                <w:sz w:val="20"/>
                <w:szCs w:val="20"/>
              </w:rPr>
            </w:pPr>
          </w:p>
        </w:tc>
      </w:tr>
      <w:tr w:rsidR="00E74B17" w:rsidRPr="00E803CA" w14:paraId="5BFBDC2B" w14:textId="77777777" w:rsidTr="000B4685">
        <w:trPr>
          <w:trHeight w:val="255"/>
        </w:trPr>
        <w:tc>
          <w:tcPr>
            <w:tcW w:w="5103" w:type="dxa"/>
            <w:tcBorders>
              <w:top w:val="nil"/>
              <w:left w:val="nil"/>
              <w:bottom w:val="nil"/>
              <w:right w:val="nil"/>
            </w:tcBorders>
            <w:shd w:val="clear" w:color="auto" w:fill="auto"/>
            <w:noWrap/>
            <w:vAlign w:val="bottom"/>
          </w:tcPr>
          <w:p w14:paraId="5C2FD716" w14:textId="7E449504" w:rsidR="00CD2AA2" w:rsidRPr="00E803CA" w:rsidRDefault="00CD2AA2" w:rsidP="00CD2AA2">
            <w:pPr>
              <w:rPr>
                <w:color w:val="000000"/>
                <w:sz w:val="20"/>
                <w:szCs w:val="20"/>
              </w:rPr>
            </w:pPr>
            <w:r w:rsidRPr="00E803CA">
              <w:rPr>
                <w:color w:val="000000"/>
                <w:sz w:val="20"/>
                <w:szCs w:val="20"/>
              </w:rPr>
              <w:t>Total comprehensive loss for the year</w:t>
            </w:r>
          </w:p>
        </w:tc>
        <w:tc>
          <w:tcPr>
            <w:tcW w:w="709" w:type="dxa"/>
            <w:tcBorders>
              <w:left w:val="nil"/>
              <w:right w:val="nil"/>
            </w:tcBorders>
          </w:tcPr>
          <w:p w14:paraId="325B4AB9" w14:textId="77777777" w:rsidR="00CD2AA2" w:rsidRPr="00E803CA" w:rsidRDefault="00CD2AA2" w:rsidP="00CD2AA2">
            <w:pPr>
              <w:jc w:val="center"/>
              <w:rPr>
                <w:sz w:val="20"/>
                <w:szCs w:val="20"/>
              </w:rPr>
            </w:pPr>
          </w:p>
        </w:tc>
        <w:tc>
          <w:tcPr>
            <w:tcW w:w="992" w:type="dxa"/>
            <w:tcBorders>
              <w:left w:val="nil"/>
              <w:right w:val="nil"/>
            </w:tcBorders>
            <w:shd w:val="clear" w:color="auto" w:fill="auto"/>
            <w:noWrap/>
            <w:vAlign w:val="bottom"/>
          </w:tcPr>
          <w:p w14:paraId="734E6BFA" w14:textId="263D629F" w:rsidR="00CD2AA2" w:rsidRPr="00E803CA" w:rsidRDefault="00CD2AA2" w:rsidP="00CD2AA2">
            <w:pPr>
              <w:jc w:val="center"/>
              <w:rPr>
                <w:sz w:val="20"/>
                <w:szCs w:val="20"/>
              </w:rPr>
            </w:pPr>
            <w:r w:rsidRPr="00E803CA">
              <w:rPr>
                <w:sz w:val="20"/>
                <w:szCs w:val="20"/>
              </w:rPr>
              <w:t>1,832</w:t>
            </w:r>
          </w:p>
        </w:tc>
        <w:tc>
          <w:tcPr>
            <w:tcW w:w="1276" w:type="dxa"/>
            <w:shd w:val="clear" w:color="auto" w:fill="auto"/>
            <w:vAlign w:val="bottom"/>
          </w:tcPr>
          <w:p w14:paraId="22914EAF" w14:textId="5A3E63D4" w:rsidR="00CD2AA2" w:rsidRPr="00E803CA" w:rsidRDefault="00CD2AA2" w:rsidP="00CD2AA2">
            <w:pPr>
              <w:jc w:val="center"/>
              <w:rPr>
                <w:color w:val="000000"/>
                <w:sz w:val="20"/>
                <w:szCs w:val="20"/>
              </w:rPr>
            </w:pPr>
            <w:r w:rsidRPr="00E803CA">
              <w:rPr>
                <w:color w:val="000000"/>
                <w:sz w:val="20"/>
                <w:szCs w:val="20"/>
              </w:rPr>
              <w:t>-</w:t>
            </w:r>
          </w:p>
        </w:tc>
        <w:tc>
          <w:tcPr>
            <w:tcW w:w="992" w:type="dxa"/>
            <w:tcBorders>
              <w:left w:val="nil"/>
              <w:right w:val="nil"/>
            </w:tcBorders>
            <w:shd w:val="clear" w:color="auto" w:fill="auto"/>
            <w:vAlign w:val="bottom"/>
          </w:tcPr>
          <w:p w14:paraId="3B84429A" w14:textId="63F1E150" w:rsidR="00CD2AA2" w:rsidRPr="00E803CA" w:rsidRDefault="00CD2AA2" w:rsidP="00CD2AA2">
            <w:pPr>
              <w:jc w:val="center"/>
              <w:rPr>
                <w:sz w:val="20"/>
                <w:szCs w:val="20"/>
              </w:rPr>
            </w:pPr>
            <w:r w:rsidRPr="00E803CA">
              <w:rPr>
                <w:sz w:val="20"/>
                <w:szCs w:val="20"/>
              </w:rPr>
              <w:t>1,832</w:t>
            </w:r>
          </w:p>
        </w:tc>
      </w:tr>
      <w:tr w:rsidR="00E74B17" w:rsidRPr="00E803CA" w14:paraId="659CA2EF" w14:textId="77777777" w:rsidTr="000B4685">
        <w:trPr>
          <w:trHeight w:val="255"/>
        </w:trPr>
        <w:tc>
          <w:tcPr>
            <w:tcW w:w="5103" w:type="dxa"/>
            <w:tcBorders>
              <w:top w:val="nil"/>
              <w:left w:val="nil"/>
              <w:bottom w:val="nil"/>
              <w:right w:val="nil"/>
            </w:tcBorders>
            <w:shd w:val="clear" w:color="auto" w:fill="auto"/>
            <w:noWrap/>
            <w:vAlign w:val="bottom"/>
          </w:tcPr>
          <w:p w14:paraId="683A4FBC" w14:textId="07CE7712" w:rsidR="00CD2AA2" w:rsidRPr="00E803CA" w:rsidRDefault="00CD2AA2" w:rsidP="00CD2AA2">
            <w:pPr>
              <w:rPr>
                <w:color w:val="000000"/>
                <w:sz w:val="20"/>
                <w:szCs w:val="20"/>
              </w:rPr>
            </w:pPr>
            <w:r w:rsidRPr="00E803CA">
              <w:rPr>
                <w:color w:val="000000"/>
                <w:sz w:val="20"/>
                <w:szCs w:val="20"/>
              </w:rPr>
              <w:t>Transfer of reserves for the revaluation of housing properties</w:t>
            </w:r>
          </w:p>
        </w:tc>
        <w:tc>
          <w:tcPr>
            <w:tcW w:w="709" w:type="dxa"/>
            <w:tcBorders>
              <w:left w:val="nil"/>
              <w:right w:val="nil"/>
            </w:tcBorders>
          </w:tcPr>
          <w:p w14:paraId="2011D1A4" w14:textId="77777777" w:rsidR="00CD2AA2" w:rsidRPr="00E803CA" w:rsidRDefault="00CD2AA2" w:rsidP="00CD2AA2">
            <w:pPr>
              <w:jc w:val="center"/>
              <w:rPr>
                <w:sz w:val="20"/>
                <w:szCs w:val="20"/>
              </w:rPr>
            </w:pPr>
          </w:p>
        </w:tc>
        <w:tc>
          <w:tcPr>
            <w:tcW w:w="992" w:type="dxa"/>
            <w:tcBorders>
              <w:left w:val="nil"/>
              <w:right w:val="nil"/>
            </w:tcBorders>
            <w:shd w:val="clear" w:color="auto" w:fill="auto"/>
            <w:noWrap/>
            <w:vAlign w:val="bottom"/>
          </w:tcPr>
          <w:p w14:paraId="66A43B18" w14:textId="0DE8D7A1" w:rsidR="00CD2AA2" w:rsidRPr="00E803CA" w:rsidRDefault="00CD2AA2" w:rsidP="00CD2AA2">
            <w:pPr>
              <w:jc w:val="center"/>
              <w:rPr>
                <w:sz w:val="20"/>
                <w:szCs w:val="20"/>
              </w:rPr>
            </w:pPr>
            <w:r w:rsidRPr="00E803CA">
              <w:rPr>
                <w:sz w:val="20"/>
                <w:szCs w:val="20"/>
              </w:rPr>
              <w:t>7,012</w:t>
            </w:r>
          </w:p>
        </w:tc>
        <w:tc>
          <w:tcPr>
            <w:tcW w:w="1276" w:type="dxa"/>
            <w:shd w:val="clear" w:color="auto" w:fill="auto"/>
            <w:vAlign w:val="bottom"/>
          </w:tcPr>
          <w:p w14:paraId="457C029A" w14:textId="2990157E" w:rsidR="00CD2AA2" w:rsidRPr="00E803CA" w:rsidRDefault="00CD2AA2" w:rsidP="00CD2AA2">
            <w:pPr>
              <w:jc w:val="center"/>
              <w:rPr>
                <w:color w:val="000000"/>
                <w:sz w:val="20"/>
                <w:szCs w:val="20"/>
              </w:rPr>
            </w:pPr>
            <w:r w:rsidRPr="00E803CA">
              <w:rPr>
                <w:color w:val="000000"/>
                <w:sz w:val="20"/>
                <w:szCs w:val="20"/>
              </w:rPr>
              <w:t>(7,012)</w:t>
            </w:r>
          </w:p>
        </w:tc>
        <w:tc>
          <w:tcPr>
            <w:tcW w:w="992" w:type="dxa"/>
            <w:tcBorders>
              <w:left w:val="nil"/>
              <w:right w:val="nil"/>
            </w:tcBorders>
            <w:shd w:val="clear" w:color="auto" w:fill="auto"/>
            <w:vAlign w:val="bottom"/>
          </w:tcPr>
          <w:p w14:paraId="417CA397" w14:textId="546B6E9C" w:rsidR="00CD2AA2" w:rsidRPr="00E803CA" w:rsidRDefault="00CD2AA2" w:rsidP="00CD2AA2">
            <w:pPr>
              <w:jc w:val="center"/>
              <w:rPr>
                <w:sz w:val="20"/>
                <w:szCs w:val="20"/>
              </w:rPr>
            </w:pPr>
            <w:r w:rsidRPr="00E803CA">
              <w:rPr>
                <w:sz w:val="20"/>
                <w:szCs w:val="20"/>
              </w:rPr>
              <w:t>-</w:t>
            </w:r>
          </w:p>
        </w:tc>
      </w:tr>
      <w:tr w:rsidR="00E74B17" w:rsidRPr="00E803CA" w14:paraId="154F0561" w14:textId="77777777" w:rsidTr="000B4685">
        <w:trPr>
          <w:trHeight w:val="255"/>
        </w:trPr>
        <w:tc>
          <w:tcPr>
            <w:tcW w:w="5103" w:type="dxa"/>
            <w:tcBorders>
              <w:top w:val="nil"/>
              <w:left w:val="nil"/>
              <w:bottom w:val="nil"/>
              <w:right w:val="nil"/>
            </w:tcBorders>
            <w:shd w:val="clear" w:color="auto" w:fill="auto"/>
            <w:noWrap/>
            <w:vAlign w:val="bottom"/>
          </w:tcPr>
          <w:p w14:paraId="4DBB0685" w14:textId="0FC99831" w:rsidR="00CD2AA2" w:rsidRPr="00E803CA" w:rsidRDefault="00CD2AA2" w:rsidP="00CD2AA2">
            <w:pPr>
              <w:rPr>
                <w:color w:val="000000"/>
                <w:sz w:val="20"/>
                <w:szCs w:val="20"/>
              </w:rPr>
            </w:pPr>
            <w:r w:rsidRPr="00E803CA">
              <w:rPr>
                <w:color w:val="000000"/>
                <w:sz w:val="20"/>
                <w:szCs w:val="20"/>
              </w:rPr>
              <w:t>Dividend received from Novantie</w:t>
            </w:r>
          </w:p>
        </w:tc>
        <w:tc>
          <w:tcPr>
            <w:tcW w:w="709" w:type="dxa"/>
            <w:tcBorders>
              <w:left w:val="nil"/>
              <w:right w:val="nil"/>
            </w:tcBorders>
          </w:tcPr>
          <w:p w14:paraId="1AF60A17" w14:textId="77777777" w:rsidR="00CD2AA2" w:rsidRPr="00E803CA" w:rsidRDefault="00CD2AA2" w:rsidP="00CD2AA2">
            <w:pPr>
              <w:jc w:val="center"/>
              <w:rPr>
                <w:sz w:val="20"/>
                <w:szCs w:val="20"/>
              </w:rPr>
            </w:pPr>
          </w:p>
        </w:tc>
        <w:tc>
          <w:tcPr>
            <w:tcW w:w="992" w:type="dxa"/>
            <w:tcBorders>
              <w:left w:val="nil"/>
              <w:right w:val="nil"/>
            </w:tcBorders>
            <w:shd w:val="clear" w:color="auto" w:fill="auto"/>
            <w:noWrap/>
            <w:vAlign w:val="bottom"/>
          </w:tcPr>
          <w:p w14:paraId="6BEDCBCD" w14:textId="014430F9" w:rsidR="00CD2AA2" w:rsidRPr="00E803CA" w:rsidRDefault="00CD2AA2" w:rsidP="00CD2AA2">
            <w:pPr>
              <w:jc w:val="center"/>
              <w:rPr>
                <w:sz w:val="20"/>
                <w:szCs w:val="20"/>
              </w:rPr>
            </w:pPr>
            <w:r w:rsidRPr="00E803CA">
              <w:rPr>
                <w:sz w:val="20"/>
                <w:szCs w:val="20"/>
              </w:rPr>
              <w:t>180</w:t>
            </w:r>
          </w:p>
        </w:tc>
        <w:tc>
          <w:tcPr>
            <w:tcW w:w="1276" w:type="dxa"/>
            <w:shd w:val="clear" w:color="auto" w:fill="auto"/>
            <w:vAlign w:val="bottom"/>
          </w:tcPr>
          <w:p w14:paraId="1CB06133" w14:textId="10EF50AB" w:rsidR="00CD2AA2" w:rsidRPr="00E803CA" w:rsidRDefault="00CD2AA2" w:rsidP="00CD2AA2">
            <w:pPr>
              <w:jc w:val="center"/>
              <w:rPr>
                <w:color w:val="000000"/>
                <w:sz w:val="20"/>
                <w:szCs w:val="20"/>
              </w:rPr>
            </w:pPr>
            <w:r w:rsidRPr="00E803CA">
              <w:rPr>
                <w:color w:val="000000"/>
                <w:sz w:val="20"/>
                <w:szCs w:val="20"/>
              </w:rPr>
              <w:t>-</w:t>
            </w:r>
          </w:p>
        </w:tc>
        <w:tc>
          <w:tcPr>
            <w:tcW w:w="992" w:type="dxa"/>
            <w:tcBorders>
              <w:left w:val="nil"/>
              <w:right w:val="nil"/>
            </w:tcBorders>
            <w:shd w:val="clear" w:color="auto" w:fill="auto"/>
            <w:vAlign w:val="bottom"/>
          </w:tcPr>
          <w:p w14:paraId="358DA065" w14:textId="56279A59" w:rsidR="00CD2AA2" w:rsidRPr="00E803CA" w:rsidRDefault="00CD2AA2" w:rsidP="00CD2AA2">
            <w:pPr>
              <w:jc w:val="center"/>
              <w:rPr>
                <w:sz w:val="20"/>
                <w:szCs w:val="20"/>
              </w:rPr>
            </w:pPr>
            <w:r w:rsidRPr="00E803CA">
              <w:rPr>
                <w:sz w:val="20"/>
                <w:szCs w:val="20"/>
              </w:rPr>
              <w:t>180</w:t>
            </w:r>
          </w:p>
        </w:tc>
      </w:tr>
      <w:tr w:rsidR="00534EF2" w:rsidRPr="00E803CA" w14:paraId="4949998E" w14:textId="77777777" w:rsidTr="000B4685">
        <w:trPr>
          <w:trHeight w:val="255"/>
        </w:trPr>
        <w:tc>
          <w:tcPr>
            <w:tcW w:w="5103" w:type="dxa"/>
            <w:tcBorders>
              <w:top w:val="nil"/>
              <w:left w:val="nil"/>
              <w:bottom w:val="nil"/>
              <w:right w:val="nil"/>
            </w:tcBorders>
            <w:shd w:val="clear" w:color="auto" w:fill="auto"/>
            <w:noWrap/>
            <w:vAlign w:val="bottom"/>
          </w:tcPr>
          <w:p w14:paraId="452384D0" w14:textId="3E37EC3F" w:rsidR="00CD2AA2" w:rsidRPr="00E803CA" w:rsidRDefault="00CD2AA2" w:rsidP="00CD2AA2">
            <w:pPr>
              <w:rPr>
                <w:color w:val="000000"/>
                <w:sz w:val="20"/>
                <w:szCs w:val="20"/>
              </w:rPr>
            </w:pPr>
            <w:r w:rsidRPr="00E803CA">
              <w:rPr>
                <w:color w:val="000000"/>
                <w:sz w:val="20"/>
                <w:szCs w:val="20"/>
              </w:rPr>
              <w:t>Balance at 31 March 202</w:t>
            </w:r>
            <w:r>
              <w:rPr>
                <w:color w:val="000000"/>
                <w:sz w:val="20"/>
                <w:szCs w:val="20"/>
              </w:rPr>
              <w:t>3</w:t>
            </w:r>
          </w:p>
        </w:tc>
        <w:tc>
          <w:tcPr>
            <w:tcW w:w="709" w:type="dxa"/>
            <w:tcBorders>
              <w:left w:val="nil"/>
              <w:right w:val="nil"/>
            </w:tcBorders>
          </w:tcPr>
          <w:p w14:paraId="7EAAFF2B" w14:textId="77777777" w:rsidR="00CD2AA2" w:rsidRPr="00E803CA" w:rsidRDefault="00CD2AA2" w:rsidP="00CD2AA2">
            <w:pPr>
              <w:jc w:val="center"/>
              <w:rPr>
                <w:sz w:val="20"/>
                <w:szCs w:val="20"/>
              </w:rPr>
            </w:pPr>
          </w:p>
        </w:tc>
        <w:tc>
          <w:tcPr>
            <w:tcW w:w="992" w:type="dxa"/>
            <w:tcBorders>
              <w:top w:val="single" w:sz="4" w:space="0" w:color="auto"/>
              <w:left w:val="nil"/>
              <w:right w:val="nil"/>
            </w:tcBorders>
            <w:shd w:val="clear" w:color="auto" w:fill="auto"/>
            <w:noWrap/>
            <w:vAlign w:val="bottom"/>
          </w:tcPr>
          <w:p w14:paraId="010C0C23" w14:textId="5FDCF82A" w:rsidR="00CD2AA2" w:rsidRPr="00E803CA" w:rsidRDefault="00CD2AA2" w:rsidP="00CD2AA2">
            <w:pPr>
              <w:jc w:val="center"/>
              <w:rPr>
                <w:sz w:val="20"/>
                <w:szCs w:val="20"/>
              </w:rPr>
            </w:pPr>
            <w:r w:rsidRPr="00E803CA">
              <w:rPr>
                <w:sz w:val="20"/>
                <w:szCs w:val="20"/>
              </w:rPr>
              <w:t>115,393</w:t>
            </w:r>
          </w:p>
        </w:tc>
        <w:tc>
          <w:tcPr>
            <w:tcW w:w="1276" w:type="dxa"/>
            <w:tcBorders>
              <w:top w:val="single" w:sz="4" w:space="0" w:color="auto"/>
            </w:tcBorders>
            <w:shd w:val="clear" w:color="auto" w:fill="auto"/>
            <w:vAlign w:val="bottom"/>
          </w:tcPr>
          <w:p w14:paraId="463A4367" w14:textId="3B279694" w:rsidR="00CD2AA2" w:rsidRPr="00E803CA" w:rsidRDefault="00CD2AA2" w:rsidP="00CD2AA2">
            <w:pPr>
              <w:jc w:val="center"/>
              <w:rPr>
                <w:color w:val="000000"/>
                <w:sz w:val="20"/>
                <w:szCs w:val="20"/>
              </w:rPr>
            </w:pPr>
            <w:r w:rsidRPr="00E803CA">
              <w:rPr>
                <w:color w:val="000000"/>
                <w:sz w:val="20"/>
                <w:szCs w:val="20"/>
              </w:rPr>
              <w:t>144,311</w:t>
            </w:r>
          </w:p>
        </w:tc>
        <w:tc>
          <w:tcPr>
            <w:tcW w:w="992" w:type="dxa"/>
            <w:tcBorders>
              <w:top w:val="single" w:sz="4" w:space="0" w:color="auto"/>
              <w:left w:val="nil"/>
              <w:right w:val="nil"/>
            </w:tcBorders>
            <w:shd w:val="clear" w:color="auto" w:fill="auto"/>
            <w:vAlign w:val="bottom"/>
          </w:tcPr>
          <w:p w14:paraId="44389219" w14:textId="3E672C3E" w:rsidR="00CD2AA2" w:rsidRPr="00E803CA" w:rsidRDefault="00CD2AA2" w:rsidP="00CD2AA2">
            <w:pPr>
              <w:jc w:val="center"/>
              <w:rPr>
                <w:sz w:val="20"/>
                <w:szCs w:val="20"/>
              </w:rPr>
            </w:pPr>
            <w:r w:rsidRPr="00E803CA">
              <w:rPr>
                <w:sz w:val="20"/>
                <w:szCs w:val="20"/>
              </w:rPr>
              <w:t>259,704</w:t>
            </w:r>
          </w:p>
        </w:tc>
      </w:tr>
      <w:tr w:rsidR="00E74B17" w:rsidRPr="00E803CA" w14:paraId="43DDDDFC" w14:textId="77777777" w:rsidTr="000B4685">
        <w:trPr>
          <w:trHeight w:val="255"/>
        </w:trPr>
        <w:tc>
          <w:tcPr>
            <w:tcW w:w="5103" w:type="dxa"/>
            <w:tcBorders>
              <w:top w:val="nil"/>
              <w:left w:val="nil"/>
              <w:bottom w:val="nil"/>
              <w:right w:val="nil"/>
            </w:tcBorders>
            <w:shd w:val="clear" w:color="auto" w:fill="auto"/>
            <w:noWrap/>
            <w:vAlign w:val="bottom"/>
          </w:tcPr>
          <w:p w14:paraId="2794B993" w14:textId="77777777" w:rsidR="00BD77B5" w:rsidRPr="00E803CA" w:rsidRDefault="00BD77B5" w:rsidP="00BD77B5">
            <w:pPr>
              <w:rPr>
                <w:color w:val="000000"/>
                <w:sz w:val="20"/>
                <w:szCs w:val="20"/>
              </w:rPr>
            </w:pPr>
          </w:p>
        </w:tc>
        <w:tc>
          <w:tcPr>
            <w:tcW w:w="709" w:type="dxa"/>
            <w:tcBorders>
              <w:left w:val="nil"/>
              <w:right w:val="nil"/>
            </w:tcBorders>
          </w:tcPr>
          <w:p w14:paraId="0F9FFFD7" w14:textId="77777777" w:rsidR="00BD77B5" w:rsidRPr="00E803CA" w:rsidRDefault="00BD77B5" w:rsidP="00BD77B5">
            <w:pPr>
              <w:jc w:val="center"/>
              <w:rPr>
                <w:sz w:val="20"/>
                <w:szCs w:val="20"/>
              </w:rPr>
            </w:pPr>
          </w:p>
        </w:tc>
        <w:tc>
          <w:tcPr>
            <w:tcW w:w="992" w:type="dxa"/>
            <w:tcBorders>
              <w:left w:val="nil"/>
              <w:right w:val="nil"/>
            </w:tcBorders>
            <w:shd w:val="clear" w:color="auto" w:fill="auto"/>
            <w:noWrap/>
            <w:vAlign w:val="bottom"/>
          </w:tcPr>
          <w:p w14:paraId="0826A0DE" w14:textId="77777777" w:rsidR="00BD77B5" w:rsidRPr="00E803CA" w:rsidRDefault="00BD77B5" w:rsidP="000B4685">
            <w:pPr>
              <w:jc w:val="center"/>
              <w:rPr>
                <w:sz w:val="20"/>
                <w:szCs w:val="20"/>
              </w:rPr>
            </w:pPr>
          </w:p>
        </w:tc>
        <w:tc>
          <w:tcPr>
            <w:tcW w:w="1276" w:type="dxa"/>
            <w:shd w:val="clear" w:color="auto" w:fill="auto"/>
            <w:vAlign w:val="bottom"/>
          </w:tcPr>
          <w:p w14:paraId="4CF61C3F" w14:textId="77777777" w:rsidR="00BD77B5" w:rsidRPr="00E803CA" w:rsidRDefault="00BD77B5" w:rsidP="000B4685">
            <w:pPr>
              <w:jc w:val="center"/>
              <w:rPr>
                <w:color w:val="000000"/>
                <w:sz w:val="20"/>
                <w:szCs w:val="20"/>
              </w:rPr>
            </w:pPr>
          </w:p>
        </w:tc>
        <w:tc>
          <w:tcPr>
            <w:tcW w:w="992" w:type="dxa"/>
            <w:tcBorders>
              <w:left w:val="nil"/>
              <w:right w:val="nil"/>
            </w:tcBorders>
            <w:shd w:val="clear" w:color="auto" w:fill="auto"/>
            <w:vAlign w:val="bottom"/>
          </w:tcPr>
          <w:p w14:paraId="18A66E30" w14:textId="77777777" w:rsidR="00BD77B5" w:rsidRPr="00E803CA" w:rsidRDefault="00BD77B5" w:rsidP="000B4685">
            <w:pPr>
              <w:jc w:val="center"/>
              <w:rPr>
                <w:sz w:val="20"/>
                <w:szCs w:val="20"/>
              </w:rPr>
            </w:pPr>
          </w:p>
        </w:tc>
      </w:tr>
      <w:tr w:rsidR="00E74B17" w:rsidRPr="00F4705F" w14:paraId="6686B952" w14:textId="77777777" w:rsidTr="000B4685">
        <w:trPr>
          <w:trHeight w:val="255"/>
        </w:trPr>
        <w:tc>
          <w:tcPr>
            <w:tcW w:w="5103" w:type="dxa"/>
            <w:tcBorders>
              <w:top w:val="nil"/>
              <w:left w:val="nil"/>
              <w:bottom w:val="nil"/>
              <w:right w:val="nil"/>
            </w:tcBorders>
            <w:shd w:val="clear" w:color="auto" w:fill="auto"/>
            <w:noWrap/>
            <w:vAlign w:val="bottom"/>
          </w:tcPr>
          <w:p w14:paraId="3199EF61" w14:textId="23F216C9" w:rsidR="00BD77B5" w:rsidRPr="00F4705F" w:rsidRDefault="00BD77B5" w:rsidP="00BD77B5">
            <w:pPr>
              <w:rPr>
                <w:color w:val="000000"/>
                <w:sz w:val="20"/>
                <w:szCs w:val="20"/>
              </w:rPr>
            </w:pPr>
            <w:r w:rsidRPr="00F4705F">
              <w:rPr>
                <w:color w:val="000000"/>
                <w:sz w:val="20"/>
                <w:szCs w:val="20"/>
              </w:rPr>
              <w:t xml:space="preserve">Total comprehensive </w:t>
            </w:r>
            <w:r w:rsidR="00706F99" w:rsidRPr="00F4705F">
              <w:rPr>
                <w:color w:val="000000"/>
                <w:sz w:val="20"/>
                <w:szCs w:val="20"/>
              </w:rPr>
              <w:t>surplus</w:t>
            </w:r>
            <w:r w:rsidRPr="00F4705F">
              <w:rPr>
                <w:color w:val="000000"/>
                <w:sz w:val="20"/>
                <w:szCs w:val="20"/>
              </w:rPr>
              <w:t xml:space="preserve"> for the year</w:t>
            </w:r>
          </w:p>
        </w:tc>
        <w:tc>
          <w:tcPr>
            <w:tcW w:w="709" w:type="dxa"/>
            <w:tcBorders>
              <w:left w:val="nil"/>
              <w:right w:val="nil"/>
            </w:tcBorders>
          </w:tcPr>
          <w:p w14:paraId="7981261D" w14:textId="77777777" w:rsidR="00BD77B5" w:rsidRPr="00F4705F" w:rsidRDefault="00BD77B5" w:rsidP="00BD77B5">
            <w:pPr>
              <w:jc w:val="center"/>
              <w:rPr>
                <w:sz w:val="20"/>
                <w:szCs w:val="20"/>
              </w:rPr>
            </w:pPr>
          </w:p>
        </w:tc>
        <w:tc>
          <w:tcPr>
            <w:tcW w:w="992" w:type="dxa"/>
            <w:tcBorders>
              <w:left w:val="nil"/>
              <w:right w:val="nil"/>
            </w:tcBorders>
            <w:shd w:val="clear" w:color="auto" w:fill="auto"/>
            <w:noWrap/>
            <w:vAlign w:val="bottom"/>
          </w:tcPr>
          <w:p w14:paraId="6AA02A7B" w14:textId="4D49735B" w:rsidR="00BD77B5" w:rsidRPr="00AA583E" w:rsidRDefault="00C31AA7" w:rsidP="000B4685">
            <w:pPr>
              <w:jc w:val="center"/>
              <w:rPr>
                <w:sz w:val="20"/>
                <w:szCs w:val="20"/>
              </w:rPr>
            </w:pPr>
            <w:r w:rsidRPr="00AA583E">
              <w:rPr>
                <w:sz w:val="20"/>
                <w:szCs w:val="20"/>
              </w:rPr>
              <w:t>27,</w:t>
            </w:r>
            <w:r w:rsidR="001F799A" w:rsidRPr="00AA583E">
              <w:rPr>
                <w:sz w:val="20"/>
                <w:szCs w:val="20"/>
              </w:rPr>
              <w:t>6</w:t>
            </w:r>
            <w:r w:rsidR="009A765C" w:rsidRPr="00AA583E">
              <w:rPr>
                <w:sz w:val="20"/>
                <w:szCs w:val="20"/>
              </w:rPr>
              <w:t>33</w:t>
            </w:r>
          </w:p>
        </w:tc>
        <w:tc>
          <w:tcPr>
            <w:tcW w:w="1276" w:type="dxa"/>
            <w:shd w:val="clear" w:color="auto" w:fill="auto"/>
            <w:vAlign w:val="bottom"/>
          </w:tcPr>
          <w:p w14:paraId="1D8AABF1" w14:textId="2680E27B" w:rsidR="00BD77B5" w:rsidRPr="00AA583E" w:rsidRDefault="003F4820" w:rsidP="000B4685">
            <w:pPr>
              <w:jc w:val="center"/>
              <w:rPr>
                <w:color w:val="000000"/>
                <w:sz w:val="20"/>
                <w:szCs w:val="20"/>
              </w:rPr>
            </w:pPr>
            <w:r w:rsidRPr="00AA583E">
              <w:rPr>
                <w:color w:val="000000"/>
                <w:sz w:val="20"/>
                <w:szCs w:val="20"/>
              </w:rPr>
              <w:t>-</w:t>
            </w:r>
          </w:p>
        </w:tc>
        <w:tc>
          <w:tcPr>
            <w:tcW w:w="992" w:type="dxa"/>
            <w:tcBorders>
              <w:left w:val="nil"/>
              <w:right w:val="nil"/>
            </w:tcBorders>
            <w:shd w:val="clear" w:color="auto" w:fill="auto"/>
            <w:vAlign w:val="bottom"/>
          </w:tcPr>
          <w:p w14:paraId="6BF30EAB" w14:textId="4D5FC8AF" w:rsidR="00BD77B5" w:rsidRPr="00AA583E" w:rsidRDefault="00C31AA7" w:rsidP="000B4685">
            <w:pPr>
              <w:jc w:val="center"/>
              <w:rPr>
                <w:sz w:val="20"/>
                <w:szCs w:val="20"/>
              </w:rPr>
            </w:pPr>
            <w:r w:rsidRPr="00AA583E">
              <w:rPr>
                <w:sz w:val="20"/>
                <w:szCs w:val="20"/>
              </w:rPr>
              <w:t>27,</w:t>
            </w:r>
            <w:r w:rsidR="001F799A" w:rsidRPr="00AA583E">
              <w:rPr>
                <w:sz w:val="20"/>
                <w:szCs w:val="20"/>
              </w:rPr>
              <w:t>6</w:t>
            </w:r>
            <w:r w:rsidR="009A765C" w:rsidRPr="00AA583E">
              <w:rPr>
                <w:sz w:val="20"/>
                <w:szCs w:val="20"/>
              </w:rPr>
              <w:t>33</w:t>
            </w:r>
          </w:p>
        </w:tc>
      </w:tr>
      <w:tr w:rsidR="00E74B17" w:rsidRPr="00F4705F" w14:paraId="03E18F71" w14:textId="77777777" w:rsidTr="000B4685">
        <w:trPr>
          <w:trHeight w:val="255"/>
        </w:trPr>
        <w:tc>
          <w:tcPr>
            <w:tcW w:w="5103" w:type="dxa"/>
            <w:tcBorders>
              <w:top w:val="nil"/>
              <w:left w:val="nil"/>
              <w:bottom w:val="nil"/>
              <w:right w:val="nil"/>
            </w:tcBorders>
            <w:shd w:val="clear" w:color="auto" w:fill="auto"/>
            <w:noWrap/>
            <w:vAlign w:val="bottom"/>
          </w:tcPr>
          <w:p w14:paraId="59805ABA" w14:textId="77777777" w:rsidR="006347F4" w:rsidRPr="00F4705F" w:rsidRDefault="006347F4" w:rsidP="006347F4">
            <w:pPr>
              <w:rPr>
                <w:color w:val="000000"/>
                <w:sz w:val="20"/>
                <w:szCs w:val="20"/>
              </w:rPr>
            </w:pPr>
            <w:r w:rsidRPr="00F4705F">
              <w:rPr>
                <w:color w:val="000000"/>
                <w:sz w:val="20"/>
                <w:szCs w:val="20"/>
              </w:rPr>
              <w:t>Transfer of reserves for the revaluation of housing properties</w:t>
            </w:r>
          </w:p>
        </w:tc>
        <w:tc>
          <w:tcPr>
            <w:tcW w:w="709" w:type="dxa"/>
            <w:tcBorders>
              <w:left w:val="nil"/>
              <w:right w:val="nil"/>
            </w:tcBorders>
          </w:tcPr>
          <w:p w14:paraId="2C25668A" w14:textId="77777777" w:rsidR="006347F4" w:rsidRPr="00F4705F" w:rsidRDefault="006347F4" w:rsidP="006347F4">
            <w:pPr>
              <w:jc w:val="center"/>
              <w:rPr>
                <w:sz w:val="20"/>
                <w:szCs w:val="20"/>
              </w:rPr>
            </w:pPr>
          </w:p>
        </w:tc>
        <w:tc>
          <w:tcPr>
            <w:tcW w:w="992" w:type="dxa"/>
            <w:tcBorders>
              <w:left w:val="nil"/>
              <w:right w:val="nil"/>
            </w:tcBorders>
            <w:shd w:val="clear" w:color="auto" w:fill="auto"/>
            <w:noWrap/>
            <w:vAlign w:val="bottom"/>
          </w:tcPr>
          <w:p w14:paraId="31DB9539" w14:textId="252163B2" w:rsidR="006347F4" w:rsidRPr="00AA583E" w:rsidRDefault="00431E13" w:rsidP="000B4685">
            <w:pPr>
              <w:jc w:val="center"/>
              <w:rPr>
                <w:sz w:val="20"/>
                <w:szCs w:val="20"/>
              </w:rPr>
            </w:pPr>
            <w:r w:rsidRPr="00AA583E">
              <w:rPr>
                <w:sz w:val="20"/>
                <w:szCs w:val="20"/>
              </w:rPr>
              <w:t>(12,637)</w:t>
            </w:r>
          </w:p>
        </w:tc>
        <w:tc>
          <w:tcPr>
            <w:tcW w:w="1276" w:type="dxa"/>
            <w:shd w:val="clear" w:color="auto" w:fill="auto"/>
            <w:vAlign w:val="bottom"/>
          </w:tcPr>
          <w:p w14:paraId="4FF8846C" w14:textId="2D4F0B55" w:rsidR="006347F4" w:rsidRPr="00AA583E" w:rsidRDefault="00431E13" w:rsidP="000B4685">
            <w:pPr>
              <w:jc w:val="center"/>
              <w:rPr>
                <w:color w:val="000000"/>
                <w:sz w:val="20"/>
                <w:szCs w:val="20"/>
              </w:rPr>
            </w:pPr>
            <w:r w:rsidRPr="00AA583E">
              <w:rPr>
                <w:color w:val="000000"/>
                <w:sz w:val="20"/>
                <w:szCs w:val="20"/>
              </w:rPr>
              <w:t>12,637</w:t>
            </w:r>
          </w:p>
        </w:tc>
        <w:tc>
          <w:tcPr>
            <w:tcW w:w="992" w:type="dxa"/>
            <w:tcBorders>
              <w:left w:val="nil"/>
              <w:right w:val="nil"/>
            </w:tcBorders>
            <w:shd w:val="clear" w:color="auto" w:fill="auto"/>
            <w:vAlign w:val="bottom"/>
          </w:tcPr>
          <w:p w14:paraId="0BFCFF79" w14:textId="0E861C6E" w:rsidR="006347F4" w:rsidRPr="00AA583E" w:rsidRDefault="003F4820" w:rsidP="000B4685">
            <w:pPr>
              <w:jc w:val="center"/>
              <w:rPr>
                <w:sz w:val="20"/>
                <w:szCs w:val="20"/>
              </w:rPr>
            </w:pPr>
            <w:r w:rsidRPr="00AA583E">
              <w:rPr>
                <w:sz w:val="20"/>
                <w:szCs w:val="20"/>
              </w:rPr>
              <w:t>-</w:t>
            </w:r>
          </w:p>
        </w:tc>
      </w:tr>
      <w:tr w:rsidR="00534EF2" w:rsidRPr="00F4705F" w14:paraId="5E452A3E" w14:textId="77777777" w:rsidTr="000B4685">
        <w:trPr>
          <w:trHeight w:val="255"/>
        </w:trPr>
        <w:tc>
          <w:tcPr>
            <w:tcW w:w="5103" w:type="dxa"/>
            <w:tcBorders>
              <w:top w:val="nil"/>
              <w:left w:val="nil"/>
              <w:bottom w:val="nil"/>
              <w:right w:val="nil"/>
            </w:tcBorders>
            <w:shd w:val="clear" w:color="auto" w:fill="auto"/>
            <w:noWrap/>
            <w:vAlign w:val="bottom"/>
          </w:tcPr>
          <w:p w14:paraId="7F48844A" w14:textId="77777777" w:rsidR="006347F4" w:rsidRPr="00F4705F" w:rsidRDefault="006347F4" w:rsidP="006347F4">
            <w:pPr>
              <w:rPr>
                <w:color w:val="000000"/>
                <w:sz w:val="20"/>
                <w:szCs w:val="20"/>
              </w:rPr>
            </w:pPr>
          </w:p>
        </w:tc>
        <w:tc>
          <w:tcPr>
            <w:tcW w:w="709" w:type="dxa"/>
            <w:tcBorders>
              <w:left w:val="nil"/>
              <w:right w:val="nil"/>
            </w:tcBorders>
          </w:tcPr>
          <w:p w14:paraId="1C080B76" w14:textId="77777777" w:rsidR="006347F4" w:rsidRPr="00F4705F" w:rsidRDefault="006347F4" w:rsidP="006347F4">
            <w:pPr>
              <w:jc w:val="center"/>
              <w:rPr>
                <w:sz w:val="20"/>
                <w:szCs w:val="20"/>
              </w:rPr>
            </w:pPr>
          </w:p>
        </w:tc>
        <w:tc>
          <w:tcPr>
            <w:tcW w:w="992" w:type="dxa"/>
            <w:tcBorders>
              <w:top w:val="single" w:sz="4" w:space="0" w:color="auto"/>
              <w:left w:val="nil"/>
              <w:right w:val="nil"/>
            </w:tcBorders>
            <w:shd w:val="clear" w:color="auto" w:fill="auto"/>
            <w:noWrap/>
            <w:vAlign w:val="bottom"/>
          </w:tcPr>
          <w:p w14:paraId="7BAC7C04" w14:textId="77777777" w:rsidR="006347F4" w:rsidRPr="00AA583E" w:rsidRDefault="006347F4" w:rsidP="000B4685">
            <w:pPr>
              <w:jc w:val="center"/>
              <w:rPr>
                <w:sz w:val="20"/>
                <w:szCs w:val="20"/>
              </w:rPr>
            </w:pPr>
          </w:p>
        </w:tc>
        <w:tc>
          <w:tcPr>
            <w:tcW w:w="1276" w:type="dxa"/>
            <w:tcBorders>
              <w:top w:val="single" w:sz="4" w:space="0" w:color="auto"/>
            </w:tcBorders>
            <w:shd w:val="clear" w:color="auto" w:fill="auto"/>
            <w:vAlign w:val="bottom"/>
          </w:tcPr>
          <w:p w14:paraId="231E909A" w14:textId="77777777" w:rsidR="006347F4" w:rsidRPr="00AA583E" w:rsidRDefault="006347F4" w:rsidP="000B4685">
            <w:pPr>
              <w:jc w:val="center"/>
              <w:rPr>
                <w:color w:val="000000"/>
                <w:sz w:val="20"/>
                <w:szCs w:val="20"/>
              </w:rPr>
            </w:pPr>
          </w:p>
        </w:tc>
        <w:tc>
          <w:tcPr>
            <w:tcW w:w="992" w:type="dxa"/>
            <w:tcBorders>
              <w:top w:val="single" w:sz="4" w:space="0" w:color="auto"/>
              <w:left w:val="nil"/>
              <w:right w:val="nil"/>
            </w:tcBorders>
            <w:shd w:val="clear" w:color="auto" w:fill="auto"/>
            <w:vAlign w:val="bottom"/>
          </w:tcPr>
          <w:p w14:paraId="669E3431" w14:textId="77777777" w:rsidR="006347F4" w:rsidRPr="00AA583E" w:rsidRDefault="006347F4" w:rsidP="000B4685">
            <w:pPr>
              <w:jc w:val="center"/>
              <w:rPr>
                <w:sz w:val="20"/>
                <w:szCs w:val="20"/>
              </w:rPr>
            </w:pPr>
          </w:p>
        </w:tc>
      </w:tr>
      <w:tr w:rsidR="00534EF2" w:rsidRPr="00F4705F" w14:paraId="27A5CFBD" w14:textId="77777777" w:rsidTr="000B4685">
        <w:trPr>
          <w:trHeight w:val="255"/>
        </w:trPr>
        <w:tc>
          <w:tcPr>
            <w:tcW w:w="5103" w:type="dxa"/>
            <w:tcBorders>
              <w:top w:val="nil"/>
              <w:left w:val="nil"/>
              <w:bottom w:val="nil"/>
              <w:right w:val="nil"/>
            </w:tcBorders>
            <w:shd w:val="clear" w:color="auto" w:fill="auto"/>
            <w:noWrap/>
            <w:vAlign w:val="bottom"/>
          </w:tcPr>
          <w:p w14:paraId="1E7282B0" w14:textId="79EBAD85" w:rsidR="006347F4" w:rsidRPr="00F4705F" w:rsidRDefault="006347F4" w:rsidP="006347F4">
            <w:pPr>
              <w:rPr>
                <w:color w:val="000000"/>
                <w:sz w:val="20"/>
                <w:szCs w:val="20"/>
              </w:rPr>
            </w:pPr>
            <w:r w:rsidRPr="00F4705F">
              <w:rPr>
                <w:color w:val="000000"/>
                <w:sz w:val="20"/>
                <w:szCs w:val="20"/>
              </w:rPr>
              <w:t>Balance at 31 March 202</w:t>
            </w:r>
            <w:r w:rsidR="00CD2AA2" w:rsidRPr="00F4705F">
              <w:rPr>
                <w:color w:val="000000"/>
                <w:sz w:val="20"/>
                <w:szCs w:val="20"/>
              </w:rPr>
              <w:t>4</w:t>
            </w:r>
          </w:p>
        </w:tc>
        <w:tc>
          <w:tcPr>
            <w:tcW w:w="709" w:type="dxa"/>
            <w:tcBorders>
              <w:left w:val="nil"/>
              <w:right w:val="nil"/>
            </w:tcBorders>
          </w:tcPr>
          <w:p w14:paraId="2A0C5E93" w14:textId="77777777" w:rsidR="006347F4" w:rsidRPr="00F4705F" w:rsidRDefault="006347F4" w:rsidP="006347F4">
            <w:pPr>
              <w:jc w:val="center"/>
              <w:rPr>
                <w:sz w:val="20"/>
                <w:szCs w:val="20"/>
              </w:rPr>
            </w:pPr>
          </w:p>
        </w:tc>
        <w:tc>
          <w:tcPr>
            <w:tcW w:w="992" w:type="dxa"/>
            <w:tcBorders>
              <w:left w:val="nil"/>
              <w:bottom w:val="single" w:sz="4" w:space="0" w:color="auto"/>
              <w:right w:val="nil"/>
            </w:tcBorders>
            <w:shd w:val="clear" w:color="auto" w:fill="auto"/>
            <w:noWrap/>
            <w:vAlign w:val="bottom"/>
          </w:tcPr>
          <w:p w14:paraId="3794EF91" w14:textId="6A03BE7F" w:rsidR="006347F4" w:rsidRPr="00AA583E" w:rsidRDefault="003F4820" w:rsidP="000B4685">
            <w:pPr>
              <w:jc w:val="center"/>
              <w:rPr>
                <w:sz w:val="20"/>
                <w:szCs w:val="20"/>
              </w:rPr>
            </w:pPr>
            <w:r w:rsidRPr="00AA583E">
              <w:rPr>
                <w:sz w:val="20"/>
                <w:szCs w:val="20"/>
              </w:rPr>
              <w:t>130</w:t>
            </w:r>
            <w:r w:rsidR="00751417" w:rsidRPr="00AA583E">
              <w:rPr>
                <w:sz w:val="20"/>
                <w:szCs w:val="20"/>
              </w:rPr>
              <w:t>,</w:t>
            </w:r>
            <w:r w:rsidR="009A765C" w:rsidRPr="00AA583E">
              <w:rPr>
                <w:sz w:val="20"/>
                <w:szCs w:val="20"/>
              </w:rPr>
              <w:t>389</w:t>
            </w:r>
          </w:p>
        </w:tc>
        <w:tc>
          <w:tcPr>
            <w:tcW w:w="1276" w:type="dxa"/>
            <w:tcBorders>
              <w:bottom w:val="single" w:sz="4" w:space="0" w:color="auto"/>
            </w:tcBorders>
            <w:shd w:val="clear" w:color="auto" w:fill="auto"/>
            <w:vAlign w:val="bottom"/>
          </w:tcPr>
          <w:p w14:paraId="67B7500F" w14:textId="3F558CE9" w:rsidR="006347F4" w:rsidRPr="00AA583E" w:rsidRDefault="00F409FF" w:rsidP="000B4685">
            <w:pPr>
              <w:jc w:val="center"/>
              <w:rPr>
                <w:color w:val="000000"/>
                <w:sz w:val="20"/>
                <w:szCs w:val="20"/>
              </w:rPr>
            </w:pPr>
            <w:r w:rsidRPr="00AA583E">
              <w:rPr>
                <w:color w:val="000000"/>
                <w:sz w:val="20"/>
                <w:szCs w:val="20"/>
              </w:rPr>
              <w:t>156,948</w:t>
            </w:r>
          </w:p>
        </w:tc>
        <w:tc>
          <w:tcPr>
            <w:tcW w:w="992" w:type="dxa"/>
            <w:tcBorders>
              <w:left w:val="nil"/>
              <w:bottom w:val="single" w:sz="4" w:space="0" w:color="auto"/>
              <w:right w:val="nil"/>
            </w:tcBorders>
            <w:shd w:val="clear" w:color="auto" w:fill="auto"/>
            <w:vAlign w:val="bottom"/>
          </w:tcPr>
          <w:p w14:paraId="7E874D1A" w14:textId="39DB5D6C" w:rsidR="006347F4" w:rsidRPr="00AA583E" w:rsidRDefault="00594A34" w:rsidP="000B4685">
            <w:pPr>
              <w:jc w:val="center"/>
              <w:rPr>
                <w:sz w:val="20"/>
                <w:szCs w:val="20"/>
              </w:rPr>
            </w:pPr>
            <w:r w:rsidRPr="00AA583E">
              <w:rPr>
                <w:sz w:val="20"/>
                <w:szCs w:val="20"/>
              </w:rPr>
              <w:t>287,</w:t>
            </w:r>
            <w:r w:rsidR="001F799A" w:rsidRPr="00AA583E">
              <w:rPr>
                <w:sz w:val="20"/>
                <w:szCs w:val="20"/>
              </w:rPr>
              <w:t>3</w:t>
            </w:r>
            <w:r w:rsidR="009A765C" w:rsidRPr="00AA583E">
              <w:rPr>
                <w:sz w:val="20"/>
                <w:szCs w:val="20"/>
              </w:rPr>
              <w:t>37</w:t>
            </w:r>
          </w:p>
        </w:tc>
      </w:tr>
    </w:tbl>
    <w:p w14:paraId="1F1F51B7" w14:textId="77777777" w:rsidR="0019473B" w:rsidRPr="00F4705F" w:rsidRDefault="0019473B" w:rsidP="005645DB">
      <w:pPr>
        <w:ind w:left="142" w:right="73"/>
        <w:rPr>
          <w:color w:val="000000"/>
          <w:sz w:val="22"/>
          <w:szCs w:val="22"/>
        </w:rPr>
      </w:pPr>
    </w:p>
    <w:p w14:paraId="0F8E9AF9" w14:textId="77777777" w:rsidR="0019473B" w:rsidRPr="00F4705F" w:rsidRDefault="0019473B" w:rsidP="005645DB">
      <w:pPr>
        <w:ind w:left="142" w:right="73"/>
        <w:rPr>
          <w:color w:val="000000"/>
          <w:sz w:val="22"/>
          <w:szCs w:val="22"/>
        </w:rPr>
      </w:pPr>
    </w:p>
    <w:p w14:paraId="6CDBEC7D" w14:textId="77777777" w:rsidR="00A2273F" w:rsidRPr="00F4705F" w:rsidRDefault="00A2273F" w:rsidP="00A2273F">
      <w:pPr>
        <w:ind w:right="73"/>
        <w:rPr>
          <w:color w:val="000000"/>
          <w:sz w:val="22"/>
          <w:szCs w:val="22"/>
        </w:rPr>
      </w:pPr>
    </w:p>
    <w:p w14:paraId="4C0C73CA" w14:textId="77777777" w:rsidR="00A2273F" w:rsidRPr="00F4705F" w:rsidRDefault="00A2273F" w:rsidP="00A2273F">
      <w:pPr>
        <w:ind w:right="73"/>
        <w:rPr>
          <w:color w:val="000000"/>
          <w:sz w:val="22"/>
          <w:szCs w:val="22"/>
        </w:rPr>
      </w:pPr>
    </w:p>
    <w:p w14:paraId="14C2FA4E" w14:textId="77777777" w:rsidR="00A2273F" w:rsidRPr="00F4705F" w:rsidRDefault="00A2273F" w:rsidP="00A2273F">
      <w:pPr>
        <w:ind w:right="73"/>
        <w:rPr>
          <w:color w:val="000000"/>
          <w:sz w:val="22"/>
          <w:szCs w:val="22"/>
        </w:rPr>
      </w:pPr>
    </w:p>
    <w:p w14:paraId="170947B9" w14:textId="77777777" w:rsidR="009C16A6" w:rsidRPr="00F4705F" w:rsidRDefault="009C16A6" w:rsidP="00A2273F">
      <w:pPr>
        <w:ind w:right="73"/>
        <w:rPr>
          <w:color w:val="000000"/>
          <w:sz w:val="22"/>
          <w:szCs w:val="22"/>
        </w:rPr>
      </w:pPr>
    </w:p>
    <w:p w14:paraId="5A113F53" w14:textId="77777777" w:rsidR="009C16A6" w:rsidRPr="00F4705F" w:rsidRDefault="009C16A6" w:rsidP="00A2273F">
      <w:pPr>
        <w:ind w:right="73"/>
        <w:rPr>
          <w:color w:val="000000"/>
          <w:sz w:val="22"/>
          <w:szCs w:val="22"/>
        </w:rPr>
      </w:pPr>
    </w:p>
    <w:p w14:paraId="62B7390E" w14:textId="77777777" w:rsidR="009C16A6" w:rsidRPr="00F4705F" w:rsidRDefault="009C16A6" w:rsidP="00A2273F">
      <w:pPr>
        <w:ind w:right="73"/>
        <w:rPr>
          <w:color w:val="000000"/>
          <w:sz w:val="22"/>
          <w:szCs w:val="22"/>
        </w:rPr>
      </w:pPr>
    </w:p>
    <w:p w14:paraId="2A14A920" w14:textId="77777777" w:rsidR="005645DB" w:rsidRPr="00F4705F" w:rsidRDefault="005645DB" w:rsidP="00A2273F">
      <w:pPr>
        <w:ind w:right="73"/>
        <w:rPr>
          <w:color w:val="000000"/>
          <w:sz w:val="22"/>
          <w:szCs w:val="22"/>
        </w:rPr>
      </w:pPr>
      <w:r w:rsidRPr="00F4705F">
        <w:rPr>
          <w:color w:val="000000"/>
          <w:sz w:val="22"/>
          <w:szCs w:val="22"/>
        </w:rPr>
        <w:t xml:space="preserve">All amounts relate to continuing operations.  </w:t>
      </w:r>
    </w:p>
    <w:p w14:paraId="75A8FEB3" w14:textId="77777777" w:rsidR="005645DB" w:rsidRPr="00F4705F" w:rsidRDefault="005645DB" w:rsidP="005645DB">
      <w:pPr>
        <w:ind w:right="-2646"/>
        <w:rPr>
          <w:color w:val="000000"/>
          <w:sz w:val="22"/>
          <w:szCs w:val="22"/>
        </w:rPr>
      </w:pPr>
    </w:p>
    <w:p w14:paraId="6F3FFD34" w14:textId="12B32031" w:rsidR="002F109B" w:rsidRPr="00F4705F" w:rsidRDefault="002F109B" w:rsidP="002F109B">
      <w:pPr>
        <w:jc w:val="both"/>
        <w:rPr>
          <w:sz w:val="22"/>
          <w:szCs w:val="22"/>
        </w:rPr>
      </w:pPr>
      <w:r w:rsidRPr="00F4705F">
        <w:rPr>
          <w:sz w:val="22"/>
          <w:szCs w:val="22"/>
        </w:rPr>
        <w:t xml:space="preserve">The notes on pages </w:t>
      </w:r>
      <w:r w:rsidR="00F66B00" w:rsidRPr="00F4705F">
        <w:rPr>
          <w:sz w:val="22"/>
          <w:szCs w:val="22"/>
        </w:rPr>
        <w:t>2</w:t>
      </w:r>
      <w:r w:rsidR="007D0D2A">
        <w:rPr>
          <w:sz w:val="22"/>
          <w:szCs w:val="22"/>
        </w:rPr>
        <w:t>1</w:t>
      </w:r>
      <w:r w:rsidR="000E6587" w:rsidRPr="00F4705F">
        <w:rPr>
          <w:sz w:val="22"/>
          <w:szCs w:val="22"/>
        </w:rPr>
        <w:t xml:space="preserve"> to </w:t>
      </w:r>
      <w:r w:rsidR="004E1648" w:rsidRPr="00F4705F">
        <w:rPr>
          <w:sz w:val="22"/>
          <w:szCs w:val="22"/>
        </w:rPr>
        <w:t>4</w:t>
      </w:r>
      <w:r w:rsidR="007D0D2A">
        <w:rPr>
          <w:sz w:val="22"/>
          <w:szCs w:val="22"/>
        </w:rPr>
        <w:t>2</w:t>
      </w:r>
      <w:r w:rsidRPr="00F4705F">
        <w:rPr>
          <w:sz w:val="22"/>
          <w:szCs w:val="22"/>
        </w:rPr>
        <w:t xml:space="preserve"> form part of these financial statements.</w:t>
      </w:r>
    </w:p>
    <w:p w14:paraId="04E1AE8D" w14:textId="77777777" w:rsidR="005645DB" w:rsidRPr="00F4705F" w:rsidRDefault="005645DB" w:rsidP="005645DB"/>
    <w:p w14:paraId="60F21809" w14:textId="77777777" w:rsidR="00B9246A" w:rsidRPr="00F4705F" w:rsidRDefault="008F7276">
      <w:r w:rsidRPr="00F4705F">
        <w:br w:type="page"/>
      </w:r>
    </w:p>
    <w:p w14:paraId="3B17C6D9" w14:textId="02858CEE" w:rsidR="00847AE4" w:rsidRPr="00F4705F" w:rsidRDefault="00847AE4" w:rsidP="00847AE4">
      <w:pPr>
        <w:rPr>
          <w:b/>
          <w:sz w:val="22"/>
          <w:szCs w:val="22"/>
        </w:rPr>
      </w:pPr>
      <w:bookmarkStart w:id="8" w:name="OLE_LINK1"/>
      <w:bookmarkStart w:id="9" w:name="_Toc269978063"/>
      <w:bookmarkStart w:id="10" w:name="_Toc269978064"/>
      <w:bookmarkEnd w:id="7"/>
      <w:r w:rsidRPr="00F4705F">
        <w:rPr>
          <w:b/>
          <w:sz w:val="22"/>
          <w:szCs w:val="22"/>
        </w:rPr>
        <w:lastRenderedPageBreak/>
        <w:t xml:space="preserve">STATEMENT OF FINANCIAL POSITION AS AT 31 MARCH </w:t>
      </w:r>
      <w:r w:rsidR="00C32E0F" w:rsidRPr="00F4705F">
        <w:rPr>
          <w:b/>
          <w:sz w:val="22"/>
          <w:szCs w:val="22"/>
        </w:rPr>
        <w:t>202</w:t>
      </w:r>
      <w:r w:rsidR="000E0D5B" w:rsidRPr="00F4705F">
        <w:rPr>
          <w:b/>
          <w:sz w:val="22"/>
          <w:szCs w:val="22"/>
        </w:rPr>
        <w:t>4</w:t>
      </w:r>
    </w:p>
    <w:tbl>
      <w:tblPr>
        <w:tblW w:w="10360" w:type="dxa"/>
        <w:tblLayout w:type="fixed"/>
        <w:tblLook w:val="0000" w:firstRow="0" w:lastRow="0" w:firstColumn="0" w:lastColumn="0" w:noHBand="0" w:noVBand="0"/>
      </w:tblPr>
      <w:tblGrid>
        <w:gridCol w:w="4361"/>
        <w:gridCol w:w="567"/>
        <w:gridCol w:w="283"/>
        <w:gridCol w:w="477"/>
        <w:gridCol w:w="232"/>
        <w:gridCol w:w="425"/>
        <w:gridCol w:w="567"/>
        <w:gridCol w:w="709"/>
        <w:gridCol w:w="11"/>
        <w:gridCol w:w="414"/>
        <w:gridCol w:w="915"/>
        <w:gridCol w:w="219"/>
        <w:gridCol w:w="1180"/>
      </w:tblGrid>
      <w:tr w:rsidR="00847AE4" w:rsidRPr="00F4705F" w14:paraId="1079B49B" w14:textId="77777777" w:rsidTr="1F1D26DB">
        <w:trPr>
          <w:gridAfter w:val="2"/>
          <w:wAfter w:w="1399" w:type="dxa"/>
          <w:trHeight w:val="80"/>
        </w:trPr>
        <w:tc>
          <w:tcPr>
            <w:tcW w:w="4361" w:type="dxa"/>
            <w:tcBorders>
              <w:top w:val="nil"/>
              <w:left w:val="nil"/>
              <w:bottom w:val="nil"/>
              <w:right w:val="nil"/>
            </w:tcBorders>
            <w:noWrap/>
            <w:vAlign w:val="bottom"/>
          </w:tcPr>
          <w:p w14:paraId="1A345896" w14:textId="77777777" w:rsidR="00847AE4" w:rsidRPr="00F4705F" w:rsidRDefault="00847AE4" w:rsidP="00847AE4">
            <w:pPr>
              <w:rPr>
                <w:b/>
                <w:bCs/>
                <w:sz w:val="22"/>
                <w:szCs w:val="22"/>
              </w:rPr>
            </w:pPr>
          </w:p>
        </w:tc>
        <w:tc>
          <w:tcPr>
            <w:tcW w:w="850" w:type="dxa"/>
            <w:gridSpan w:val="2"/>
            <w:tcBorders>
              <w:top w:val="nil"/>
              <w:left w:val="nil"/>
              <w:bottom w:val="nil"/>
              <w:right w:val="nil"/>
            </w:tcBorders>
            <w:noWrap/>
            <w:vAlign w:val="bottom"/>
          </w:tcPr>
          <w:p w14:paraId="65373F97" w14:textId="77777777" w:rsidR="00847AE4" w:rsidRPr="00F4705F" w:rsidRDefault="00847AE4" w:rsidP="00847AE4">
            <w:pPr>
              <w:rPr>
                <w:sz w:val="22"/>
                <w:szCs w:val="22"/>
              </w:rPr>
            </w:pPr>
          </w:p>
        </w:tc>
        <w:tc>
          <w:tcPr>
            <w:tcW w:w="477" w:type="dxa"/>
            <w:tcBorders>
              <w:top w:val="nil"/>
              <w:left w:val="nil"/>
              <w:bottom w:val="nil"/>
              <w:right w:val="nil"/>
            </w:tcBorders>
            <w:noWrap/>
            <w:vAlign w:val="bottom"/>
          </w:tcPr>
          <w:p w14:paraId="138F808A" w14:textId="77777777" w:rsidR="00847AE4" w:rsidRPr="00F4705F" w:rsidRDefault="00847AE4" w:rsidP="00847AE4">
            <w:pPr>
              <w:rPr>
                <w:sz w:val="22"/>
                <w:szCs w:val="22"/>
              </w:rPr>
            </w:pPr>
          </w:p>
        </w:tc>
        <w:tc>
          <w:tcPr>
            <w:tcW w:w="1224" w:type="dxa"/>
            <w:gridSpan w:val="3"/>
            <w:tcBorders>
              <w:top w:val="nil"/>
              <w:left w:val="nil"/>
              <w:bottom w:val="nil"/>
              <w:right w:val="nil"/>
            </w:tcBorders>
            <w:noWrap/>
            <w:vAlign w:val="bottom"/>
          </w:tcPr>
          <w:p w14:paraId="0342EB34" w14:textId="77777777" w:rsidR="00847AE4" w:rsidRPr="00F4705F" w:rsidRDefault="00847AE4" w:rsidP="00847AE4">
            <w:pPr>
              <w:rPr>
                <w:sz w:val="22"/>
                <w:szCs w:val="22"/>
              </w:rPr>
            </w:pPr>
          </w:p>
        </w:tc>
        <w:tc>
          <w:tcPr>
            <w:tcW w:w="720" w:type="dxa"/>
            <w:gridSpan w:val="2"/>
            <w:tcBorders>
              <w:top w:val="nil"/>
              <w:left w:val="nil"/>
              <w:bottom w:val="nil"/>
              <w:right w:val="nil"/>
            </w:tcBorders>
            <w:noWrap/>
            <w:vAlign w:val="bottom"/>
          </w:tcPr>
          <w:p w14:paraId="3945DECA" w14:textId="77777777" w:rsidR="00847AE4" w:rsidRPr="00F4705F" w:rsidRDefault="00847AE4" w:rsidP="00847AE4">
            <w:pPr>
              <w:rPr>
                <w:sz w:val="22"/>
                <w:szCs w:val="22"/>
              </w:rPr>
            </w:pPr>
          </w:p>
        </w:tc>
        <w:tc>
          <w:tcPr>
            <w:tcW w:w="1329" w:type="dxa"/>
            <w:gridSpan w:val="2"/>
            <w:tcBorders>
              <w:top w:val="nil"/>
              <w:left w:val="nil"/>
              <w:bottom w:val="nil"/>
              <w:right w:val="nil"/>
            </w:tcBorders>
            <w:noWrap/>
            <w:vAlign w:val="bottom"/>
          </w:tcPr>
          <w:p w14:paraId="4880CE5D" w14:textId="77777777" w:rsidR="00847AE4" w:rsidRPr="00F4705F" w:rsidRDefault="00847AE4" w:rsidP="00847AE4">
            <w:pPr>
              <w:rPr>
                <w:sz w:val="22"/>
                <w:szCs w:val="22"/>
              </w:rPr>
            </w:pPr>
          </w:p>
        </w:tc>
      </w:tr>
      <w:tr w:rsidR="00C32E0F" w:rsidRPr="00F4705F" w14:paraId="5C8FEAEA" w14:textId="77777777" w:rsidTr="1F1D26DB">
        <w:trPr>
          <w:gridAfter w:val="1"/>
          <w:wAfter w:w="1180" w:type="dxa"/>
          <w:trHeight w:val="270"/>
        </w:trPr>
        <w:tc>
          <w:tcPr>
            <w:tcW w:w="4928" w:type="dxa"/>
            <w:gridSpan w:val="2"/>
            <w:tcBorders>
              <w:top w:val="nil"/>
              <w:left w:val="nil"/>
              <w:bottom w:val="nil"/>
              <w:right w:val="nil"/>
            </w:tcBorders>
            <w:noWrap/>
            <w:vAlign w:val="bottom"/>
          </w:tcPr>
          <w:p w14:paraId="28126A96" w14:textId="77777777" w:rsidR="00C32E0F" w:rsidRPr="00F4705F" w:rsidRDefault="00C32E0F" w:rsidP="00C32E0F">
            <w:pPr>
              <w:rPr>
                <w:sz w:val="22"/>
                <w:szCs w:val="22"/>
              </w:rPr>
            </w:pPr>
          </w:p>
        </w:tc>
        <w:tc>
          <w:tcPr>
            <w:tcW w:w="992" w:type="dxa"/>
            <w:gridSpan w:val="3"/>
            <w:tcBorders>
              <w:top w:val="nil"/>
              <w:left w:val="nil"/>
              <w:bottom w:val="nil"/>
              <w:right w:val="nil"/>
            </w:tcBorders>
            <w:noWrap/>
            <w:vAlign w:val="bottom"/>
          </w:tcPr>
          <w:p w14:paraId="658FD2E2" w14:textId="77777777" w:rsidR="00C32E0F" w:rsidRPr="00F4705F" w:rsidRDefault="00C32E0F" w:rsidP="00C32E0F">
            <w:pPr>
              <w:jc w:val="center"/>
              <w:rPr>
                <w:b/>
                <w:bCs/>
                <w:i/>
                <w:iCs/>
                <w:sz w:val="22"/>
                <w:szCs w:val="22"/>
              </w:rPr>
            </w:pPr>
            <w:r w:rsidRPr="00F4705F">
              <w:rPr>
                <w:b/>
                <w:bCs/>
                <w:i/>
                <w:iCs/>
                <w:sz w:val="22"/>
                <w:szCs w:val="22"/>
              </w:rPr>
              <w:t>Notes</w:t>
            </w:r>
          </w:p>
        </w:tc>
        <w:tc>
          <w:tcPr>
            <w:tcW w:w="425" w:type="dxa"/>
            <w:tcBorders>
              <w:top w:val="nil"/>
              <w:left w:val="nil"/>
              <w:bottom w:val="nil"/>
              <w:right w:val="nil"/>
            </w:tcBorders>
            <w:noWrap/>
            <w:vAlign w:val="bottom"/>
          </w:tcPr>
          <w:p w14:paraId="599A1280" w14:textId="77777777" w:rsidR="00C32E0F" w:rsidRPr="00F4705F" w:rsidRDefault="00C32E0F" w:rsidP="00C32E0F">
            <w:pPr>
              <w:ind w:right="-288"/>
              <w:jc w:val="right"/>
              <w:rPr>
                <w:b/>
                <w:bCs/>
                <w:sz w:val="22"/>
                <w:szCs w:val="22"/>
              </w:rPr>
            </w:pPr>
          </w:p>
        </w:tc>
        <w:tc>
          <w:tcPr>
            <w:tcW w:w="1276" w:type="dxa"/>
            <w:gridSpan w:val="2"/>
            <w:tcBorders>
              <w:top w:val="nil"/>
              <w:left w:val="nil"/>
              <w:right w:val="nil"/>
            </w:tcBorders>
            <w:noWrap/>
            <w:vAlign w:val="bottom"/>
          </w:tcPr>
          <w:p w14:paraId="06C48FA5" w14:textId="4B53D799" w:rsidR="00C32E0F" w:rsidRPr="00F4705F" w:rsidRDefault="00C32E0F" w:rsidP="00C32E0F">
            <w:pPr>
              <w:jc w:val="right"/>
              <w:rPr>
                <w:b/>
                <w:bCs/>
                <w:sz w:val="22"/>
                <w:szCs w:val="22"/>
              </w:rPr>
            </w:pPr>
            <w:r w:rsidRPr="00F4705F">
              <w:rPr>
                <w:b/>
                <w:bCs/>
                <w:sz w:val="22"/>
                <w:szCs w:val="22"/>
              </w:rPr>
              <w:t>202</w:t>
            </w:r>
            <w:r w:rsidR="00700BF2" w:rsidRPr="00F4705F">
              <w:rPr>
                <w:b/>
                <w:bCs/>
                <w:sz w:val="22"/>
                <w:szCs w:val="22"/>
              </w:rPr>
              <w:t>4</w:t>
            </w:r>
          </w:p>
          <w:p w14:paraId="3DC769EF" w14:textId="77777777" w:rsidR="00C32E0F" w:rsidRPr="00F4705F" w:rsidRDefault="00C32E0F" w:rsidP="00C32E0F">
            <w:pPr>
              <w:jc w:val="right"/>
              <w:rPr>
                <w:b/>
                <w:bCs/>
                <w:sz w:val="22"/>
                <w:szCs w:val="22"/>
              </w:rPr>
            </w:pPr>
            <w:r w:rsidRPr="00F4705F">
              <w:rPr>
                <w:b/>
                <w:bCs/>
                <w:sz w:val="22"/>
                <w:szCs w:val="22"/>
              </w:rPr>
              <w:t>£’000</w:t>
            </w:r>
          </w:p>
        </w:tc>
        <w:tc>
          <w:tcPr>
            <w:tcW w:w="425" w:type="dxa"/>
            <w:gridSpan w:val="2"/>
            <w:tcBorders>
              <w:top w:val="nil"/>
              <w:left w:val="nil"/>
              <w:right w:val="nil"/>
            </w:tcBorders>
            <w:noWrap/>
            <w:vAlign w:val="bottom"/>
          </w:tcPr>
          <w:p w14:paraId="2637CA1F" w14:textId="77777777" w:rsidR="00C32E0F" w:rsidRPr="00F4705F" w:rsidRDefault="00C32E0F" w:rsidP="00C32E0F">
            <w:pPr>
              <w:jc w:val="right"/>
              <w:rPr>
                <w:b/>
                <w:bCs/>
                <w:sz w:val="22"/>
                <w:szCs w:val="22"/>
              </w:rPr>
            </w:pPr>
          </w:p>
        </w:tc>
        <w:tc>
          <w:tcPr>
            <w:tcW w:w="1134" w:type="dxa"/>
            <w:gridSpan w:val="2"/>
            <w:tcBorders>
              <w:top w:val="nil"/>
              <w:left w:val="nil"/>
              <w:right w:val="nil"/>
            </w:tcBorders>
            <w:noWrap/>
            <w:vAlign w:val="bottom"/>
          </w:tcPr>
          <w:p w14:paraId="6EED5210" w14:textId="39F8C916" w:rsidR="00C32E0F" w:rsidRPr="00F4705F" w:rsidRDefault="00C32E0F" w:rsidP="00C32E0F">
            <w:pPr>
              <w:jc w:val="right"/>
              <w:rPr>
                <w:b/>
                <w:bCs/>
                <w:sz w:val="22"/>
                <w:szCs w:val="22"/>
              </w:rPr>
            </w:pPr>
            <w:r w:rsidRPr="00F4705F">
              <w:rPr>
                <w:b/>
                <w:bCs/>
                <w:sz w:val="22"/>
                <w:szCs w:val="22"/>
              </w:rPr>
              <w:t>202</w:t>
            </w:r>
            <w:r w:rsidR="00700BF2" w:rsidRPr="00F4705F">
              <w:rPr>
                <w:b/>
                <w:bCs/>
                <w:sz w:val="22"/>
                <w:szCs w:val="22"/>
              </w:rPr>
              <w:t>3</w:t>
            </w:r>
          </w:p>
          <w:p w14:paraId="6D727F70" w14:textId="21723423" w:rsidR="00C32E0F" w:rsidRPr="00F4705F" w:rsidRDefault="00C32E0F" w:rsidP="00C32E0F">
            <w:pPr>
              <w:jc w:val="right"/>
              <w:rPr>
                <w:b/>
                <w:bCs/>
                <w:sz w:val="22"/>
                <w:szCs w:val="22"/>
              </w:rPr>
            </w:pPr>
            <w:r w:rsidRPr="00F4705F">
              <w:rPr>
                <w:b/>
                <w:bCs/>
                <w:sz w:val="22"/>
                <w:szCs w:val="22"/>
              </w:rPr>
              <w:t>£’000</w:t>
            </w:r>
          </w:p>
        </w:tc>
      </w:tr>
      <w:tr w:rsidR="00C32E0F" w:rsidRPr="00F4705F" w14:paraId="77E79B6A" w14:textId="77777777" w:rsidTr="1F1D26DB">
        <w:trPr>
          <w:gridAfter w:val="1"/>
          <w:wAfter w:w="1180" w:type="dxa"/>
          <w:trHeight w:val="255"/>
        </w:trPr>
        <w:tc>
          <w:tcPr>
            <w:tcW w:w="4928" w:type="dxa"/>
            <w:gridSpan w:val="2"/>
            <w:tcBorders>
              <w:top w:val="nil"/>
              <w:left w:val="nil"/>
              <w:bottom w:val="nil"/>
              <w:right w:val="nil"/>
            </w:tcBorders>
            <w:noWrap/>
            <w:vAlign w:val="bottom"/>
          </w:tcPr>
          <w:p w14:paraId="1833FD55" w14:textId="77777777" w:rsidR="00C32E0F" w:rsidRPr="00F4705F" w:rsidRDefault="00C32E0F" w:rsidP="00C32E0F">
            <w:pPr>
              <w:rPr>
                <w:b/>
                <w:bCs/>
                <w:sz w:val="22"/>
                <w:szCs w:val="22"/>
              </w:rPr>
            </w:pPr>
            <w:r w:rsidRPr="00F4705F">
              <w:rPr>
                <w:b/>
                <w:bCs/>
                <w:sz w:val="22"/>
                <w:szCs w:val="22"/>
              </w:rPr>
              <w:t>Fixed assets</w:t>
            </w:r>
          </w:p>
        </w:tc>
        <w:tc>
          <w:tcPr>
            <w:tcW w:w="992" w:type="dxa"/>
            <w:gridSpan w:val="3"/>
            <w:tcBorders>
              <w:top w:val="nil"/>
              <w:left w:val="nil"/>
              <w:bottom w:val="nil"/>
              <w:right w:val="nil"/>
            </w:tcBorders>
            <w:noWrap/>
            <w:vAlign w:val="bottom"/>
          </w:tcPr>
          <w:p w14:paraId="1D8A760E" w14:textId="77777777" w:rsidR="00C32E0F" w:rsidRPr="00F4705F" w:rsidRDefault="00C32E0F" w:rsidP="00C32E0F">
            <w:pPr>
              <w:jc w:val="center"/>
              <w:rPr>
                <w:i/>
                <w:iCs/>
                <w:sz w:val="22"/>
                <w:szCs w:val="22"/>
              </w:rPr>
            </w:pPr>
          </w:p>
        </w:tc>
        <w:tc>
          <w:tcPr>
            <w:tcW w:w="425" w:type="dxa"/>
            <w:tcBorders>
              <w:top w:val="nil"/>
              <w:left w:val="nil"/>
              <w:bottom w:val="nil"/>
              <w:right w:val="nil"/>
            </w:tcBorders>
            <w:noWrap/>
            <w:vAlign w:val="bottom"/>
          </w:tcPr>
          <w:p w14:paraId="63DFB832" w14:textId="77777777" w:rsidR="00C32E0F" w:rsidRPr="00F4705F" w:rsidRDefault="00C32E0F" w:rsidP="00C32E0F">
            <w:pPr>
              <w:ind w:right="-288"/>
              <w:rPr>
                <w:sz w:val="22"/>
                <w:szCs w:val="22"/>
              </w:rPr>
            </w:pPr>
          </w:p>
        </w:tc>
        <w:tc>
          <w:tcPr>
            <w:tcW w:w="1276" w:type="dxa"/>
            <w:gridSpan w:val="2"/>
            <w:tcBorders>
              <w:top w:val="nil"/>
              <w:left w:val="nil"/>
              <w:right w:val="nil"/>
            </w:tcBorders>
            <w:noWrap/>
            <w:vAlign w:val="bottom"/>
          </w:tcPr>
          <w:p w14:paraId="18AA5073" w14:textId="77777777" w:rsidR="00C32E0F" w:rsidRPr="00F4705F" w:rsidRDefault="00C32E0F" w:rsidP="00C32E0F">
            <w:pPr>
              <w:jc w:val="right"/>
              <w:rPr>
                <w:sz w:val="22"/>
                <w:szCs w:val="22"/>
              </w:rPr>
            </w:pPr>
          </w:p>
        </w:tc>
        <w:tc>
          <w:tcPr>
            <w:tcW w:w="425" w:type="dxa"/>
            <w:gridSpan w:val="2"/>
            <w:tcBorders>
              <w:top w:val="nil"/>
              <w:left w:val="nil"/>
              <w:right w:val="nil"/>
            </w:tcBorders>
            <w:noWrap/>
            <w:vAlign w:val="bottom"/>
          </w:tcPr>
          <w:p w14:paraId="58DD1009" w14:textId="77777777" w:rsidR="00C32E0F" w:rsidRPr="00F4705F" w:rsidRDefault="00C32E0F" w:rsidP="00C32E0F">
            <w:pPr>
              <w:jc w:val="right"/>
              <w:rPr>
                <w:sz w:val="22"/>
                <w:szCs w:val="22"/>
              </w:rPr>
            </w:pPr>
          </w:p>
        </w:tc>
        <w:tc>
          <w:tcPr>
            <w:tcW w:w="1134" w:type="dxa"/>
            <w:gridSpan w:val="2"/>
            <w:tcBorders>
              <w:top w:val="nil"/>
              <w:left w:val="nil"/>
              <w:right w:val="nil"/>
            </w:tcBorders>
            <w:noWrap/>
            <w:vAlign w:val="bottom"/>
          </w:tcPr>
          <w:p w14:paraId="33BD1551" w14:textId="77777777" w:rsidR="00C32E0F" w:rsidRPr="00F4705F" w:rsidRDefault="00C32E0F" w:rsidP="00C32E0F">
            <w:pPr>
              <w:jc w:val="right"/>
              <w:rPr>
                <w:sz w:val="22"/>
                <w:szCs w:val="22"/>
              </w:rPr>
            </w:pPr>
          </w:p>
        </w:tc>
      </w:tr>
      <w:tr w:rsidR="00700BF2" w:rsidRPr="00F4705F" w14:paraId="0B7379E9" w14:textId="77777777" w:rsidTr="1F1D26DB">
        <w:trPr>
          <w:gridAfter w:val="1"/>
          <w:wAfter w:w="1180" w:type="dxa"/>
          <w:trHeight w:val="255"/>
        </w:trPr>
        <w:tc>
          <w:tcPr>
            <w:tcW w:w="4928" w:type="dxa"/>
            <w:gridSpan w:val="2"/>
            <w:tcBorders>
              <w:top w:val="nil"/>
              <w:left w:val="nil"/>
              <w:bottom w:val="nil"/>
              <w:right w:val="nil"/>
            </w:tcBorders>
            <w:noWrap/>
            <w:vAlign w:val="bottom"/>
          </w:tcPr>
          <w:p w14:paraId="0B422D4B" w14:textId="77777777" w:rsidR="00700BF2" w:rsidRPr="00F4705F" w:rsidRDefault="00700BF2" w:rsidP="00700BF2">
            <w:pPr>
              <w:rPr>
                <w:sz w:val="22"/>
                <w:szCs w:val="22"/>
              </w:rPr>
            </w:pPr>
            <w:r w:rsidRPr="00F4705F">
              <w:rPr>
                <w:sz w:val="22"/>
                <w:szCs w:val="22"/>
              </w:rPr>
              <w:t>Social housing properties</w:t>
            </w:r>
          </w:p>
        </w:tc>
        <w:tc>
          <w:tcPr>
            <w:tcW w:w="992" w:type="dxa"/>
            <w:gridSpan w:val="3"/>
            <w:tcBorders>
              <w:top w:val="nil"/>
              <w:left w:val="nil"/>
              <w:bottom w:val="nil"/>
              <w:right w:val="nil"/>
            </w:tcBorders>
            <w:noWrap/>
            <w:vAlign w:val="bottom"/>
          </w:tcPr>
          <w:p w14:paraId="04D04C6C" w14:textId="5BE42E30" w:rsidR="00700BF2" w:rsidRPr="00F4705F" w:rsidRDefault="00700BF2" w:rsidP="00700BF2">
            <w:pPr>
              <w:jc w:val="center"/>
              <w:rPr>
                <w:sz w:val="22"/>
                <w:szCs w:val="22"/>
              </w:rPr>
            </w:pPr>
            <w:r w:rsidRPr="00F4705F">
              <w:rPr>
                <w:sz w:val="22"/>
                <w:szCs w:val="22"/>
              </w:rPr>
              <w:t>14</w:t>
            </w:r>
          </w:p>
        </w:tc>
        <w:tc>
          <w:tcPr>
            <w:tcW w:w="425" w:type="dxa"/>
            <w:tcBorders>
              <w:top w:val="nil"/>
              <w:left w:val="nil"/>
              <w:bottom w:val="nil"/>
              <w:right w:val="nil"/>
            </w:tcBorders>
            <w:noWrap/>
            <w:vAlign w:val="bottom"/>
          </w:tcPr>
          <w:p w14:paraId="46108B39" w14:textId="77777777" w:rsidR="00700BF2" w:rsidRPr="00F4705F" w:rsidRDefault="00700BF2" w:rsidP="00700BF2">
            <w:pPr>
              <w:ind w:right="-288"/>
              <w:rPr>
                <w:sz w:val="22"/>
                <w:szCs w:val="22"/>
              </w:rPr>
            </w:pPr>
          </w:p>
        </w:tc>
        <w:tc>
          <w:tcPr>
            <w:tcW w:w="1276" w:type="dxa"/>
            <w:gridSpan w:val="2"/>
            <w:tcBorders>
              <w:left w:val="nil"/>
              <w:right w:val="nil"/>
            </w:tcBorders>
            <w:noWrap/>
            <w:vAlign w:val="bottom"/>
          </w:tcPr>
          <w:p w14:paraId="03B9E832" w14:textId="29E7933E" w:rsidR="00700BF2" w:rsidRPr="00F4705F" w:rsidRDefault="00594A34" w:rsidP="00700BF2">
            <w:pPr>
              <w:jc w:val="right"/>
              <w:rPr>
                <w:sz w:val="22"/>
                <w:szCs w:val="22"/>
              </w:rPr>
            </w:pPr>
            <w:r w:rsidRPr="00F4705F">
              <w:rPr>
                <w:sz w:val="22"/>
                <w:szCs w:val="22"/>
              </w:rPr>
              <w:t>465,426</w:t>
            </w:r>
          </w:p>
        </w:tc>
        <w:tc>
          <w:tcPr>
            <w:tcW w:w="425" w:type="dxa"/>
            <w:gridSpan w:val="2"/>
            <w:tcBorders>
              <w:left w:val="nil"/>
              <w:bottom w:val="nil"/>
              <w:right w:val="nil"/>
            </w:tcBorders>
            <w:noWrap/>
            <w:vAlign w:val="bottom"/>
          </w:tcPr>
          <w:p w14:paraId="0E0D7B84" w14:textId="77777777" w:rsidR="00700BF2" w:rsidRPr="00F4705F" w:rsidRDefault="00700BF2" w:rsidP="00700BF2">
            <w:pPr>
              <w:jc w:val="right"/>
              <w:rPr>
                <w:sz w:val="22"/>
                <w:szCs w:val="22"/>
              </w:rPr>
            </w:pPr>
          </w:p>
        </w:tc>
        <w:tc>
          <w:tcPr>
            <w:tcW w:w="1134" w:type="dxa"/>
            <w:gridSpan w:val="2"/>
            <w:tcBorders>
              <w:left w:val="nil"/>
              <w:right w:val="nil"/>
            </w:tcBorders>
            <w:noWrap/>
            <w:vAlign w:val="bottom"/>
          </w:tcPr>
          <w:p w14:paraId="36483705" w14:textId="79CDA7ED" w:rsidR="00700BF2" w:rsidRPr="00F4705F" w:rsidRDefault="00700BF2" w:rsidP="00700BF2">
            <w:pPr>
              <w:jc w:val="right"/>
              <w:rPr>
                <w:sz w:val="22"/>
                <w:szCs w:val="22"/>
              </w:rPr>
            </w:pPr>
            <w:r w:rsidRPr="00F4705F">
              <w:rPr>
                <w:sz w:val="22"/>
                <w:szCs w:val="22"/>
              </w:rPr>
              <w:t>423,556</w:t>
            </w:r>
          </w:p>
        </w:tc>
      </w:tr>
      <w:tr w:rsidR="00700BF2" w:rsidRPr="00F4705F" w14:paraId="046F11A5" w14:textId="77777777" w:rsidTr="1F1D26DB">
        <w:trPr>
          <w:gridAfter w:val="1"/>
          <w:wAfter w:w="1180" w:type="dxa"/>
          <w:trHeight w:val="255"/>
        </w:trPr>
        <w:tc>
          <w:tcPr>
            <w:tcW w:w="4928" w:type="dxa"/>
            <w:gridSpan w:val="2"/>
            <w:tcBorders>
              <w:top w:val="nil"/>
              <w:left w:val="nil"/>
              <w:bottom w:val="nil"/>
              <w:right w:val="nil"/>
            </w:tcBorders>
            <w:noWrap/>
            <w:vAlign w:val="bottom"/>
          </w:tcPr>
          <w:p w14:paraId="681890DF" w14:textId="77777777" w:rsidR="00700BF2" w:rsidRPr="00F4705F" w:rsidRDefault="00700BF2" w:rsidP="00700BF2">
            <w:pPr>
              <w:rPr>
                <w:sz w:val="22"/>
                <w:szCs w:val="22"/>
              </w:rPr>
            </w:pPr>
            <w:r w:rsidRPr="00F4705F">
              <w:rPr>
                <w:sz w:val="22"/>
                <w:szCs w:val="22"/>
              </w:rPr>
              <w:t>Other tangible fixed assets</w:t>
            </w:r>
          </w:p>
        </w:tc>
        <w:tc>
          <w:tcPr>
            <w:tcW w:w="992" w:type="dxa"/>
            <w:gridSpan w:val="3"/>
            <w:tcBorders>
              <w:top w:val="nil"/>
              <w:left w:val="nil"/>
              <w:bottom w:val="nil"/>
              <w:right w:val="nil"/>
            </w:tcBorders>
            <w:noWrap/>
            <w:vAlign w:val="bottom"/>
          </w:tcPr>
          <w:p w14:paraId="117AA1D1" w14:textId="59814E11" w:rsidR="00700BF2" w:rsidRPr="00F4705F" w:rsidRDefault="00700BF2" w:rsidP="00700BF2">
            <w:pPr>
              <w:jc w:val="center"/>
              <w:rPr>
                <w:sz w:val="22"/>
                <w:szCs w:val="22"/>
              </w:rPr>
            </w:pPr>
            <w:r w:rsidRPr="00F4705F">
              <w:rPr>
                <w:sz w:val="22"/>
                <w:szCs w:val="22"/>
              </w:rPr>
              <w:t>15</w:t>
            </w:r>
          </w:p>
        </w:tc>
        <w:tc>
          <w:tcPr>
            <w:tcW w:w="425" w:type="dxa"/>
            <w:tcBorders>
              <w:top w:val="nil"/>
              <w:left w:val="nil"/>
              <w:bottom w:val="nil"/>
              <w:right w:val="nil"/>
            </w:tcBorders>
            <w:noWrap/>
            <w:vAlign w:val="bottom"/>
          </w:tcPr>
          <w:p w14:paraId="289E8A7F" w14:textId="77777777" w:rsidR="00700BF2" w:rsidRPr="00F4705F" w:rsidRDefault="00700BF2" w:rsidP="00700BF2">
            <w:pPr>
              <w:ind w:right="-288"/>
              <w:jc w:val="right"/>
              <w:rPr>
                <w:sz w:val="22"/>
                <w:szCs w:val="22"/>
              </w:rPr>
            </w:pPr>
          </w:p>
        </w:tc>
        <w:tc>
          <w:tcPr>
            <w:tcW w:w="1276" w:type="dxa"/>
            <w:gridSpan w:val="2"/>
            <w:tcBorders>
              <w:left w:val="nil"/>
              <w:right w:val="nil"/>
            </w:tcBorders>
            <w:noWrap/>
            <w:vAlign w:val="bottom"/>
          </w:tcPr>
          <w:p w14:paraId="6533ED1F" w14:textId="4EC7A74F" w:rsidR="00700BF2" w:rsidRPr="00F4705F" w:rsidRDefault="00BC0EA8" w:rsidP="00700BF2">
            <w:pPr>
              <w:jc w:val="right"/>
              <w:rPr>
                <w:sz w:val="22"/>
                <w:szCs w:val="22"/>
              </w:rPr>
            </w:pPr>
            <w:r w:rsidRPr="00F4705F">
              <w:rPr>
                <w:sz w:val="22"/>
                <w:szCs w:val="22"/>
              </w:rPr>
              <w:t>1,878</w:t>
            </w:r>
          </w:p>
        </w:tc>
        <w:tc>
          <w:tcPr>
            <w:tcW w:w="425" w:type="dxa"/>
            <w:gridSpan w:val="2"/>
            <w:tcBorders>
              <w:left w:val="nil"/>
              <w:bottom w:val="nil"/>
              <w:right w:val="nil"/>
            </w:tcBorders>
            <w:noWrap/>
            <w:vAlign w:val="bottom"/>
          </w:tcPr>
          <w:p w14:paraId="141CA6F1" w14:textId="77777777" w:rsidR="00700BF2" w:rsidRPr="00F4705F" w:rsidRDefault="00700BF2" w:rsidP="00700BF2">
            <w:pPr>
              <w:jc w:val="right"/>
              <w:rPr>
                <w:sz w:val="22"/>
                <w:szCs w:val="22"/>
              </w:rPr>
            </w:pPr>
          </w:p>
        </w:tc>
        <w:tc>
          <w:tcPr>
            <w:tcW w:w="1134" w:type="dxa"/>
            <w:gridSpan w:val="2"/>
            <w:tcBorders>
              <w:left w:val="nil"/>
              <w:right w:val="nil"/>
            </w:tcBorders>
            <w:noWrap/>
            <w:vAlign w:val="bottom"/>
          </w:tcPr>
          <w:p w14:paraId="2A3D1583" w14:textId="3E55B741" w:rsidR="00700BF2" w:rsidRPr="00F4705F" w:rsidRDefault="00700BF2" w:rsidP="00700BF2">
            <w:pPr>
              <w:jc w:val="right"/>
              <w:rPr>
                <w:sz w:val="22"/>
                <w:szCs w:val="22"/>
              </w:rPr>
            </w:pPr>
            <w:r w:rsidRPr="00F4705F">
              <w:rPr>
                <w:sz w:val="22"/>
                <w:szCs w:val="22"/>
              </w:rPr>
              <w:t>1,406</w:t>
            </w:r>
          </w:p>
        </w:tc>
      </w:tr>
      <w:tr w:rsidR="00700BF2" w:rsidRPr="00F4705F" w14:paraId="0B489966" w14:textId="77777777" w:rsidTr="1F1D26DB">
        <w:trPr>
          <w:gridAfter w:val="1"/>
          <w:wAfter w:w="1180" w:type="dxa"/>
          <w:trHeight w:val="255"/>
        </w:trPr>
        <w:tc>
          <w:tcPr>
            <w:tcW w:w="4928" w:type="dxa"/>
            <w:gridSpan w:val="2"/>
            <w:tcBorders>
              <w:top w:val="nil"/>
              <w:left w:val="nil"/>
              <w:bottom w:val="nil"/>
              <w:right w:val="nil"/>
            </w:tcBorders>
            <w:noWrap/>
            <w:vAlign w:val="bottom"/>
          </w:tcPr>
          <w:p w14:paraId="34048C42" w14:textId="77777777" w:rsidR="00700BF2" w:rsidRPr="00F4705F" w:rsidRDefault="00700BF2" w:rsidP="00700BF2">
            <w:pPr>
              <w:rPr>
                <w:sz w:val="22"/>
                <w:szCs w:val="22"/>
              </w:rPr>
            </w:pPr>
            <w:r w:rsidRPr="00F4705F">
              <w:rPr>
                <w:sz w:val="22"/>
                <w:szCs w:val="22"/>
              </w:rPr>
              <w:t>Investment properties</w:t>
            </w:r>
          </w:p>
        </w:tc>
        <w:tc>
          <w:tcPr>
            <w:tcW w:w="992" w:type="dxa"/>
            <w:gridSpan w:val="3"/>
            <w:tcBorders>
              <w:top w:val="nil"/>
              <w:left w:val="nil"/>
              <w:bottom w:val="nil"/>
              <w:right w:val="nil"/>
            </w:tcBorders>
            <w:noWrap/>
            <w:vAlign w:val="bottom"/>
          </w:tcPr>
          <w:p w14:paraId="2D8584FD" w14:textId="29D420E2" w:rsidR="00700BF2" w:rsidRPr="00F4705F" w:rsidRDefault="00700BF2" w:rsidP="00700BF2">
            <w:pPr>
              <w:jc w:val="center"/>
              <w:rPr>
                <w:sz w:val="22"/>
                <w:szCs w:val="22"/>
              </w:rPr>
            </w:pPr>
            <w:r w:rsidRPr="00F4705F">
              <w:rPr>
                <w:sz w:val="22"/>
                <w:szCs w:val="22"/>
              </w:rPr>
              <w:t>16</w:t>
            </w:r>
          </w:p>
        </w:tc>
        <w:tc>
          <w:tcPr>
            <w:tcW w:w="425" w:type="dxa"/>
            <w:tcBorders>
              <w:top w:val="nil"/>
              <w:left w:val="nil"/>
              <w:bottom w:val="nil"/>
              <w:right w:val="nil"/>
            </w:tcBorders>
            <w:noWrap/>
            <w:vAlign w:val="bottom"/>
          </w:tcPr>
          <w:p w14:paraId="764B9C8C" w14:textId="77777777" w:rsidR="00700BF2" w:rsidRPr="00F4705F" w:rsidRDefault="00700BF2" w:rsidP="00700BF2">
            <w:pPr>
              <w:ind w:right="-288"/>
              <w:rPr>
                <w:sz w:val="22"/>
                <w:szCs w:val="22"/>
              </w:rPr>
            </w:pPr>
          </w:p>
        </w:tc>
        <w:tc>
          <w:tcPr>
            <w:tcW w:w="1276" w:type="dxa"/>
            <w:gridSpan w:val="2"/>
            <w:tcBorders>
              <w:left w:val="nil"/>
              <w:right w:val="nil"/>
            </w:tcBorders>
            <w:noWrap/>
            <w:vAlign w:val="bottom"/>
          </w:tcPr>
          <w:p w14:paraId="4DC1A15E" w14:textId="1280AD2B" w:rsidR="00700BF2" w:rsidRPr="00F4705F" w:rsidRDefault="00147058" w:rsidP="00700BF2">
            <w:pPr>
              <w:jc w:val="right"/>
              <w:rPr>
                <w:sz w:val="22"/>
                <w:szCs w:val="22"/>
              </w:rPr>
            </w:pPr>
            <w:r w:rsidRPr="00F4705F">
              <w:rPr>
                <w:sz w:val="22"/>
                <w:szCs w:val="22"/>
              </w:rPr>
              <w:t>11,</w:t>
            </w:r>
            <w:r w:rsidR="00A7706F" w:rsidRPr="00F4705F">
              <w:rPr>
                <w:sz w:val="22"/>
                <w:szCs w:val="22"/>
              </w:rPr>
              <w:t>58</w:t>
            </w:r>
            <w:r w:rsidR="00FA6321" w:rsidRPr="00F4705F">
              <w:rPr>
                <w:sz w:val="22"/>
                <w:szCs w:val="22"/>
              </w:rPr>
              <w:t>2</w:t>
            </w:r>
          </w:p>
        </w:tc>
        <w:tc>
          <w:tcPr>
            <w:tcW w:w="425" w:type="dxa"/>
            <w:gridSpan w:val="2"/>
            <w:tcBorders>
              <w:left w:val="nil"/>
              <w:bottom w:val="nil"/>
              <w:right w:val="nil"/>
            </w:tcBorders>
            <w:noWrap/>
            <w:vAlign w:val="bottom"/>
          </w:tcPr>
          <w:p w14:paraId="18586C64" w14:textId="77777777" w:rsidR="00700BF2" w:rsidRPr="00F4705F" w:rsidRDefault="00700BF2" w:rsidP="00700BF2">
            <w:pPr>
              <w:jc w:val="right"/>
              <w:rPr>
                <w:sz w:val="22"/>
                <w:szCs w:val="22"/>
              </w:rPr>
            </w:pPr>
          </w:p>
        </w:tc>
        <w:tc>
          <w:tcPr>
            <w:tcW w:w="1134" w:type="dxa"/>
            <w:gridSpan w:val="2"/>
            <w:tcBorders>
              <w:left w:val="nil"/>
              <w:right w:val="nil"/>
            </w:tcBorders>
            <w:noWrap/>
            <w:vAlign w:val="bottom"/>
          </w:tcPr>
          <w:p w14:paraId="1342F89F" w14:textId="10A30C9E" w:rsidR="00700BF2" w:rsidRPr="00F4705F" w:rsidRDefault="00700BF2" w:rsidP="00700BF2">
            <w:pPr>
              <w:jc w:val="right"/>
              <w:rPr>
                <w:sz w:val="22"/>
                <w:szCs w:val="22"/>
              </w:rPr>
            </w:pPr>
            <w:r w:rsidRPr="00F4705F">
              <w:rPr>
                <w:sz w:val="22"/>
                <w:szCs w:val="22"/>
              </w:rPr>
              <w:t>12,154</w:t>
            </w:r>
          </w:p>
        </w:tc>
      </w:tr>
      <w:tr w:rsidR="00700BF2" w:rsidRPr="00F4705F" w14:paraId="3B6337C7" w14:textId="77777777" w:rsidTr="1F1D26DB">
        <w:trPr>
          <w:gridAfter w:val="1"/>
          <w:wAfter w:w="1180" w:type="dxa"/>
          <w:trHeight w:val="255"/>
        </w:trPr>
        <w:tc>
          <w:tcPr>
            <w:tcW w:w="4928" w:type="dxa"/>
            <w:gridSpan w:val="2"/>
            <w:tcBorders>
              <w:top w:val="nil"/>
              <w:left w:val="nil"/>
              <w:bottom w:val="nil"/>
              <w:right w:val="nil"/>
            </w:tcBorders>
            <w:noWrap/>
            <w:vAlign w:val="bottom"/>
          </w:tcPr>
          <w:p w14:paraId="7B3182EB" w14:textId="77777777" w:rsidR="00700BF2" w:rsidRPr="00F4705F" w:rsidRDefault="00700BF2" w:rsidP="00700BF2">
            <w:pPr>
              <w:rPr>
                <w:b/>
                <w:sz w:val="22"/>
                <w:szCs w:val="22"/>
              </w:rPr>
            </w:pPr>
          </w:p>
        </w:tc>
        <w:tc>
          <w:tcPr>
            <w:tcW w:w="992" w:type="dxa"/>
            <w:gridSpan w:val="3"/>
            <w:tcBorders>
              <w:top w:val="nil"/>
              <w:left w:val="nil"/>
              <w:bottom w:val="nil"/>
              <w:right w:val="nil"/>
            </w:tcBorders>
            <w:noWrap/>
            <w:vAlign w:val="bottom"/>
          </w:tcPr>
          <w:p w14:paraId="3578594C" w14:textId="77777777" w:rsidR="00700BF2" w:rsidRPr="00F4705F" w:rsidRDefault="00700BF2" w:rsidP="00700BF2">
            <w:pPr>
              <w:jc w:val="center"/>
              <w:rPr>
                <w:sz w:val="22"/>
                <w:szCs w:val="22"/>
              </w:rPr>
            </w:pPr>
          </w:p>
        </w:tc>
        <w:tc>
          <w:tcPr>
            <w:tcW w:w="425" w:type="dxa"/>
            <w:tcBorders>
              <w:top w:val="nil"/>
              <w:left w:val="nil"/>
              <w:bottom w:val="nil"/>
              <w:right w:val="nil"/>
            </w:tcBorders>
            <w:noWrap/>
            <w:vAlign w:val="bottom"/>
          </w:tcPr>
          <w:p w14:paraId="6506900C" w14:textId="77777777" w:rsidR="00700BF2" w:rsidRPr="00F4705F" w:rsidRDefault="00700BF2" w:rsidP="00700BF2">
            <w:pPr>
              <w:ind w:right="-288"/>
              <w:jc w:val="right"/>
              <w:rPr>
                <w:sz w:val="22"/>
                <w:szCs w:val="22"/>
              </w:rPr>
            </w:pPr>
          </w:p>
        </w:tc>
        <w:tc>
          <w:tcPr>
            <w:tcW w:w="1276" w:type="dxa"/>
            <w:gridSpan w:val="2"/>
            <w:tcBorders>
              <w:top w:val="single" w:sz="4" w:space="0" w:color="auto"/>
              <w:left w:val="nil"/>
              <w:bottom w:val="nil"/>
              <w:right w:val="nil"/>
            </w:tcBorders>
            <w:noWrap/>
            <w:vAlign w:val="bottom"/>
          </w:tcPr>
          <w:p w14:paraId="47D11B96" w14:textId="65ADAF70" w:rsidR="00700BF2" w:rsidRPr="00F4705F" w:rsidRDefault="00A7706F" w:rsidP="00700BF2">
            <w:pPr>
              <w:jc w:val="right"/>
              <w:rPr>
                <w:sz w:val="22"/>
                <w:szCs w:val="22"/>
              </w:rPr>
            </w:pPr>
            <w:r w:rsidRPr="00F4705F">
              <w:rPr>
                <w:sz w:val="22"/>
                <w:szCs w:val="22"/>
              </w:rPr>
              <w:t>478,88</w:t>
            </w:r>
            <w:r w:rsidR="00FA6321" w:rsidRPr="00F4705F">
              <w:rPr>
                <w:sz w:val="22"/>
                <w:szCs w:val="22"/>
              </w:rPr>
              <w:t>6</w:t>
            </w:r>
          </w:p>
        </w:tc>
        <w:tc>
          <w:tcPr>
            <w:tcW w:w="425" w:type="dxa"/>
            <w:gridSpan w:val="2"/>
            <w:tcBorders>
              <w:top w:val="nil"/>
              <w:left w:val="nil"/>
              <w:bottom w:val="nil"/>
              <w:right w:val="nil"/>
            </w:tcBorders>
            <w:noWrap/>
            <w:vAlign w:val="bottom"/>
          </w:tcPr>
          <w:p w14:paraId="3C1C33AB" w14:textId="77777777" w:rsidR="00700BF2" w:rsidRPr="00F4705F" w:rsidRDefault="00700BF2" w:rsidP="00700BF2">
            <w:pPr>
              <w:jc w:val="right"/>
              <w:rPr>
                <w:sz w:val="22"/>
                <w:szCs w:val="22"/>
              </w:rPr>
            </w:pPr>
          </w:p>
        </w:tc>
        <w:tc>
          <w:tcPr>
            <w:tcW w:w="1134" w:type="dxa"/>
            <w:gridSpan w:val="2"/>
            <w:tcBorders>
              <w:top w:val="single" w:sz="4" w:space="0" w:color="auto"/>
              <w:left w:val="nil"/>
              <w:bottom w:val="nil"/>
              <w:right w:val="nil"/>
            </w:tcBorders>
            <w:noWrap/>
            <w:vAlign w:val="bottom"/>
          </w:tcPr>
          <w:p w14:paraId="20F6E95C" w14:textId="3FD0C2B4" w:rsidR="00700BF2" w:rsidRPr="00F4705F" w:rsidRDefault="00700BF2" w:rsidP="00700BF2">
            <w:pPr>
              <w:jc w:val="right"/>
              <w:rPr>
                <w:sz w:val="22"/>
                <w:szCs w:val="22"/>
              </w:rPr>
            </w:pPr>
            <w:r w:rsidRPr="00F4705F">
              <w:rPr>
                <w:sz w:val="22"/>
                <w:szCs w:val="22"/>
              </w:rPr>
              <w:t>437,116</w:t>
            </w:r>
          </w:p>
        </w:tc>
      </w:tr>
      <w:tr w:rsidR="00700BF2" w:rsidRPr="00F4705F" w14:paraId="25AF96B6" w14:textId="77777777" w:rsidTr="1F1D26DB">
        <w:trPr>
          <w:gridAfter w:val="1"/>
          <w:wAfter w:w="1180" w:type="dxa"/>
          <w:trHeight w:val="255"/>
        </w:trPr>
        <w:tc>
          <w:tcPr>
            <w:tcW w:w="4928" w:type="dxa"/>
            <w:gridSpan w:val="2"/>
            <w:tcBorders>
              <w:top w:val="nil"/>
              <w:left w:val="nil"/>
              <w:bottom w:val="nil"/>
              <w:right w:val="nil"/>
            </w:tcBorders>
            <w:noWrap/>
            <w:vAlign w:val="bottom"/>
          </w:tcPr>
          <w:p w14:paraId="685FA076" w14:textId="77777777" w:rsidR="00700BF2" w:rsidRPr="00F4705F" w:rsidRDefault="00700BF2" w:rsidP="00700BF2">
            <w:pPr>
              <w:rPr>
                <w:b/>
                <w:bCs/>
                <w:sz w:val="22"/>
                <w:szCs w:val="22"/>
              </w:rPr>
            </w:pPr>
            <w:r w:rsidRPr="00F4705F">
              <w:rPr>
                <w:b/>
                <w:bCs/>
                <w:sz w:val="22"/>
                <w:szCs w:val="22"/>
              </w:rPr>
              <w:t>Current assets</w:t>
            </w:r>
          </w:p>
        </w:tc>
        <w:tc>
          <w:tcPr>
            <w:tcW w:w="992" w:type="dxa"/>
            <w:gridSpan w:val="3"/>
            <w:tcBorders>
              <w:top w:val="nil"/>
              <w:left w:val="nil"/>
              <w:bottom w:val="nil"/>
              <w:right w:val="nil"/>
            </w:tcBorders>
            <w:vAlign w:val="bottom"/>
          </w:tcPr>
          <w:p w14:paraId="379BC089" w14:textId="77777777" w:rsidR="00700BF2" w:rsidRPr="00F4705F" w:rsidRDefault="00700BF2" w:rsidP="00700BF2">
            <w:pPr>
              <w:jc w:val="center"/>
              <w:rPr>
                <w:sz w:val="22"/>
                <w:szCs w:val="22"/>
              </w:rPr>
            </w:pPr>
          </w:p>
        </w:tc>
        <w:tc>
          <w:tcPr>
            <w:tcW w:w="425" w:type="dxa"/>
            <w:tcBorders>
              <w:top w:val="nil"/>
              <w:left w:val="nil"/>
              <w:bottom w:val="nil"/>
              <w:right w:val="nil"/>
            </w:tcBorders>
            <w:noWrap/>
            <w:vAlign w:val="bottom"/>
          </w:tcPr>
          <w:p w14:paraId="6D36104C" w14:textId="77777777" w:rsidR="00700BF2" w:rsidRPr="00F4705F" w:rsidRDefault="00700BF2" w:rsidP="00700BF2">
            <w:pPr>
              <w:ind w:right="-288"/>
              <w:jc w:val="right"/>
              <w:rPr>
                <w:sz w:val="22"/>
                <w:szCs w:val="22"/>
              </w:rPr>
            </w:pPr>
          </w:p>
        </w:tc>
        <w:tc>
          <w:tcPr>
            <w:tcW w:w="1276" w:type="dxa"/>
            <w:gridSpan w:val="2"/>
            <w:tcBorders>
              <w:top w:val="nil"/>
              <w:left w:val="nil"/>
              <w:bottom w:val="nil"/>
              <w:right w:val="nil"/>
            </w:tcBorders>
            <w:noWrap/>
            <w:vAlign w:val="bottom"/>
          </w:tcPr>
          <w:p w14:paraId="4E1C2D38" w14:textId="77777777" w:rsidR="00700BF2" w:rsidRPr="00F4705F" w:rsidRDefault="00700BF2" w:rsidP="00700BF2">
            <w:pPr>
              <w:jc w:val="right"/>
              <w:rPr>
                <w:sz w:val="22"/>
                <w:szCs w:val="22"/>
              </w:rPr>
            </w:pPr>
          </w:p>
        </w:tc>
        <w:tc>
          <w:tcPr>
            <w:tcW w:w="425" w:type="dxa"/>
            <w:gridSpan w:val="2"/>
            <w:tcBorders>
              <w:top w:val="nil"/>
              <w:left w:val="nil"/>
              <w:bottom w:val="nil"/>
              <w:right w:val="nil"/>
            </w:tcBorders>
            <w:noWrap/>
            <w:vAlign w:val="bottom"/>
          </w:tcPr>
          <w:p w14:paraId="29FF8FB1" w14:textId="77777777" w:rsidR="00700BF2" w:rsidRPr="00F4705F" w:rsidRDefault="00700BF2" w:rsidP="00700BF2">
            <w:pPr>
              <w:jc w:val="right"/>
              <w:rPr>
                <w:sz w:val="22"/>
                <w:szCs w:val="22"/>
              </w:rPr>
            </w:pPr>
          </w:p>
        </w:tc>
        <w:tc>
          <w:tcPr>
            <w:tcW w:w="1134" w:type="dxa"/>
            <w:gridSpan w:val="2"/>
            <w:tcBorders>
              <w:top w:val="nil"/>
              <w:left w:val="nil"/>
              <w:bottom w:val="nil"/>
              <w:right w:val="nil"/>
            </w:tcBorders>
            <w:noWrap/>
            <w:vAlign w:val="bottom"/>
          </w:tcPr>
          <w:p w14:paraId="4C3844AE" w14:textId="77777777" w:rsidR="00700BF2" w:rsidRPr="00F4705F" w:rsidRDefault="00700BF2" w:rsidP="00700BF2">
            <w:pPr>
              <w:jc w:val="right"/>
              <w:rPr>
                <w:sz w:val="22"/>
                <w:szCs w:val="22"/>
              </w:rPr>
            </w:pPr>
          </w:p>
        </w:tc>
      </w:tr>
      <w:tr w:rsidR="00700BF2" w:rsidRPr="00F4705F" w14:paraId="49182F29" w14:textId="77777777" w:rsidTr="1F1D26DB">
        <w:trPr>
          <w:gridAfter w:val="1"/>
          <w:wAfter w:w="1180" w:type="dxa"/>
          <w:trHeight w:val="255"/>
        </w:trPr>
        <w:tc>
          <w:tcPr>
            <w:tcW w:w="4928" w:type="dxa"/>
            <w:gridSpan w:val="2"/>
            <w:tcBorders>
              <w:top w:val="nil"/>
              <w:left w:val="nil"/>
              <w:bottom w:val="nil"/>
              <w:right w:val="nil"/>
            </w:tcBorders>
            <w:noWrap/>
            <w:vAlign w:val="bottom"/>
          </w:tcPr>
          <w:p w14:paraId="5C35933D" w14:textId="77777777" w:rsidR="00700BF2" w:rsidRPr="00F4705F" w:rsidRDefault="00700BF2" w:rsidP="00700BF2">
            <w:pPr>
              <w:rPr>
                <w:bCs/>
                <w:sz w:val="22"/>
                <w:szCs w:val="22"/>
              </w:rPr>
            </w:pPr>
            <w:r w:rsidRPr="00F4705F">
              <w:rPr>
                <w:bCs/>
                <w:sz w:val="22"/>
                <w:szCs w:val="22"/>
              </w:rPr>
              <w:t>Stock</w:t>
            </w:r>
          </w:p>
        </w:tc>
        <w:tc>
          <w:tcPr>
            <w:tcW w:w="992" w:type="dxa"/>
            <w:gridSpan w:val="3"/>
            <w:tcBorders>
              <w:top w:val="nil"/>
              <w:left w:val="nil"/>
              <w:bottom w:val="nil"/>
              <w:right w:val="nil"/>
            </w:tcBorders>
            <w:vAlign w:val="bottom"/>
          </w:tcPr>
          <w:p w14:paraId="0E5E842C" w14:textId="3AB1EA8E" w:rsidR="00700BF2" w:rsidRPr="00F4705F" w:rsidRDefault="00700BF2" w:rsidP="00700BF2">
            <w:pPr>
              <w:jc w:val="center"/>
              <w:rPr>
                <w:sz w:val="22"/>
                <w:szCs w:val="22"/>
              </w:rPr>
            </w:pPr>
            <w:r w:rsidRPr="00F4705F">
              <w:rPr>
                <w:sz w:val="22"/>
                <w:szCs w:val="22"/>
              </w:rPr>
              <w:t>17</w:t>
            </w:r>
          </w:p>
        </w:tc>
        <w:tc>
          <w:tcPr>
            <w:tcW w:w="425" w:type="dxa"/>
            <w:tcBorders>
              <w:top w:val="nil"/>
              <w:left w:val="nil"/>
              <w:bottom w:val="nil"/>
              <w:right w:val="nil"/>
            </w:tcBorders>
            <w:noWrap/>
            <w:vAlign w:val="bottom"/>
          </w:tcPr>
          <w:p w14:paraId="5B014CDF" w14:textId="77777777" w:rsidR="00700BF2" w:rsidRPr="00F4705F" w:rsidRDefault="00700BF2" w:rsidP="00700BF2">
            <w:pPr>
              <w:ind w:right="-288"/>
              <w:jc w:val="right"/>
              <w:rPr>
                <w:sz w:val="22"/>
                <w:szCs w:val="22"/>
              </w:rPr>
            </w:pPr>
          </w:p>
        </w:tc>
        <w:tc>
          <w:tcPr>
            <w:tcW w:w="1276" w:type="dxa"/>
            <w:gridSpan w:val="2"/>
            <w:tcBorders>
              <w:top w:val="nil"/>
              <w:left w:val="nil"/>
              <w:bottom w:val="nil"/>
              <w:right w:val="nil"/>
            </w:tcBorders>
            <w:noWrap/>
            <w:vAlign w:val="bottom"/>
          </w:tcPr>
          <w:p w14:paraId="5BEEEC63" w14:textId="743CA9A1" w:rsidR="00700BF2" w:rsidRPr="00F4705F" w:rsidRDefault="00D224D1" w:rsidP="00700BF2">
            <w:pPr>
              <w:jc w:val="right"/>
              <w:rPr>
                <w:sz w:val="22"/>
                <w:szCs w:val="22"/>
              </w:rPr>
            </w:pPr>
            <w:r w:rsidRPr="00F4705F">
              <w:rPr>
                <w:sz w:val="22"/>
                <w:szCs w:val="22"/>
              </w:rPr>
              <w:t>897</w:t>
            </w:r>
          </w:p>
        </w:tc>
        <w:tc>
          <w:tcPr>
            <w:tcW w:w="425" w:type="dxa"/>
            <w:gridSpan w:val="2"/>
            <w:tcBorders>
              <w:top w:val="nil"/>
              <w:left w:val="nil"/>
              <w:bottom w:val="nil"/>
              <w:right w:val="nil"/>
            </w:tcBorders>
            <w:noWrap/>
            <w:vAlign w:val="bottom"/>
          </w:tcPr>
          <w:p w14:paraId="77EF88F3" w14:textId="77777777" w:rsidR="00700BF2" w:rsidRPr="00F4705F" w:rsidRDefault="00700BF2" w:rsidP="00700BF2">
            <w:pPr>
              <w:jc w:val="right"/>
              <w:rPr>
                <w:sz w:val="22"/>
                <w:szCs w:val="22"/>
              </w:rPr>
            </w:pPr>
          </w:p>
        </w:tc>
        <w:tc>
          <w:tcPr>
            <w:tcW w:w="1134" w:type="dxa"/>
            <w:gridSpan w:val="2"/>
            <w:tcBorders>
              <w:top w:val="nil"/>
              <w:left w:val="nil"/>
              <w:bottom w:val="nil"/>
              <w:right w:val="nil"/>
            </w:tcBorders>
            <w:noWrap/>
            <w:vAlign w:val="bottom"/>
          </w:tcPr>
          <w:p w14:paraId="3B65BD33" w14:textId="5BD34D27" w:rsidR="00700BF2" w:rsidRPr="00F4705F" w:rsidRDefault="00700BF2" w:rsidP="00700BF2">
            <w:pPr>
              <w:jc w:val="right"/>
              <w:rPr>
                <w:sz w:val="22"/>
                <w:szCs w:val="22"/>
              </w:rPr>
            </w:pPr>
            <w:r w:rsidRPr="00F4705F">
              <w:rPr>
                <w:sz w:val="22"/>
                <w:szCs w:val="22"/>
              </w:rPr>
              <w:t>954</w:t>
            </w:r>
          </w:p>
        </w:tc>
      </w:tr>
      <w:tr w:rsidR="00700BF2" w:rsidRPr="00F4705F" w14:paraId="3EDE3184" w14:textId="77777777" w:rsidTr="1F1D26DB">
        <w:trPr>
          <w:trHeight w:val="255"/>
        </w:trPr>
        <w:tc>
          <w:tcPr>
            <w:tcW w:w="4928" w:type="dxa"/>
            <w:gridSpan w:val="2"/>
            <w:tcBorders>
              <w:top w:val="nil"/>
              <w:left w:val="nil"/>
              <w:bottom w:val="nil"/>
              <w:right w:val="nil"/>
            </w:tcBorders>
            <w:noWrap/>
            <w:vAlign w:val="bottom"/>
          </w:tcPr>
          <w:p w14:paraId="3FD6055F" w14:textId="77777777" w:rsidR="00700BF2" w:rsidRPr="00F4705F" w:rsidRDefault="00700BF2" w:rsidP="00700BF2">
            <w:pPr>
              <w:rPr>
                <w:sz w:val="22"/>
                <w:szCs w:val="22"/>
              </w:rPr>
            </w:pPr>
            <w:r w:rsidRPr="00F4705F">
              <w:rPr>
                <w:sz w:val="22"/>
                <w:szCs w:val="22"/>
              </w:rPr>
              <w:t>Trade and other debtors</w:t>
            </w:r>
          </w:p>
        </w:tc>
        <w:tc>
          <w:tcPr>
            <w:tcW w:w="992" w:type="dxa"/>
            <w:gridSpan w:val="3"/>
            <w:tcBorders>
              <w:top w:val="nil"/>
              <w:left w:val="nil"/>
              <w:bottom w:val="nil"/>
              <w:right w:val="nil"/>
            </w:tcBorders>
            <w:vAlign w:val="bottom"/>
          </w:tcPr>
          <w:p w14:paraId="1098E050" w14:textId="0BF5E89E" w:rsidR="00700BF2" w:rsidRPr="00F4705F" w:rsidRDefault="00700BF2" w:rsidP="00700BF2">
            <w:pPr>
              <w:jc w:val="center"/>
              <w:rPr>
                <w:sz w:val="22"/>
                <w:szCs w:val="22"/>
              </w:rPr>
            </w:pPr>
            <w:r w:rsidRPr="00F4705F">
              <w:rPr>
                <w:sz w:val="22"/>
                <w:szCs w:val="22"/>
              </w:rPr>
              <w:t>18</w:t>
            </w:r>
          </w:p>
        </w:tc>
        <w:tc>
          <w:tcPr>
            <w:tcW w:w="425" w:type="dxa"/>
            <w:tcBorders>
              <w:top w:val="nil"/>
              <w:left w:val="nil"/>
              <w:bottom w:val="nil"/>
              <w:right w:val="nil"/>
            </w:tcBorders>
            <w:noWrap/>
            <w:vAlign w:val="bottom"/>
          </w:tcPr>
          <w:p w14:paraId="53E20586" w14:textId="77777777" w:rsidR="00700BF2" w:rsidRPr="00F4705F" w:rsidRDefault="00700BF2" w:rsidP="00700BF2">
            <w:pPr>
              <w:jc w:val="right"/>
              <w:rPr>
                <w:sz w:val="22"/>
                <w:szCs w:val="22"/>
              </w:rPr>
            </w:pPr>
          </w:p>
        </w:tc>
        <w:tc>
          <w:tcPr>
            <w:tcW w:w="1276" w:type="dxa"/>
            <w:gridSpan w:val="2"/>
            <w:tcBorders>
              <w:top w:val="nil"/>
              <w:left w:val="nil"/>
              <w:bottom w:val="nil"/>
              <w:right w:val="nil"/>
            </w:tcBorders>
            <w:shd w:val="clear" w:color="auto" w:fill="auto"/>
            <w:noWrap/>
            <w:vAlign w:val="bottom"/>
          </w:tcPr>
          <w:p w14:paraId="20FAC2D1" w14:textId="65C659C6" w:rsidR="00700BF2" w:rsidRPr="00F4705F" w:rsidRDefault="00267C8E" w:rsidP="00700BF2">
            <w:pPr>
              <w:jc w:val="right"/>
              <w:rPr>
                <w:sz w:val="22"/>
                <w:szCs w:val="22"/>
              </w:rPr>
            </w:pPr>
            <w:r w:rsidRPr="00F4705F">
              <w:rPr>
                <w:sz w:val="22"/>
                <w:szCs w:val="22"/>
              </w:rPr>
              <w:t>8,06</w:t>
            </w:r>
            <w:r w:rsidR="00C76F6B" w:rsidRPr="00F4705F">
              <w:rPr>
                <w:sz w:val="22"/>
                <w:szCs w:val="22"/>
              </w:rPr>
              <w:t>9</w:t>
            </w:r>
          </w:p>
        </w:tc>
        <w:tc>
          <w:tcPr>
            <w:tcW w:w="425" w:type="dxa"/>
            <w:gridSpan w:val="2"/>
            <w:tcBorders>
              <w:top w:val="nil"/>
              <w:left w:val="nil"/>
              <w:bottom w:val="nil"/>
              <w:right w:val="nil"/>
            </w:tcBorders>
            <w:noWrap/>
            <w:vAlign w:val="bottom"/>
          </w:tcPr>
          <w:p w14:paraId="4F109D4C" w14:textId="77777777" w:rsidR="00700BF2" w:rsidRPr="00F4705F" w:rsidRDefault="00700BF2" w:rsidP="00700BF2">
            <w:pPr>
              <w:jc w:val="right"/>
              <w:rPr>
                <w:sz w:val="22"/>
                <w:szCs w:val="22"/>
              </w:rPr>
            </w:pPr>
          </w:p>
        </w:tc>
        <w:tc>
          <w:tcPr>
            <w:tcW w:w="1134" w:type="dxa"/>
            <w:gridSpan w:val="2"/>
            <w:tcBorders>
              <w:top w:val="nil"/>
              <w:left w:val="nil"/>
              <w:bottom w:val="nil"/>
              <w:right w:val="nil"/>
            </w:tcBorders>
            <w:noWrap/>
            <w:vAlign w:val="bottom"/>
          </w:tcPr>
          <w:p w14:paraId="4B6F507D" w14:textId="4662969A" w:rsidR="00700BF2" w:rsidRPr="00F4705F" w:rsidRDefault="00700BF2" w:rsidP="00700BF2">
            <w:pPr>
              <w:jc w:val="right"/>
              <w:rPr>
                <w:sz w:val="22"/>
                <w:szCs w:val="22"/>
              </w:rPr>
            </w:pPr>
            <w:r w:rsidRPr="00F4705F">
              <w:rPr>
                <w:sz w:val="22"/>
                <w:szCs w:val="22"/>
              </w:rPr>
              <w:t>8,719</w:t>
            </w:r>
          </w:p>
        </w:tc>
        <w:tc>
          <w:tcPr>
            <w:tcW w:w="1180" w:type="dxa"/>
            <w:vAlign w:val="bottom"/>
          </w:tcPr>
          <w:p w14:paraId="086FAA20" w14:textId="77777777" w:rsidR="00700BF2" w:rsidRPr="00F4705F" w:rsidRDefault="00700BF2" w:rsidP="00700BF2">
            <w:pPr>
              <w:rPr>
                <w:sz w:val="22"/>
                <w:szCs w:val="22"/>
              </w:rPr>
            </w:pPr>
          </w:p>
        </w:tc>
      </w:tr>
      <w:tr w:rsidR="00700BF2" w:rsidRPr="00F4705F" w14:paraId="5926E1E7" w14:textId="77777777" w:rsidTr="1F1D26DB">
        <w:trPr>
          <w:gridAfter w:val="1"/>
          <w:wAfter w:w="1180" w:type="dxa"/>
          <w:trHeight w:val="255"/>
        </w:trPr>
        <w:tc>
          <w:tcPr>
            <w:tcW w:w="4928" w:type="dxa"/>
            <w:gridSpan w:val="2"/>
            <w:tcBorders>
              <w:top w:val="nil"/>
              <w:left w:val="nil"/>
              <w:bottom w:val="nil"/>
              <w:right w:val="nil"/>
            </w:tcBorders>
            <w:noWrap/>
            <w:vAlign w:val="bottom"/>
          </w:tcPr>
          <w:p w14:paraId="6D1E6F04" w14:textId="77777777" w:rsidR="00700BF2" w:rsidRPr="00F4705F" w:rsidRDefault="00700BF2" w:rsidP="00700BF2">
            <w:pPr>
              <w:rPr>
                <w:sz w:val="22"/>
                <w:szCs w:val="22"/>
              </w:rPr>
            </w:pPr>
            <w:r w:rsidRPr="00F4705F">
              <w:rPr>
                <w:sz w:val="22"/>
                <w:szCs w:val="22"/>
              </w:rPr>
              <w:t>Cash and cash equivalents</w:t>
            </w:r>
          </w:p>
        </w:tc>
        <w:tc>
          <w:tcPr>
            <w:tcW w:w="992" w:type="dxa"/>
            <w:gridSpan w:val="3"/>
            <w:tcBorders>
              <w:top w:val="nil"/>
              <w:left w:val="nil"/>
              <w:bottom w:val="nil"/>
              <w:right w:val="nil"/>
            </w:tcBorders>
            <w:noWrap/>
            <w:vAlign w:val="bottom"/>
          </w:tcPr>
          <w:p w14:paraId="4395D308" w14:textId="77777777" w:rsidR="00700BF2" w:rsidRPr="00F4705F" w:rsidRDefault="00700BF2" w:rsidP="00700BF2">
            <w:pPr>
              <w:jc w:val="center"/>
              <w:rPr>
                <w:sz w:val="22"/>
                <w:szCs w:val="22"/>
              </w:rPr>
            </w:pPr>
          </w:p>
        </w:tc>
        <w:tc>
          <w:tcPr>
            <w:tcW w:w="425" w:type="dxa"/>
            <w:tcBorders>
              <w:top w:val="nil"/>
              <w:left w:val="nil"/>
              <w:bottom w:val="nil"/>
              <w:right w:val="nil"/>
            </w:tcBorders>
            <w:noWrap/>
            <w:vAlign w:val="bottom"/>
          </w:tcPr>
          <w:p w14:paraId="65CDA701" w14:textId="77777777" w:rsidR="00700BF2" w:rsidRPr="00F4705F" w:rsidRDefault="00700BF2" w:rsidP="00700BF2">
            <w:pPr>
              <w:pStyle w:val="xl28"/>
              <w:spacing w:before="0" w:beforeAutospacing="0" w:after="0" w:afterAutospacing="0"/>
              <w:rPr>
                <w:sz w:val="22"/>
                <w:szCs w:val="22"/>
              </w:rPr>
            </w:pPr>
          </w:p>
        </w:tc>
        <w:tc>
          <w:tcPr>
            <w:tcW w:w="1276" w:type="dxa"/>
            <w:gridSpan w:val="2"/>
            <w:tcBorders>
              <w:top w:val="nil"/>
              <w:left w:val="nil"/>
              <w:bottom w:val="single" w:sz="4" w:space="0" w:color="auto"/>
              <w:right w:val="nil"/>
            </w:tcBorders>
            <w:shd w:val="clear" w:color="auto" w:fill="auto"/>
            <w:noWrap/>
            <w:vAlign w:val="bottom"/>
          </w:tcPr>
          <w:p w14:paraId="1D8CCE0C" w14:textId="58C505E5" w:rsidR="00700BF2" w:rsidRPr="00F4705F" w:rsidRDefault="00147058" w:rsidP="00700BF2">
            <w:pPr>
              <w:jc w:val="right"/>
              <w:rPr>
                <w:sz w:val="22"/>
                <w:szCs w:val="22"/>
              </w:rPr>
            </w:pPr>
            <w:r w:rsidRPr="00F4705F">
              <w:rPr>
                <w:sz w:val="22"/>
                <w:szCs w:val="22"/>
              </w:rPr>
              <w:t>5,150</w:t>
            </w:r>
          </w:p>
        </w:tc>
        <w:tc>
          <w:tcPr>
            <w:tcW w:w="425" w:type="dxa"/>
            <w:gridSpan w:val="2"/>
            <w:tcBorders>
              <w:top w:val="nil"/>
              <w:left w:val="nil"/>
              <w:bottom w:val="nil"/>
              <w:right w:val="nil"/>
            </w:tcBorders>
            <w:noWrap/>
            <w:vAlign w:val="bottom"/>
          </w:tcPr>
          <w:p w14:paraId="3DC95F6D" w14:textId="77777777" w:rsidR="00700BF2" w:rsidRPr="00F4705F" w:rsidRDefault="00700BF2" w:rsidP="00700BF2">
            <w:pPr>
              <w:jc w:val="right"/>
              <w:rPr>
                <w:sz w:val="22"/>
                <w:szCs w:val="22"/>
              </w:rPr>
            </w:pPr>
          </w:p>
        </w:tc>
        <w:tc>
          <w:tcPr>
            <w:tcW w:w="1134" w:type="dxa"/>
            <w:gridSpan w:val="2"/>
            <w:tcBorders>
              <w:top w:val="nil"/>
              <w:left w:val="nil"/>
              <w:bottom w:val="single" w:sz="4" w:space="0" w:color="auto"/>
              <w:right w:val="nil"/>
            </w:tcBorders>
            <w:noWrap/>
            <w:vAlign w:val="bottom"/>
          </w:tcPr>
          <w:p w14:paraId="715EB3DC" w14:textId="412D1F78" w:rsidR="00700BF2" w:rsidRPr="00F4705F" w:rsidRDefault="00700BF2" w:rsidP="00700BF2">
            <w:pPr>
              <w:jc w:val="right"/>
              <w:rPr>
                <w:sz w:val="22"/>
                <w:szCs w:val="22"/>
              </w:rPr>
            </w:pPr>
            <w:r w:rsidRPr="00F4705F">
              <w:rPr>
                <w:sz w:val="22"/>
                <w:szCs w:val="22"/>
              </w:rPr>
              <w:t>3,405</w:t>
            </w:r>
          </w:p>
        </w:tc>
      </w:tr>
      <w:tr w:rsidR="00700BF2" w:rsidRPr="00F4705F" w14:paraId="14C43936" w14:textId="77777777" w:rsidTr="1F1D26DB">
        <w:trPr>
          <w:cantSplit/>
          <w:trHeight w:val="255"/>
        </w:trPr>
        <w:tc>
          <w:tcPr>
            <w:tcW w:w="4928" w:type="dxa"/>
            <w:gridSpan w:val="2"/>
            <w:tcBorders>
              <w:top w:val="nil"/>
              <w:left w:val="nil"/>
              <w:bottom w:val="nil"/>
              <w:right w:val="nil"/>
            </w:tcBorders>
            <w:noWrap/>
            <w:vAlign w:val="bottom"/>
          </w:tcPr>
          <w:p w14:paraId="43B532CF" w14:textId="77777777" w:rsidR="00700BF2" w:rsidRPr="00F4705F" w:rsidRDefault="00700BF2" w:rsidP="00700BF2">
            <w:pPr>
              <w:rPr>
                <w:sz w:val="22"/>
                <w:szCs w:val="22"/>
              </w:rPr>
            </w:pPr>
          </w:p>
        </w:tc>
        <w:tc>
          <w:tcPr>
            <w:tcW w:w="992" w:type="dxa"/>
            <w:gridSpan w:val="3"/>
            <w:tcBorders>
              <w:top w:val="nil"/>
              <w:left w:val="nil"/>
              <w:bottom w:val="nil"/>
              <w:right w:val="nil"/>
            </w:tcBorders>
            <w:vAlign w:val="bottom"/>
          </w:tcPr>
          <w:p w14:paraId="196B0B83" w14:textId="77777777" w:rsidR="00700BF2" w:rsidRPr="00F4705F" w:rsidRDefault="00700BF2" w:rsidP="00700BF2">
            <w:pPr>
              <w:jc w:val="center"/>
              <w:rPr>
                <w:sz w:val="22"/>
                <w:szCs w:val="22"/>
              </w:rPr>
            </w:pPr>
          </w:p>
        </w:tc>
        <w:tc>
          <w:tcPr>
            <w:tcW w:w="425" w:type="dxa"/>
            <w:tcBorders>
              <w:top w:val="nil"/>
              <w:left w:val="nil"/>
              <w:bottom w:val="nil"/>
              <w:right w:val="nil"/>
            </w:tcBorders>
            <w:vAlign w:val="bottom"/>
          </w:tcPr>
          <w:p w14:paraId="3AA5720A" w14:textId="77777777" w:rsidR="00700BF2" w:rsidRPr="00F4705F" w:rsidRDefault="00700BF2" w:rsidP="00700BF2">
            <w:pPr>
              <w:rPr>
                <w:b/>
                <w:bCs/>
                <w:sz w:val="22"/>
                <w:szCs w:val="22"/>
              </w:rPr>
            </w:pPr>
          </w:p>
        </w:tc>
        <w:tc>
          <w:tcPr>
            <w:tcW w:w="1276" w:type="dxa"/>
            <w:gridSpan w:val="2"/>
            <w:tcBorders>
              <w:top w:val="single" w:sz="4" w:space="0" w:color="auto"/>
              <w:left w:val="nil"/>
              <w:bottom w:val="nil"/>
              <w:right w:val="nil"/>
            </w:tcBorders>
            <w:shd w:val="clear" w:color="auto" w:fill="auto"/>
            <w:noWrap/>
            <w:vAlign w:val="bottom"/>
          </w:tcPr>
          <w:p w14:paraId="7814AE1D" w14:textId="5D1FC968" w:rsidR="00700BF2" w:rsidRPr="00F4705F" w:rsidRDefault="00CD0663" w:rsidP="00700BF2">
            <w:pPr>
              <w:jc w:val="right"/>
              <w:rPr>
                <w:sz w:val="22"/>
                <w:szCs w:val="22"/>
              </w:rPr>
            </w:pPr>
            <w:r w:rsidRPr="00F4705F">
              <w:rPr>
                <w:sz w:val="22"/>
                <w:szCs w:val="22"/>
              </w:rPr>
              <w:t>1</w:t>
            </w:r>
            <w:r w:rsidR="00267C8E" w:rsidRPr="00F4705F">
              <w:rPr>
                <w:sz w:val="22"/>
                <w:szCs w:val="22"/>
              </w:rPr>
              <w:t>4,11</w:t>
            </w:r>
            <w:r w:rsidR="00034863" w:rsidRPr="00F4705F">
              <w:rPr>
                <w:sz w:val="22"/>
                <w:szCs w:val="22"/>
              </w:rPr>
              <w:t>6</w:t>
            </w:r>
          </w:p>
        </w:tc>
        <w:tc>
          <w:tcPr>
            <w:tcW w:w="425" w:type="dxa"/>
            <w:gridSpan w:val="2"/>
            <w:tcBorders>
              <w:top w:val="nil"/>
              <w:left w:val="nil"/>
              <w:bottom w:val="nil"/>
              <w:right w:val="nil"/>
            </w:tcBorders>
            <w:noWrap/>
            <w:vAlign w:val="bottom"/>
          </w:tcPr>
          <w:p w14:paraId="4C688F7C" w14:textId="77777777" w:rsidR="00700BF2" w:rsidRPr="00F4705F" w:rsidRDefault="00700BF2" w:rsidP="00700BF2">
            <w:pPr>
              <w:jc w:val="right"/>
              <w:rPr>
                <w:sz w:val="22"/>
                <w:szCs w:val="22"/>
              </w:rPr>
            </w:pPr>
          </w:p>
        </w:tc>
        <w:tc>
          <w:tcPr>
            <w:tcW w:w="1134" w:type="dxa"/>
            <w:gridSpan w:val="2"/>
            <w:tcBorders>
              <w:top w:val="single" w:sz="4" w:space="0" w:color="auto"/>
              <w:left w:val="nil"/>
              <w:right w:val="nil"/>
            </w:tcBorders>
            <w:noWrap/>
            <w:vAlign w:val="bottom"/>
          </w:tcPr>
          <w:p w14:paraId="6255791D" w14:textId="26C925CA" w:rsidR="00700BF2" w:rsidRPr="00F4705F" w:rsidRDefault="00700BF2" w:rsidP="00700BF2">
            <w:pPr>
              <w:jc w:val="right"/>
              <w:rPr>
                <w:sz w:val="22"/>
                <w:szCs w:val="22"/>
              </w:rPr>
            </w:pPr>
            <w:r w:rsidRPr="00F4705F">
              <w:rPr>
                <w:sz w:val="22"/>
                <w:szCs w:val="22"/>
              </w:rPr>
              <w:t>13,078</w:t>
            </w:r>
          </w:p>
        </w:tc>
        <w:tc>
          <w:tcPr>
            <w:tcW w:w="1180" w:type="dxa"/>
            <w:vAlign w:val="bottom"/>
          </w:tcPr>
          <w:p w14:paraId="04142B0D" w14:textId="77777777" w:rsidR="00700BF2" w:rsidRPr="00F4705F" w:rsidRDefault="00700BF2" w:rsidP="00700BF2">
            <w:pPr>
              <w:rPr>
                <w:sz w:val="22"/>
                <w:szCs w:val="22"/>
              </w:rPr>
            </w:pPr>
          </w:p>
        </w:tc>
      </w:tr>
      <w:tr w:rsidR="00700BF2" w:rsidRPr="00F4705F" w14:paraId="0B1E4BD0" w14:textId="77777777" w:rsidTr="1F1D26DB">
        <w:trPr>
          <w:gridAfter w:val="1"/>
          <w:wAfter w:w="1180" w:type="dxa"/>
          <w:cantSplit/>
          <w:trHeight w:val="255"/>
        </w:trPr>
        <w:tc>
          <w:tcPr>
            <w:tcW w:w="4928" w:type="dxa"/>
            <w:gridSpan w:val="2"/>
            <w:tcBorders>
              <w:top w:val="nil"/>
              <w:left w:val="nil"/>
              <w:bottom w:val="nil"/>
              <w:right w:val="nil"/>
            </w:tcBorders>
            <w:noWrap/>
            <w:vAlign w:val="bottom"/>
          </w:tcPr>
          <w:p w14:paraId="46D39BE4" w14:textId="77777777" w:rsidR="00700BF2" w:rsidRPr="00F4705F" w:rsidRDefault="00700BF2" w:rsidP="00700BF2">
            <w:pPr>
              <w:rPr>
                <w:b/>
                <w:bCs/>
                <w:sz w:val="22"/>
                <w:szCs w:val="22"/>
              </w:rPr>
            </w:pPr>
          </w:p>
          <w:p w14:paraId="3F105A69" w14:textId="77777777" w:rsidR="00700BF2" w:rsidRPr="00F4705F" w:rsidRDefault="00700BF2" w:rsidP="00700BF2">
            <w:pPr>
              <w:rPr>
                <w:b/>
                <w:bCs/>
                <w:sz w:val="22"/>
                <w:szCs w:val="22"/>
              </w:rPr>
            </w:pPr>
            <w:r w:rsidRPr="00F4705F">
              <w:rPr>
                <w:b/>
                <w:bCs/>
                <w:sz w:val="22"/>
                <w:szCs w:val="22"/>
              </w:rPr>
              <w:t xml:space="preserve">Creditors: </w:t>
            </w:r>
            <w:r w:rsidRPr="00F4705F">
              <w:rPr>
                <w:sz w:val="22"/>
                <w:szCs w:val="22"/>
              </w:rPr>
              <w:t>amounts falling due within one year</w:t>
            </w:r>
          </w:p>
        </w:tc>
        <w:tc>
          <w:tcPr>
            <w:tcW w:w="992" w:type="dxa"/>
            <w:gridSpan w:val="3"/>
            <w:tcBorders>
              <w:top w:val="nil"/>
              <w:left w:val="nil"/>
              <w:bottom w:val="nil"/>
              <w:right w:val="nil"/>
            </w:tcBorders>
            <w:vAlign w:val="bottom"/>
          </w:tcPr>
          <w:p w14:paraId="71694D27" w14:textId="2D21E467" w:rsidR="00700BF2" w:rsidRPr="00F4705F" w:rsidRDefault="00700BF2" w:rsidP="00700BF2">
            <w:pPr>
              <w:jc w:val="center"/>
              <w:rPr>
                <w:sz w:val="22"/>
                <w:szCs w:val="22"/>
              </w:rPr>
            </w:pPr>
            <w:r w:rsidRPr="00F4705F">
              <w:rPr>
                <w:sz w:val="22"/>
                <w:szCs w:val="22"/>
              </w:rPr>
              <w:t>19</w:t>
            </w:r>
          </w:p>
        </w:tc>
        <w:tc>
          <w:tcPr>
            <w:tcW w:w="425" w:type="dxa"/>
            <w:tcBorders>
              <w:top w:val="nil"/>
              <w:left w:val="nil"/>
              <w:right w:val="nil"/>
            </w:tcBorders>
            <w:noWrap/>
            <w:vAlign w:val="bottom"/>
          </w:tcPr>
          <w:p w14:paraId="6FC1B74B" w14:textId="77777777" w:rsidR="00700BF2" w:rsidRPr="00F4705F" w:rsidRDefault="00700BF2" w:rsidP="00700BF2">
            <w:pPr>
              <w:rPr>
                <w:sz w:val="22"/>
                <w:szCs w:val="22"/>
              </w:rPr>
            </w:pPr>
          </w:p>
        </w:tc>
        <w:tc>
          <w:tcPr>
            <w:tcW w:w="1276" w:type="dxa"/>
            <w:gridSpan w:val="2"/>
            <w:tcBorders>
              <w:left w:val="nil"/>
              <w:right w:val="nil"/>
            </w:tcBorders>
            <w:shd w:val="clear" w:color="auto" w:fill="auto"/>
            <w:noWrap/>
            <w:vAlign w:val="bottom"/>
          </w:tcPr>
          <w:p w14:paraId="75A1A843" w14:textId="5619E6FE" w:rsidR="00700BF2" w:rsidRPr="00AA583E" w:rsidRDefault="00147058" w:rsidP="00700BF2">
            <w:pPr>
              <w:jc w:val="right"/>
              <w:rPr>
                <w:sz w:val="22"/>
                <w:szCs w:val="22"/>
              </w:rPr>
            </w:pPr>
            <w:r w:rsidRPr="00AA583E">
              <w:rPr>
                <w:sz w:val="22"/>
                <w:szCs w:val="22"/>
              </w:rPr>
              <w:t>(2</w:t>
            </w:r>
            <w:r w:rsidR="00C47052" w:rsidRPr="00AA583E">
              <w:rPr>
                <w:sz w:val="22"/>
                <w:szCs w:val="22"/>
              </w:rPr>
              <w:t>9,</w:t>
            </w:r>
            <w:r w:rsidR="007878CA" w:rsidRPr="00AA583E">
              <w:rPr>
                <w:sz w:val="22"/>
                <w:szCs w:val="22"/>
              </w:rPr>
              <w:t>142</w:t>
            </w:r>
            <w:r w:rsidRPr="00AA583E">
              <w:rPr>
                <w:sz w:val="22"/>
                <w:szCs w:val="22"/>
              </w:rPr>
              <w:t>)</w:t>
            </w:r>
          </w:p>
        </w:tc>
        <w:tc>
          <w:tcPr>
            <w:tcW w:w="425" w:type="dxa"/>
            <w:gridSpan w:val="2"/>
            <w:tcBorders>
              <w:left w:val="nil"/>
              <w:right w:val="nil"/>
            </w:tcBorders>
            <w:noWrap/>
            <w:vAlign w:val="bottom"/>
          </w:tcPr>
          <w:p w14:paraId="55C10175" w14:textId="77777777" w:rsidR="00700BF2" w:rsidRPr="00F4705F" w:rsidRDefault="00700BF2" w:rsidP="00700BF2">
            <w:pPr>
              <w:ind w:left="128" w:hanging="128"/>
              <w:jc w:val="right"/>
              <w:rPr>
                <w:sz w:val="22"/>
                <w:szCs w:val="22"/>
              </w:rPr>
            </w:pPr>
          </w:p>
        </w:tc>
        <w:tc>
          <w:tcPr>
            <w:tcW w:w="1134" w:type="dxa"/>
            <w:gridSpan w:val="2"/>
            <w:tcBorders>
              <w:left w:val="nil"/>
              <w:right w:val="nil"/>
            </w:tcBorders>
            <w:noWrap/>
            <w:vAlign w:val="bottom"/>
          </w:tcPr>
          <w:p w14:paraId="6861CDBA" w14:textId="6EA7373D" w:rsidR="00700BF2" w:rsidRPr="00F4705F" w:rsidRDefault="00700BF2" w:rsidP="00700BF2">
            <w:pPr>
              <w:jc w:val="right"/>
              <w:rPr>
                <w:sz w:val="22"/>
                <w:szCs w:val="22"/>
              </w:rPr>
            </w:pPr>
            <w:r w:rsidRPr="00F4705F">
              <w:rPr>
                <w:sz w:val="22"/>
                <w:szCs w:val="22"/>
              </w:rPr>
              <w:t>(21,485)</w:t>
            </w:r>
          </w:p>
        </w:tc>
      </w:tr>
      <w:tr w:rsidR="00700BF2" w:rsidRPr="00F4705F" w14:paraId="5CCA679A" w14:textId="77777777" w:rsidTr="1F1D26DB">
        <w:trPr>
          <w:gridAfter w:val="1"/>
          <w:wAfter w:w="1180" w:type="dxa"/>
          <w:cantSplit/>
          <w:trHeight w:val="300"/>
        </w:trPr>
        <w:tc>
          <w:tcPr>
            <w:tcW w:w="4928" w:type="dxa"/>
            <w:gridSpan w:val="2"/>
            <w:tcBorders>
              <w:top w:val="nil"/>
              <w:left w:val="nil"/>
              <w:bottom w:val="nil"/>
              <w:right w:val="nil"/>
            </w:tcBorders>
            <w:noWrap/>
            <w:vAlign w:val="bottom"/>
          </w:tcPr>
          <w:p w14:paraId="244F2BFA" w14:textId="77777777" w:rsidR="00700BF2" w:rsidRPr="00F4705F" w:rsidRDefault="00700BF2" w:rsidP="00700BF2">
            <w:pPr>
              <w:rPr>
                <w:sz w:val="22"/>
                <w:szCs w:val="22"/>
              </w:rPr>
            </w:pPr>
          </w:p>
        </w:tc>
        <w:tc>
          <w:tcPr>
            <w:tcW w:w="992" w:type="dxa"/>
            <w:gridSpan w:val="3"/>
            <w:tcBorders>
              <w:top w:val="nil"/>
              <w:left w:val="nil"/>
              <w:bottom w:val="nil"/>
              <w:right w:val="nil"/>
            </w:tcBorders>
            <w:noWrap/>
            <w:vAlign w:val="bottom"/>
          </w:tcPr>
          <w:p w14:paraId="0C56DF41" w14:textId="77777777" w:rsidR="00700BF2" w:rsidRPr="00F4705F" w:rsidRDefault="00700BF2" w:rsidP="00700BF2">
            <w:pPr>
              <w:jc w:val="center"/>
              <w:rPr>
                <w:i/>
                <w:iCs/>
                <w:sz w:val="22"/>
                <w:szCs w:val="22"/>
              </w:rPr>
            </w:pPr>
          </w:p>
        </w:tc>
        <w:tc>
          <w:tcPr>
            <w:tcW w:w="425" w:type="dxa"/>
            <w:tcBorders>
              <w:left w:val="nil"/>
              <w:bottom w:val="nil"/>
              <w:right w:val="nil"/>
            </w:tcBorders>
            <w:noWrap/>
            <w:vAlign w:val="bottom"/>
          </w:tcPr>
          <w:p w14:paraId="7BBF7463" w14:textId="77777777" w:rsidR="00700BF2" w:rsidRPr="00F4705F" w:rsidRDefault="00700BF2" w:rsidP="00700BF2">
            <w:pPr>
              <w:rPr>
                <w:sz w:val="22"/>
                <w:szCs w:val="22"/>
              </w:rPr>
            </w:pPr>
          </w:p>
        </w:tc>
        <w:tc>
          <w:tcPr>
            <w:tcW w:w="1276" w:type="dxa"/>
            <w:gridSpan w:val="2"/>
            <w:tcBorders>
              <w:left w:val="nil"/>
              <w:bottom w:val="single" w:sz="4" w:space="0" w:color="auto"/>
              <w:right w:val="nil"/>
            </w:tcBorders>
            <w:shd w:val="clear" w:color="auto" w:fill="auto"/>
            <w:noWrap/>
            <w:vAlign w:val="bottom"/>
          </w:tcPr>
          <w:p w14:paraId="7AE0E782" w14:textId="77777777" w:rsidR="00700BF2" w:rsidRPr="00AA583E" w:rsidRDefault="00700BF2" w:rsidP="00700BF2">
            <w:pPr>
              <w:jc w:val="right"/>
              <w:rPr>
                <w:sz w:val="22"/>
                <w:szCs w:val="22"/>
              </w:rPr>
            </w:pPr>
          </w:p>
        </w:tc>
        <w:tc>
          <w:tcPr>
            <w:tcW w:w="425" w:type="dxa"/>
            <w:gridSpan w:val="2"/>
            <w:tcBorders>
              <w:left w:val="nil"/>
              <w:bottom w:val="nil"/>
              <w:right w:val="nil"/>
            </w:tcBorders>
            <w:noWrap/>
            <w:vAlign w:val="bottom"/>
          </w:tcPr>
          <w:p w14:paraId="211E55A6" w14:textId="77777777" w:rsidR="00700BF2" w:rsidRPr="00F4705F" w:rsidRDefault="00700BF2" w:rsidP="00700BF2">
            <w:pPr>
              <w:jc w:val="right"/>
              <w:rPr>
                <w:sz w:val="22"/>
                <w:szCs w:val="22"/>
              </w:rPr>
            </w:pPr>
          </w:p>
        </w:tc>
        <w:tc>
          <w:tcPr>
            <w:tcW w:w="1134" w:type="dxa"/>
            <w:gridSpan w:val="2"/>
            <w:tcBorders>
              <w:left w:val="nil"/>
              <w:bottom w:val="single" w:sz="4" w:space="0" w:color="auto"/>
              <w:right w:val="nil"/>
            </w:tcBorders>
            <w:noWrap/>
            <w:vAlign w:val="bottom"/>
          </w:tcPr>
          <w:p w14:paraId="23C878AE" w14:textId="77777777" w:rsidR="00700BF2" w:rsidRPr="00F4705F" w:rsidRDefault="00700BF2" w:rsidP="00700BF2">
            <w:pPr>
              <w:jc w:val="right"/>
              <w:rPr>
                <w:sz w:val="22"/>
                <w:szCs w:val="22"/>
              </w:rPr>
            </w:pPr>
          </w:p>
        </w:tc>
      </w:tr>
      <w:tr w:rsidR="00700BF2" w:rsidRPr="00F4705F" w14:paraId="5957F3E5" w14:textId="77777777" w:rsidTr="1F1D26DB">
        <w:trPr>
          <w:gridAfter w:val="1"/>
          <w:wAfter w:w="1180" w:type="dxa"/>
          <w:trHeight w:val="255"/>
        </w:trPr>
        <w:tc>
          <w:tcPr>
            <w:tcW w:w="4928" w:type="dxa"/>
            <w:gridSpan w:val="2"/>
            <w:tcBorders>
              <w:top w:val="nil"/>
              <w:left w:val="nil"/>
              <w:bottom w:val="nil"/>
              <w:right w:val="nil"/>
            </w:tcBorders>
            <w:noWrap/>
            <w:vAlign w:val="bottom"/>
          </w:tcPr>
          <w:p w14:paraId="5BF56838" w14:textId="7F5E88FB" w:rsidR="00700BF2" w:rsidRPr="00F4705F" w:rsidRDefault="00700BF2" w:rsidP="00700BF2">
            <w:pPr>
              <w:rPr>
                <w:b/>
                <w:bCs/>
                <w:sz w:val="22"/>
                <w:szCs w:val="22"/>
              </w:rPr>
            </w:pPr>
            <w:r w:rsidRPr="00F4705F">
              <w:rPr>
                <w:b/>
                <w:bCs/>
                <w:sz w:val="22"/>
                <w:szCs w:val="22"/>
              </w:rPr>
              <w:t>Net current liabilities</w:t>
            </w:r>
          </w:p>
        </w:tc>
        <w:tc>
          <w:tcPr>
            <w:tcW w:w="992" w:type="dxa"/>
            <w:gridSpan w:val="3"/>
            <w:tcBorders>
              <w:top w:val="nil"/>
              <w:left w:val="nil"/>
              <w:bottom w:val="nil"/>
              <w:right w:val="nil"/>
            </w:tcBorders>
          </w:tcPr>
          <w:p w14:paraId="70AC0E0C" w14:textId="77777777" w:rsidR="00700BF2" w:rsidRPr="00F4705F" w:rsidRDefault="00700BF2" w:rsidP="00700BF2">
            <w:pPr>
              <w:jc w:val="center"/>
              <w:rPr>
                <w:sz w:val="22"/>
                <w:szCs w:val="22"/>
              </w:rPr>
            </w:pPr>
          </w:p>
        </w:tc>
        <w:tc>
          <w:tcPr>
            <w:tcW w:w="425" w:type="dxa"/>
            <w:tcBorders>
              <w:top w:val="nil"/>
              <w:left w:val="nil"/>
              <w:bottom w:val="nil"/>
              <w:right w:val="nil"/>
            </w:tcBorders>
            <w:noWrap/>
            <w:vAlign w:val="bottom"/>
          </w:tcPr>
          <w:p w14:paraId="13A3DD2B" w14:textId="77777777" w:rsidR="00700BF2" w:rsidRPr="00F4705F" w:rsidRDefault="00700BF2" w:rsidP="00700BF2">
            <w:pPr>
              <w:rPr>
                <w:sz w:val="22"/>
                <w:szCs w:val="22"/>
              </w:rPr>
            </w:pPr>
          </w:p>
        </w:tc>
        <w:tc>
          <w:tcPr>
            <w:tcW w:w="1276" w:type="dxa"/>
            <w:gridSpan w:val="2"/>
            <w:tcBorders>
              <w:top w:val="single" w:sz="4" w:space="0" w:color="auto"/>
              <w:left w:val="nil"/>
              <w:bottom w:val="single" w:sz="4" w:space="0" w:color="auto"/>
              <w:right w:val="nil"/>
            </w:tcBorders>
            <w:shd w:val="clear" w:color="auto" w:fill="auto"/>
            <w:noWrap/>
            <w:vAlign w:val="bottom"/>
          </w:tcPr>
          <w:p w14:paraId="10688960" w14:textId="1C330A60" w:rsidR="00700BF2" w:rsidRPr="00AA583E" w:rsidRDefault="00147058" w:rsidP="00700BF2">
            <w:pPr>
              <w:jc w:val="right"/>
              <w:rPr>
                <w:sz w:val="22"/>
                <w:szCs w:val="22"/>
              </w:rPr>
            </w:pPr>
            <w:r w:rsidRPr="00AA583E">
              <w:rPr>
                <w:sz w:val="22"/>
                <w:szCs w:val="22"/>
              </w:rPr>
              <w:t>(</w:t>
            </w:r>
            <w:r w:rsidR="007878CA" w:rsidRPr="00AA583E">
              <w:rPr>
                <w:sz w:val="22"/>
                <w:szCs w:val="22"/>
              </w:rPr>
              <w:t>15,026</w:t>
            </w:r>
            <w:r w:rsidRPr="00AA583E">
              <w:rPr>
                <w:sz w:val="22"/>
                <w:szCs w:val="22"/>
              </w:rPr>
              <w:t>)</w:t>
            </w:r>
          </w:p>
        </w:tc>
        <w:tc>
          <w:tcPr>
            <w:tcW w:w="425" w:type="dxa"/>
            <w:gridSpan w:val="2"/>
            <w:tcBorders>
              <w:top w:val="nil"/>
              <w:left w:val="nil"/>
              <w:bottom w:val="nil"/>
              <w:right w:val="nil"/>
            </w:tcBorders>
            <w:noWrap/>
            <w:vAlign w:val="bottom"/>
          </w:tcPr>
          <w:p w14:paraId="156AD7AF" w14:textId="77777777" w:rsidR="00700BF2" w:rsidRPr="007878CA" w:rsidRDefault="00700BF2" w:rsidP="00700BF2">
            <w:pPr>
              <w:jc w:val="right"/>
              <w:rPr>
                <w:sz w:val="22"/>
                <w:szCs w:val="22"/>
                <w:highlight w:val="yellow"/>
              </w:rPr>
            </w:pPr>
          </w:p>
        </w:tc>
        <w:tc>
          <w:tcPr>
            <w:tcW w:w="1134" w:type="dxa"/>
            <w:gridSpan w:val="2"/>
            <w:tcBorders>
              <w:top w:val="single" w:sz="4" w:space="0" w:color="auto"/>
              <w:left w:val="nil"/>
              <w:bottom w:val="single" w:sz="4" w:space="0" w:color="auto"/>
              <w:right w:val="nil"/>
            </w:tcBorders>
            <w:noWrap/>
            <w:vAlign w:val="bottom"/>
          </w:tcPr>
          <w:p w14:paraId="3EE103B4" w14:textId="197443C2" w:rsidR="00700BF2" w:rsidRPr="00F4705F" w:rsidRDefault="00700BF2" w:rsidP="00700BF2">
            <w:pPr>
              <w:jc w:val="right"/>
              <w:rPr>
                <w:sz w:val="22"/>
                <w:szCs w:val="22"/>
              </w:rPr>
            </w:pPr>
            <w:r w:rsidRPr="00F4705F">
              <w:rPr>
                <w:sz w:val="22"/>
                <w:szCs w:val="22"/>
              </w:rPr>
              <w:t>(8,407)</w:t>
            </w:r>
          </w:p>
        </w:tc>
      </w:tr>
      <w:tr w:rsidR="00700BF2" w:rsidRPr="00F4705F" w14:paraId="32D4BC54" w14:textId="77777777" w:rsidTr="1F1D26DB">
        <w:trPr>
          <w:gridAfter w:val="1"/>
          <w:wAfter w:w="1180" w:type="dxa"/>
          <w:cantSplit/>
          <w:trHeight w:val="209"/>
        </w:trPr>
        <w:tc>
          <w:tcPr>
            <w:tcW w:w="4928" w:type="dxa"/>
            <w:gridSpan w:val="2"/>
            <w:tcBorders>
              <w:top w:val="nil"/>
              <w:left w:val="nil"/>
              <w:bottom w:val="nil"/>
              <w:right w:val="nil"/>
            </w:tcBorders>
            <w:noWrap/>
            <w:vAlign w:val="bottom"/>
          </w:tcPr>
          <w:p w14:paraId="1E347A6D" w14:textId="77777777" w:rsidR="00700BF2" w:rsidRPr="00F4705F" w:rsidRDefault="00700BF2" w:rsidP="00700BF2">
            <w:pPr>
              <w:rPr>
                <w:sz w:val="22"/>
                <w:szCs w:val="22"/>
              </w:rPr>
            </w:pPr>
          </w:p>
        </w:tc>
        <w:tc>
          <w:tcPr>
            <w:tcW w:w="992" w:type="dxa"/>
            <w:gridSpan w:val="3"/>
            <w:tcBorders>
              <w:top w:val="nil"/>
              <w:left w:val="nil"/>
              <w:bottom w:val="nil"/>
              <w:right w:val="nil"/>
            </w:tcBorders>
            <w:vAlign w:val="bottom"/>
          </w:tcPr>
          <w:p w14:paraId="5E496018" w14:textId="77777777" w:rsidR="00700BF2" w:rsidRPr="00F4705F" w:rsidRDefault="00700BF2" w:rsidP="00700BF2">
            <w:pPr>
              <w:jc w:val="center"/>
              <w:rPr>
                <w:sz w:val="22"/>
                <w:szCs w:val="22"/>
              </w:rPr>
            </w:pPr>
          </w:p>
        </w:tc>
        <w:tc>
          <w:tcPr>
            <w:tcW w:w="425" w:type="dxa"/>
            <w:tcBorders>
              <w:top w:val="nil"/>
              <w:left w:val="nil"/>
              <w:bottom w:val="nil"/>
              <w:right w:val="nil"/>
            </w:tcBorders>
            <w:noWrap/>
            <w:vAlign w:val="bottom"/>
          </w:tcPr>
          <w:p w14:paraId="3FF850E9" w14:textId="77777777" w:rsidR="00700BF2" w:rsidRPr="00F4705F" w:rsidRDefault="00700BF2" w:rsidP="00700BF2">
            <w:pPr>
              <w:rPr>
                <w:sz w:val="22"/>
                <w:szCs w:val="22"/>
              </w:rPr>
            </w:pPr>
          </w:p>
        </w:tc>
        <w:tc>
          <w:tcPr>
            <w:tcW w:w="1276" w:type="dxa"/>
            <w:gridSpan w:val="2"/>
            <w:tcBorders>
              <w:top w:val="single" w:sz="4" w:space="0" w:color="auto"/>
              <w:left w:val="nil"/>
              <w:right w:val="nil"/>
            </w:tcBorders>
            <w:noWrap/>
            <w:vAlign w:val="bottom"/>
          </w:tcPr>
          <w:p w14:paraId="3444CC78" w14:textId="77777777" w:rsidR="00700BF2" w:rsidRPr="00AA583E" w:rsidRDefault="00700BF2" w:rsidP="00700BF2">
            <w:pPr>
              <w:jc w:val="right"/>
              <w:rPr>
                <w:sz w:val="22"/>
                <w:szCs w:val="22"/>
              </w:rPr>
            </w:pPr>
          </w:p>
        </w:tc>
        <w:tc>
          <w:tcPr>
            <w:tcW w:w="425" w:type="dxa"/>
            <w:gridSpan w:val="2"/>
            <w:tcBorders>
              <w:top w:val="nil"/>
              <w:left w:val="nil"/>
              <w:bottom w:val="nil"/>
              <w:right w:val="nil"/>
            </w:tcBorders>
            <w:noWrap/>
            <w:vAlign w:val="bottom"/>
          </w:tcPr>
          <w:p w14:paraId="4E64D88E" w14:textId="77777777" w:rsidR="00700BF2" w:rsidRPr="00F4705F" w:rsidRDefault="00700BF2" w:rsidP="00700BF2">
            <w:pPr>
              <w:jc w:val="right"/>
              <w:rPr>
                <w:sz w:val="22"/>
                <w:szCs w:val="22"/>
              </w:rPr>
            </w:pPr>
          </w:p>
        </w:tc>
        <w:tc>
          <w:tcPr>
            <w:tcW w:w="1134" w:type="dxa"/>
            <w:gridSpan w:val="2"/>
            <w:tcBorders>
              <w:top w:val="single" w:sz="4" w:space="0" w:color="auto"/>
              <w:left w:val="nil"/>
              <w:right w:val="nil"/>
            </w:tcBorders>
            <w:noWrap/>
            <w:vAlign w:val="bottom"/>
          </w:tcPr>
          <w:p w14:paraId="0DD4ABF0" w14:textId="77777777" w:rsidR="00700BF2" w:rsidRPr="00F4705F" w:rsidRDefault="00700BF2" w:rsidP="00700BF2">
            <w:pPr>
              <w:jc w:val="right"/>
              <w:rPr>
                <w:sz w:val="22"/>
                <w:szCs w:val="22"/>
              </w:rPr>
            </w:pPr>
          </w:p>
        </w:tc>
      </w:tr>
      <w:tr w:rsidR="00700BF2" w:rsidRPr="00F4705F" w14:paraId="0298FC57" w14:textId="77777777" w:rsidTr="1F1D26DB">
        <w:trPr>
          <w:gridAfter w:val="1"/>
          <w:wAfter w:w="1180" w:type="dxa"/>
          <w:cantSplit/>
          <w:trHeight w:val="300"/>
        </w:trPr>
        <w:tc>
          <w:tcPr>
            <w:tcW w:w="4928" w:type="dxa"/>
            <w:gridSpan w:val="2"/>
            <w:tcBorders>
              <w:top w:val="nil"/>
              <w:left w:val="nil"/>
              <w:bottom w:val="nil"/>
              <w:right w:val="nil"/>
            </w:tcBorders>
            <w:noWrap/>
            <w:vAlign w:val="bottom"/>
          </w:tcPr>
          <w:p w14:paraId="2649A774" w14:textId="77777777" w:rsidR="00700BF2" w:rsidRPr="00F4705F" w:rsidRDefault="00700BF2" w:rsidP="00700BF2">
            <w:pPr>
              <w:rPr>
                <w:sz w:val="22"/>
                <w:szCs w:val="22"/>
              </w:rPr>
            </w:pPr>
            <w:r w:rsidRPr="00F4705F">
              <w:rPr>
                <w:b/>
                <w:bCs/>
                <w:sz w:val="22"/>
                <w:szCs w:val="22"/>
              </w:rPr>
              <w:t>Total assets less current liabilities</w:t>
            </w:r>
          </w:p>
        </w:tc>
        <w:tc>
          <w:tcPr>
            <w:tcW w:w="992" w:type="dxa"/>
            <w:gridSpan w:val="3"/>
            <w:tcBorders>
              <w:top w:val="nil"/>
              <w:left w:val="nil"/>
              <w:bottom w:val="nil"/>
              <w:right w:val="nil"/>
            </w:tcBorders>
            <w:vAlign w:val="bottom"/>
          </w:tcPr>
          <w:p w14:paraId="72A9C4CF" w14:textId="77777777" w:rsidR="00700BF2" w:rsidRPr="00F4705F" w:rsidRDefault="00700BF2" w:rsidP="00700BF2">
            <w:pPr>
              <w:jc w:val="center"/>
              <w:rPr>
                <w:sz w:val="22"/>
                <w:szCs w:val="22"/>
              </w:rPr>
            </w:pPr>
          </w:p>
        </w:tc>
        <w:tc>
          <w:tcPr>
            <w:tcW w:w="425" w:type="dxa"/>
            <w:tcBorders>
              <w:top w:val="nil"/>
              <w:left w:val="nil"/>
              <w:bottom w:val="nil"/>
              <w:right w:val="nil"/>
            </w:tcBorders>
            <w:noWrap/>
            <w:vAlign w:val="bottom"/>
          </w:tcPr>
          <w:p w14:paraId="75F037D3" w14:textId="77777777" w:rsidR="00700BF2" w:rsidRPr="00F4705F" w:rsidRDefault="00700BF2" w:rsidP="00700BF2">
            <w:pPr>
              <w:rPr>
                <w:sz w:val="22"/>
                <w:szCs w:val="22"/>
              </w:rPr>
            </w:pPr>
          </w:p>
        </w:tc>
        <w:tc>
          <w:tcPr>
            <w:tcW w:w="1276" w:type="dxa"/>
            <w:gridSpan w:val="2"/>
            <w:tcBorders>
              <w:left w:val="nil"/>
              <w:right w:val="nil"/>
            </w:tcBorders>
            <w:noWrap/>
            <w:vAlign w:val="bottom"/>
          </w:tcPr>
          <w:p w14:paraId="1B9A98F5" w14:textId="12386DCE" w:rsidR="00700BF2" w:rsidRPr="00AA583E" w:rsidRDefault="00CC4FF3" w:rsidP="00700BF2">
            <w:pPr>
              <w:jc w:val="right"/>
              <w:rPr>
                <w:sz w:val="22"/>
                <w:szCs w:val="22"/>
              </w:rPr>
            </w:pPr>
            <w:r w:rsidRPr="00AA583E">
              <w:rPr>
                <w:sz w:val="22"/>
                <w:szCs w:val="22"/>
              </w:rPr>
              <w:t>463,</w:t>
            </w:r>
            <w:r w:rsidR="007878CA" w:rsidRPr="00AA583E">
              <w:rPr>
                <w:sz w:val="22"/>
                <w:szCs w:val="22"/>
              </w:rPr>
              <w:t>860</w:t>
            </w:r>
          </w:p>
        </w:tc>
        <w:tc>
          <w:tcPr>
            <w:tcW w:w="425" w:type="dxa"/>
            <w:gridSpan w:val="2"/>
            <w:tcBorders>
              <w:top w:val="nil"/>
              <w:left w:val="nil"/>
              <w:bottom w:val="nil"/>
              <w:right w:val="nil"/>
            </w:tcBorders>
            <w:noWrap/>
            <w:vAlign w:val="bottom"/>
          </w:tcPr>
          <w:p w14:paraId="14EAB9DC" w14:textId="77777777" w:rsidR="00700BF2" w:rsidRPr="007878CA" w:rsidRDefault="00700BF2" w:rsidP="00700BF2">
            <w:pPr>
              <w:jc w:val="right"/>
              <w:rPr>
                <w:sz w:val="22"/>
                <w:szCs w:val="22"/>
                <w:highlight w:val="yellow"/>
              </w:rPr>
            </w:pPr>
          </w:p>
        </w:tc>
        <w:tc>
          <w:tcPr>
            <w:tcW w:w="1134" w:type="dxa"/>
            <w:gridSpan w:val="2"/>
            <w:tcBorders>
              <w:left w:val="nil"/>
              <w:bottom w:val="nil"/>
              <w:right w:val="nil"/>
            </w:tcBorders>
            <w:noWrap/>
            <w:vAlign w:val="bottom"/>
          </w:tcPr>
          <w:p w14:paraId="0BE8F202" w14:textId="7E60CB85" w:rsidR="00700BF2" w:rsidRPr="00F4705F" w:rsidRDefault="00700BF2" w:rsidP="00700BF2">
            <w:pPr>
              <w:jc w:val="right"/>
              <w:rPr>
                <w:sz w:val="22"/>
                <w:szCs w:val="22"/>
              </w:rPr>
            </w:pPr>
            <w:r w:rsidRPr="00F4705F">
              <w:rPr>
                <w:sz w:val="22"/>
                <w:szCs w:val="22"/>
              </w:rPr>
              <w:t>428,709</w:t>
            </w:r>
          </w:p>
        </w:tc>
      </w:tr>
      <w:tr w:rsidR="00700BF2" w:rsidRPr="00F4705F" w14:paraId="16752D59" w14:textId="77777777" w:rsidTr="1F1D26DB">
        <w:trPr>
          <w:gridAfter w:val="1"/>
          <w:wAfter w:w="1180" w:type="dxa"/>
          <w:cantSplit/>
          <w:trHeight w:val="255"/>
        </w:trPr>
        <w:tc>
          <w:tcPr>
            <w:tcW w:w="4928" w:type="dxa"/>
            <w:gridSpan w:val="2"/>
            <w:tcBorders>
              <w:top w:val="nil"/>
              <w:left w:val="nil"/>
              <w:bottom w:val="nil"/>
              <w:right w:val="nil"/>
            </w:tcBorders>
            <w:vAlign w:val="bottom"/>
          </w:tcPr>
          <w:p w14:paraId="42153F44" w14:textId="77777777" w:rsidR="00700BF2" w:rsidRPr="00F4705F" w:rsidRDefault="00700BF2" w:rsidP="00700BF2">
            <w:pPr>
              <w:rPr>
                <w:b/>
                <w:bCs/>
                <w:sz w:val="22"/>
                <w:szCs w:val="22"/>
              </w:rPr>
            </w:pPr>
          </w:p>
        </w:tc>
        <w:tc>
          <w:tcPr>
            <w:tcW w:w="992" w:type="dxa"/>
            <w:gridSpan w:val="3"/>
            <w:tcBorders>
              <w:top w:val="nil"/>
              <w:left w:val="nil"/>
              <w:bottom w:val="nil"/>
              <w:right w:val="nil"/>
            </w:tcBorders>
            <w:vAlign w:val="bottom"/>
          </w:tcPr>
          <w:p w14:paraId="4428ED3F" w14:textId="77777777" w:rsidR="00700BF2" w:rsidRPr="00F4705F" w:rsidRDefault="00700BF2" w:rsidP="00700BF2">
            <w:pPr>
              <w:jc w:val="center"/>
              <w:rPr>
                <w:sz w:val="22"/>
                <w:szCs w:val="22"/>
              </w:rPr>
            </w:pPr>
          </w:p>
        </w:tc>
        <w:tc>
          <w:tcPr>
            <w:tcW w:w="425" w:type="dxa"/>
            <w:tcBorders>
              <w:left w:val="nil"/>
              <w:right w:val="nil"/>
            </w:tcBorders>
            <w:vAlign w:val="center"/>
          </w:tcPr>
          <w:p w14:paraId="712256AF" w14:textId="77777777" w:rsidR="00700BF2" w:rsidRPr="00F4705F" w:rsidRDefault="00700BF2" w:rsidP="00700BF2">
            <w:pPr>
              <w:rPr>
                <w:sz w:val="22"/>
                <w:szCs w:val="22"/>
              </w:rPr>
            </w:pPr>
          </w:p>
        </w:tc>
        <w:tc>
          <w:tcPr>
            <w:tcW w:w="1276" w:type="dxa"/>
            <w:gridSpan w:val="2"/>
            <w:tcBorders>
              <w:top w:val="nil"/>
              <w:left w:val="nil"/>
              <w:bottom w:val="nil"/>
              <w:right w:val="nil"/>
            </w:tcBorders>
            <w:noWrap/>
            <w:vAlign w:val="bottom"/>
          </w:tcPr>
          <w:p w14:paraId="4D647EBF" w14:textId="77777777" w:rsidR="00700BF2" w:rsidRPr="00AA583E" w:rsidRDefault="00700BF2" w:rsidP="00700BF2">
            <w:pPr>
              <w:jc w:val="right"/>
              <w:rPr>
                <w:sz w:val="22"/>
                <w:szCs w:val="22"/>
              </w:rPr>
            </w:pPr>
          </w:p>
        </w:tc>
        <w:tc>
          <w:tcPr>
            <w:tcW w:w="425" w:type="dxa"/>
            <w:gridSpan w:val="2"/>
            <w:tcBorders>
              <w:top w:val="nil"/>
              <w:left w:val="nil"/>
              <w:bottom w:val="nil"/>
              <w:right w:val="nil"/>
            </w:tcBorders>
            <w:vAlign w:val="center"/>
          </w:tcPr>
          <w:p w14:paraId="235F32F1" w14:textId="77777777" w:rsidR="00700BF2" w:rsidRPr="00F4705F" w:rsidRDefault="00700BF2" w:rsidP="00700BF2">
            <w:pPr>
              <w:jc w:val="right"/>
              <w:rPr>
                <w:sz w:val="22"/>
                <w:szCs w:val="22"/>
              </w:rPr>
            </w:pPr>
          </w:p>
        </w:tc>
        <w:tc>
          <w:tcPr>
            <w:tcW w:w="1134" w:type="dxa"/>
            <w:gridSpan w:val="2"/>
            <w:tcBorders>
              <w:top w:val="nil"/>
              <w:left w:val="nil"/>
              <w:right w:val="nil"/>
            </w:tcBorders>
            <w:noWrap/>
            <w:vAlign w:val="bottom"/>
          </w:tcPr>
          <w:p w14:paraId="1631FAF4" w14:textId="77777777" w:rsidR="00700BF2" w:rsidRPr="00F4705F" w:rsidRDefault="00700BF2" w:rsidP="00700BF2">
            <w:pPr>
              <w:jc w:val="right"/>
              <w:rPr>
                <w:sz w:val="22"/>
                <w:szCs w:val="22"/>
              </w:rPr>
            </w:pPr>
          </w:p>
        </w:tc>
      </w:tr>
      <w:tr w:rsidR="00700BF2" w:rsidRPr="00F4705F" w14:paraId="1559A61B" w14:textId="77777777" w:rsidTr="1F1D26DB">
        <w:trPr>
          <w:gridAfter w:val="1"/>
          <w:wAfter w:w="1180" w:type="dxa"/>
          <w:trHeight w:val="255"/>
        </w:trPr>
        <w:tc>
          <w:tcPr>
            <w:tcW w:w="4928" w:type="dxa"/>
            <w:gridSpan w:val="2"/>
            <w:tcBorders>
              <w:top w:val="nil"/>
              <w:left w:val="nil"/>
              <w:bottom w:val="nil"/>
              <w:right w:val="nil"/>
            </w:tcBorders>
            <w:noWrap/>
          </w:tcPr>
          <w:p w14:paraId="2859667B" w14:textId="77777777" w:rsidR="00700BF2" w:rsidRPr="00F4705F" w:rsidRDefault="00700BF2" w:rsidP="00700BF2">
            <w:pPr>
              <w:rPr>
                <w:b/>
                <w:bCs/>
                <w:sz w:val="22"/>
                <w:szCs w:val="22"/>
              </w:rPr>
            </w:pPr>
            <w:r w:rsidRPr="00F4705F">
              <w:rPr>
                <w:b/>
                <w:bCs/>
                <w:sz w:val="22"/>
                <w:szCs w:val="22"/>
              </w:rPr>
              <w:t xml:space="preserve">Creditors: </w:t>
            </w:r>
            <w:r w:rsidRPr="00F4705F">
              <w:rPr>
                <w:sz w:val="22"/>
                <w:szCs w:val="22"/>
              </w:rPr>
              <w:t>amounts falling due after more than one year</w:t>
            </w:r>
          </w:p>
        </w:tc>
        <w:tc>
          <w:tcPr>
            <w:tcW w:w="992" w:type="dxa"/>
            <w:gridSpan w:val="3"/>
            <w:tcBorders>
              <w:top w:val="nil"/>
              <w:left w:val="nil"/>
              <w:bottom w:val="nil"/>
              <w:right w:val="nil"/>
            </w:tcBorders>
          </w:tcPr>
          <w:p w14:paraId="08BD4A8A" w14:textId="33FBAE80" w:rsidR="00700BF2" w:rsidRPr="00F4705F" w:rsidRDefault="00700BF2" w:rsidP="00700BF2">
            <w:pPr>
              <w:jc w:val="center"/>
              <w:rPr>
                <w:bCs/>
                <w:sz w:val="22"/>
                <w:szCs w:val="22"/>
              </w:rPr>
            </w:pPr>
            <w:r w:rsidRPr="00F4705F">
              <w:rPr>
                <w:bCs/>
                <w:sz w:val="22"/>
                <w:szCs w:val="22"/>
              </w:rPr>
              <w:t>20</w:t>
            </w:r>
          </w:p>
        </w:tc>
        <w:tc>
          <w:tcPr>
            <w:tcW w:w="425" w:type="dxa"/>
            <w:tcBorders>
              <w:top w:val="nil"/>
              <w:left w:val="nil"/>
              <w:bottom w:val="nil"/>
              <w:right w:val="nil"/>
            </w:tcBorders>
            <w:noWrap/>
          </w:tcPr>
          <w:p w14:paraId="60E1390B" w14:textId="77777777" w:rsidR="00700BF2" w:rsidRPr="00F4705F" w:rsidRDefault="00700BF2" w:rsidP="00700BF2">
            <w:pPr>
              <w:rPr>
                <w:sz w:val="22"/>
                <w:szCs w:val="22"/>
              </w:rPr>
            </w:pPr>
          </w:p>
        </w:tc>
        <w:tc>
          <w:tcPr>
            <w:tcW w:w="1276" w:type="dxa"/>
            <w:gridSpan w:val="2"/>
            <w:tcBorders>
              <w:top w:val="nil"/>
              <w:left w:val="nil"/>
              <w:right w:val="nil"/>
            </w:tcBorders>
            <w:noWrap/>
          </w:tcPr>
          <w:p w14:paraId="3B563B94" w14:textId="5AC4229A" w:rsidR="00700BF2" w:rsidRPr="00AA583E" w:rsidRDefault="00147058" w:rsidP="00700BF2">
            <w:pPr>
              <w:jc w:val="right"/>
              <w:rPr>
                <w:sz w:val="22"/>
                <w:szCs w:val="22"/>
              </w:rPr>
            </w:pPr>
            <w:r w:rsidRPr="00AA583E">
              <w:rPr>
                <w:sz w:val="22"/>
                <w:szCs w:val="22"/>
              </w:rPr>
              <w:t>(</w:t>
            </w:r>
            <w:r w:rsidR="00C70CC7" w:rsidRPr="00AA583E">
              <w:rPr>
                <w:sz w:val="22"/>
                <w:szCs w:val="22"/>
              </w:rPr>
              <w:t>176,352)</w:t>
            </w:r>
          </w:p>
        </w:tc>
        <w:tc>
          <w:tcPr>
            <w:tcW w:w="425" w:type="dxa"/>
            <w:gridSpan w:val="2"/>
            <w:tcBorders>
              <w:top w:val="nil"/>
              <w:left w:val="nil"/>
              <w:bottom w:val="nil"/>
              <w:right w:val="nil"/>
            </w:tcBorders>
            <w:noWrap/>
          </w:tcPr>
          <w:p w14:paraId="76387BC6" w14:textId="77777777" w:rsidR="00700BF2" w:rsidRPr="00F4705F" w:rsidRDefault="00700BF2" w:rsidP="00700BF2">
            <w:pPr>
              <w:jc w:val="right"/>
              <w:rPr>
                <w:sz w:val="22"/>
                <w:szCs w:val="22"/>
              </w:rPr>
            </w:pPr>
          </w:p>
        </w:tc>
        <w:tc>
          <w:tcPr>
            <w:tcW w:w="1134" w:type="dxa"/>
            <w:gridSpan w:val="2"/>
            <w:tcBorders>
              <w:top w:val="nil"/>
              <w:left w:val="nil"/>
              <w:right w:val="nil"/>
            </w:tcBorders>
            <w:noWrap/>
          </w:tcPr>
          <w:p w14:paraId="6FF1410E" w14:textId="7ED0B30E" w:rsidR="00700BF2" w:rsidRPr="00F4705F" w:rsidRDefault="00700BF2" w:rsidP="00700BF2">
            <w:pPr>
              <w:jc w:val="right"/>
              <w:rPr>
                <w:sz w:val="22"/>
                <w:szCs w:val="22"/>
              </w:rPr>
            </w:pPr>
            <w:r w:rsidRPr="00F4705F">
              <w:rPr>
                <w:sz w:val="22"/>
                <w:szCs w:val="22"/>
              </w:rPr>
              <w:t>(168,917)</w:t>
            </w:r>
          </w:p>
        </w:tc>
      </w:tr>
      <w:tr w:rsidR="00700BF2" w:rsidRPr="00F4705F" w14:paraId="6E6AB01C" w14:textId="77777777" w:rsidTr="1F1D26DB">
        <w:trPr>
          <w:gridAfter w:val="1"/>
          <w:wAfter w:w="1180" w:type="dxa"/>
          <w:trHeight w:val="255"/>
        </w:trPr>
        <w:tc>
          <w:tcPr>
            <w:tcW w:w="4928" w:type="dxa"/>
            <w:gridSpan w:val="2"/>
            <w:tcBorders>
              <w:top w:val="nil"/>
              <w:left w:val="nil"/>
              <w:bottom w:val="nil"/>
              <w:right w:val="nil"/>
            </w:tcBorders>
            <w:noWrap/>
            <w:vAlign w:val="bottom"/>
          </w:tcPr>
          <w:p w14:paraId="2B462291" w14:textId="77777777" w:rsidR="00700BF2" w:rsidRPr="00F4705F" w:rsidRDefault="00700BF2" w:rsidP="00700BF2">
            <w:pPr>
              <w:rPr>
                <w:bCs/>
                <w:sz w:val="22"/>
                <w:szCs w:val="22"/>
              </w:rPr>
            </w:pPr>
          </w:p>
        </w:tc>
        <w:tc>
          <w:tcPr>
            <w:tcW w:w="992" w:type="dxa"/>
            <w:gridSpan w:val="3"/>
            <w:tcBorders>
              <w:top w:val="nil"/>
              <w:left w:val="nil"/>
              <w:bottom w:val="nil"/>
              <w:right w:val="nil"/>
            </w:tcBorders>
          </w:tcPr>
          <w:p w14:paraId="3CA8D677" w14:textId="77777777" w:rsidR="00700BF2" w:rsidRPr="00F4705F" w:rsidRDefault="00700BF2" w:rsidP="00700BF2">
            <w:pPr>
              <w:jc w:val="center"/>
              <w:rPr>
                <w:bCs/>
                <w:sz w:val="22"/>
                <w:szCs w:val="22"/>
              </w:rPr>
            </w:pPr>
          </w:p>
        </w:tc>
        <w:tc>
          <w:tcPr>
            <w:tcW w:w="425" w:type="dxa"/>
            <w:tcBorders>
              <w:top w:val="nil"/>
              <w:left w:val="nil"/>
              <w:bottom w:val="nil"/>
              <w:right w:val="nil"/>
            </w:tcBorders>
            <w:noWrap/>
          </w:tcPr>
          <w:p w14:paraId="34385924" w14:textId="77777777" w:rsidR="00700BF2" w:rsidRPr="00F4705F" w:rsidRDefault="00700BF2" w:rsidP="00700BF2">
            <w:pPr>
              <w:jc w:val="right"/>
              <w:rPr>
                <w:sz w:val="22"/>
                <w:szCs w:val="22"/>
              </w:rPr>
            </w:pPr>
          </w:p>
        </w:tc>
        <w:tc>
          <w:tcPr>
            <w:tcW w:w="1276" w:type="dxa"/>
            <w:gridSpan w:val="2"/>
            <w:tcBorders>
              <w:top w:val="nil"/>
              <w:left w:val="nil"/>
              <w:right w:val="nil"/>
            </w:tcBorders>
            <w:noWrap/>
            <w:vAlign w:val="bottom"/>
          </w:tcPr>
          <w:p w14:paraId="70C07F9C" w14:textId="77777777" w:rsidR="00700BF2" w:rsidRPr="00AA583E" w:rsidRDefault="00700BF2" w:rsidP="00700BF2">
            <w:pPr>
              <w:jc w:val="right"/>
              <w:rPr>
                <w:sz w:val="22"/>
                <w:szCs w:val="22"/>
              </w:rPr>
            </w:pPr>
          </w:p>
        </w:tc>
        <w:tc>
          <w:tcPr>
            <w:tcW w:w="425" w:type="dxa"/>
            <w:gridSpan w:val="2"/>
            <w:tcBorders>
              <w:top w:val="nil"/>
              <w:left w:val="nil"/>
              <w:bottom w:val="nil"/>
              <w:right w:val="nil"/>
            </w:tcBorders>
            <w:noWrap/>
          </w:tcPr>
          <w:p w14:paraId="23EC7318" w14:textId="77777777" w:rsidR="00700BF2" w:rsidRPr="00F4705F" w:rsidRDefault="00700BF2" w:rsidP="00700BF2">
            <w:pPr>
              <w:jc w:val="right"/>
              <w:rPr>
                <w:sz w:val="22"/>
                <w:szCs w:val="22"/>
              </w:rPr>
            </w:pPr>
          </w:p>
        </w:tc>
        <w:tc>
          <w:tcPr>
            <w:tcW w:w="1134" w:type="dxa"/>
            <w:gridSpan w:val="2"/>
            <w:tcBorders>
              <w:top w:val="nil"/>
              <w:left w:val="nil"/>
              <w:right w:val="nil"/>
            </w:tcBorders>
            <w:noWrap/>
            <w:vAlign w:val="bottom"/>
          </w:tcPr>
          <w:p w14:paraId="41081717" w14:textId="77777777" w:rsidR="00700BF2" w:rsidRPr="00F4705F" w:rsidRDefault="00700BF2" w:rsidP="00700BF2">
            <w:pPr>
              <w:jc w:val="right"/>
              <w:rPr>
                <w:sz w:val="22"/>
                <w:szCs w:val="22"/>
              </w:rPr>
            </w:pPr>
          </w:p>
        </w:tc>
      </w:tr>
      <w:tr w:rsidR="00700BF2" w:rsidRPr="00F4705F" w14:paraId="083E6128" w14:textId="77777777" w:rsidTr="1F1D26DB">
        <w:trPr>
          <w:gridAfter w:val="1"/>
          <w:wAfter w:w="1180" w:type="dxa"/>
          <w:trHeight w:val="255"/>
        </w:trPr>
        <w:tc>
          <w:tcPr>
            <w:tcW w:w="4928" w:type="dxa"/>
            <w:gridSpan w:val="2"/>
            <w:tcBorders>
              <w:top w:val="nil"/>
              <w:left w:val="nil"/>
              <w:bottom w:val="nil"/>
              <w:right w:val="nil"/>
            </w:tcBorders>
            <w:noWrap/>
            <w:vAlign w:val="bottom"/>
          </w:tcPr>
          <w:p w14:paraId="0DF30B73" w14:textId="77777777" w:rsidR="00700BF2" w:rsidRPr="00F4705F" w:rsidRDefault="00700BF2" w:rsidP="00700BF2">
            <w:pPr>
              <w:rPr>
                <w:b/>
                <w:bCs/>
                <w:sz w:val="22"/>
                <w:szCs w:val="22"/>
              </w:rPr>
            </w:pPr>
            <w:r w:rsidRPr="00F4705F">
              <w:rPr>
                <w:b/>
                <w:bCs/>
                <w:sz w:val="22"/>
                <w:szCs w:val="22"/>
              </w:rPr>
              <w:t>Provisions for liabilities</w:t>
            </w:r>
          </w:p>
        </w:tc>
        <w:tc>
          <w:tcPr>
            <w:tcW w:w="992" w:type="dxa"/>
            <w:gridSpan w:val="3"/>
            <w:tcBorders>
              <w:left w:val="nil"/>
              <w:right w:val="nil"/>
            </w:tcBorders>
          </w:tcPr>
          <w:p w14:paraId="400AF632" w14:textId="77777777" w:rsidR="00700BF2" w:rsidRPr="00F4705F" w:rsidRDefault="00700BF2" w:rsidP="00700BF2">
            <w:pPr>
              <w:jc w:val="center"/>
              <w:rPr>
                <w:sz w:val="22"/>
                <w:szCs w:val="22"/>
              </w:rPr>
            </w:pPr>
          </w:p>
        </w:tc>
        <w:tc>
          <w:tcPr>
            <w:tcW w:w="425" w:type="dxa"/>
            <w:tcBorders>
              <w:left w:val="nil"/>
              <w:right w:val="nil"/>
            </w:tcBorders>
            <w:noWrap/>
            <w:vAlign w:val="bottom"/>
          </w:tcPr>
          <w:p w14:paraId="7F93B793" w14:textId="77777777" w:rsidR="00700BF2" w:rsidRPr="00F4705F" w:rsidRDefault="00700BF2" w:rsidP="00700BF2">
            <w:pPr>
              <w:rPr>
                <w:sz w:val="22"/>
                <w:szCs w:val="22"/>
              </w:rPr>
            </w:pPr>
          </w:p>
        </w:tc>
        <w:tc>
          <w:tcPr>
            <w:tcW w:w="1276" w:type="dxa"/>
            <w:gridSpan w:val="2"/>
            <w:tcBorders>
              <w:left w:val="nil"/>
              <w:right w:val="nil"/>
            </w:tcBorders>
            <w:noWrap/>
            <w:vAlign w:val="bottom"/>
          </w:tcPr>
          <w:p w14:paraId="60F67351" w14:textId="77777777" w:rsidR="00700BF2" w:rsidRPr="00AA583E" w:rsidRDefault="00700BF2" w:rsidP="00700BF2">
            <w:pPr>
              <w:jc w:val="right"/>
              <w:rPr>
                <w:sz w:val="22"/>
                <w:szCs w:val="22"/>
              </w:rPr>
            </w:pPr>
          </w:p>
        </w:tc>
        <w:tc>
          <w:tcPr>
            <w:tcW w:w="425" w:type="dxa"/>
            <w:gridSpan w:val="2"/>
            <w:tcBorders>
              <w:left w:val="nil"/>
              <w:right w:val="nil"/>
            </w:tcBorders>
            <w:noWrap/>
            <w:vAlign w:val="bottom"/>
          </w:tcPr>
          <w:p w14:paraId="69B2E070" w14:textId="77777777" w:rsidR="00700BF2" w:rsidRPr="00F4705F" w:rsidRDefault="00700BF2" w:rsidP="00700BF2">
            <w:pPr>
              <w:jc w:val="right"/>
              <w:rPr>
                <w:b/>
                <w:bCs/>
                <w:sz w:val="22"/>
                <w:szCs w:val="22"/>
              </w:rPr>
            </w:pPr>
          </w:p>
        </w:tc>
        <w:tc>
          <w:tcPr>
            <w:tcW w:w="1134" w:type="dxa"/>
            <w:gridSpan w:val="2"/>
            <w:tcBorders>
              <w:left w:val="nil"/>
              <w:right w:val="nil"/>
            </w:tcBorders>
            <w:noWrap/>
            <w:vAlign w:val="bottom"/>
          </w:tcPr>
          <w:p w14:paraId="0E5905C0" w14:textId="77777777" w:rsidR="00700BF2" w:rsidRPr="00F4705F" w:rsidRDefault="00700BF2" w:rsidP="00700BF2">
            <w:pPr>
              <w:jc w:val="right"/>
              <w:rPr>
                <w:sz w:val="22"/>
                <w:szCs w:val="22"/>
              </w:rPr>
            </w:pPr>
          </w:p>
        </w:tc>
      </w:tr>
      <w:tr w:rsidR="00700BF2" w:rsidRPr="00F4705F" w14:paraId="60E5449E" w14:textId="77777777" w:rsidTr="1F1D26DB">
        <w:trPr>
          <w:gridAfter w:val="1"/>
          <w:wAfter w:w="1180" w:type="dxa"/>
          <w:trHeight w:val="255"/>
        </w:trPr>
        <w:tc>
          <w:tcPr>
            <w:tcW w:w="4928" w:type="dxa"/>
            <w:gridSpan w:val="2"/>
            <w:tcBorders>
              <w:top w:val="nil"/>
              <w:left w:val="nil"/>
              <w:bottom w:val="nil"/>
              <w:right w:val="nil"/>
            </w:tcBorders>
            <w:noWrap/>
            <w:vAlign w:val="bottom"/>
          </w:tcPr>
          <w:p w14:paraId="53DF5BFD" w14:textId="77777777" w:rsidR="00700BF2" w:rsidRPr="00F4705F" w:rsidRDefault="00700BF2" w:rsidP="00700BF2">
            <w:pPr>
              <w:rPr>
                <w:bCs/>
                <w:sz w:val="22"/>
                <w:szCs w:val="22"/>
              </w:rPr>
            </w:pPr>
            <w:r w:rsidRPr="00F4705F">
              <w:rPr>
                <w:bCs/>
                <w:sz w:val="22"/>
                <w:szCs w:val="22"/>
              </w:rPr>
              <w:t>Other provisions</w:t>
            </w:r>
          </w:p>
        </w:tc>
        <w:tc>
          <w:tcPr>
            <w:tcW w:w="992" w:type="dxa"/>
            <w:gridSpan w:val="3"/>
            <w:tcBorders>
              <w:left w:val="nil"/>
              <w:right w:val="nil"/>
            </w:tcBorders>
          </w:tcPr>
          <w:p w14:paraId="3AD8DD2A" w14:textId="5F7DA719" w:rsidR="00700BF2" w:rsidRPr="00F4705F" w:rsidRDefault="00700BF2" w:rsidP="00700BF2">
            <w:pPr>
              <w:jc w:val="center"/>
              <w:rPr>
                <w:sz w:val="22"/>
                <w:szCs w:val="22"/>
              </w:rPr>
            </w:pPr>
            <w:r w:rsidRPr="00F4705F">
              <w:rPr>
                <w:sz w:val="22"/>
                <w:szCs w:val="22"/>
              </w:rPr>
              <w:t>2</w:t>
            </w:r>
            <w:r w:rsidR="005F6821" w:rsidRPr="00F4705F">
              <w:rPr>
                <w:sz w:val="22"/>
                <w:szCs w:val="22"/>
              </w:rPr>
              <w:t>1</w:t>
            </w:r>
          </w:p>
        </w:tc>
        <w:tc>
          <w:tcPr>
            <w:tcW w:w="425" w:type="dxa"/>
            <w:tcBorders>
              <w:left w:val="nil"/>
              <w:right w:val="nil"/>
            </w:tcBorders>
            <w:noWrap/>
            <w:vAlign w:val="bottom"/>
          </w:tcPr>
          <w:p w14:paraId="2CA96F72" w14:textId="77777777" w:rsidR="00700BF2" w:rsidRPr="00F4705F" w:rsidRDefault="00700BF2" w:rsidP="00700BF2">
            <w:pPr>
              <w:rPr>
                <w:sz w:val="22"/>
                <w:szCs w:val="22"/>
              </w:rPr>
            </w:pPr>
          </w:p>
        </w:tc>
        <w:tc>
          <w:tcPr>
            <w:tcW w:w="1276" w:type="dxa"/>
            <w:gridSpan w:val="2"/>
            <w:tcBorders>
              <w:left w:val="nil"/>
              <w:right w:val="nil"/>
            </w:tcBorders>
            <w:noWrap/>
            <w:vAlign w:val="bottom"/>
          </w:tcPr>
          <w:p w14:paraId="7B25446C" w14:textId="1206B45C" w:rsidR="00700BF2" w:rsidRPr="00AA583E" w:rsidRDefault="00C70CC7" w:rsidP="00700BF2">
            <w:pPr>
              <w:jc w:val="right"/>
              <w:rPr>
                <w:sz w:val="22"/>
                <w:szCs w:val="22"/>
              </w:rPr>
            </w:pPr>
            <w:r w:rsidRPr="00AA583E">
              <w:rPr>
                <w:sz w:val="22"/>
                <w:szCs w:val="22"/>
              </w:rPr>
              <w:t>(171)</w:t>
            </w:r>
          </w:p>
        </w:tc>
        <w:tc>
          <w:tcPr>
            <w:tcW w:w="425" w:type="dxa"/>
            <w:gridSpan w:val="2"/>
            <w:tcBorders>
              <w:left w:val="nil"/>
              <w:right w:val="nil"/>
            </w:tcBorders>
            <w:noWrap/>
            <w:vAlign w:val="bottom"/>
          </w:tcPr>
          <w:p w14:paraId="5FBEE588" w14:textId="77777777" w:rsidR="00700BF2" w:rsidRPr="00F4705F" w:rsidRDefault="00700BF2" w:rsidP="00700BF2">
            <w:pPr>
              <w:jc w:val="right"/>
              <w:rPr>
                <w:b/>
                <w:bCs/>
                <w:sz w:val="22"/>
                <w:szCs w:val="22"/>
              </w:rPr>
            </w:pPr>
          </w:p>
        </w:tc>
        <w:tc>
          <w:tcPr>
            <w:tcW w:w="1134" w:type="dxa"/>
            <w:gridSpan w:val="2"/>
            <w:tcBorders>
              <w:left w:val="nil"/>
              <w:right w:val="nil"/>
            </w:tcBorders>
            <w:noWrap/>
            <w:vAlign w:val="bottom"/>
          </w:tcPr>
          <w:p w14:paraId="39788DD0" w14:textId="620B14A8" w:rsidR="00700BF2" w:rsidRPr="00F4705F" w:rsidRDefault="00700BF2" w:rsidP="00700BF2">
            <w:pPr>
              <w:jc w:val="right"/>
              <w:rPr>
                <w:sz w:val="22"/>
                <w:szCs w:val="22"/>
              </w:rPr>
            </w:pPr>
            <w:r w:rsidRPr="00F4705F">
              <w:rPr>
                <w:sz w:val="22"/>
                <w:szCs w:val="22"/>
              </w:rPr>
              <w:t>(88)</w:t>
            </w:r>
          </w:p>
        </w:tc>
      </w:tr>
      <w:tr w:rsidR="00700BF2" w:rsidRPr="00F4705F" w14:paraId="16E175C1" w14:textId="77777777" w:rsidTr="1F1D26DB">
        <w:trPr>
          <w:gridAfter w:val="1"/>
          <w:wAfter w:w="1180" w:type="dxa"/>
          <w:trHeight w:val="255"/>
        </w:trPr>
        <w:tc>
          <w:tcPr>
            <w:tcW w:w="4928" w:type="dxa"/>
            <w:gridSpan w:val="2"/>
            <w:tcBorders>
              <w:top w:val="nil"/>
              <w:left w:val="nil"/>
              <w:bottom w:val="nil"/>
              <w:right w:val="nil"/>
            </w:tcBorders>
            <w:noWrap/>
            <w:vAlign w:val="bottom"/>
          </w:tcPr>
          <w:p w14:paraId="56865C5B" w14:textId="77777777" w:rsidR="00700BF2" w:rsidRPr="00F4705F" w:rsidRDefault="00700BF2" w:rsidP="00700BF2">
            <w:pPr>
              <w:rPr>
                <w:b/>
                <w:bCs/>
                <w:sz w:val="22"/>
                <w:szCs w:val="22"/>
              </w:rPr>
            </w:pPr>
          </w:p>
        </w:tc>
        <w:tc>
          <w:tcPr>
            <w:tcW w:w="992" w:type="dxa"/>
            <w:gridSpan w:val="3"/>
            <w:tcBorders>
              <w:left w:val="nil"/>
              <w:bottom w:val="nil"/>
              <w:right w:val="nil"/>
            </w:tcBorders>
          </w:tcPr>
          <w:p w14:paraId="7B91EBAB" w14:textId="77777777" w:rsidR="00700BF2" w:rsidRPr="00F4705F" w:rsidRDefault="00700BF2" w:rsidP="00700BF2">
            <w:pPr>
              <w:jc w:val="center"/>
              <w:rPr>
                <w:sz w:val="22"/>
                <w:szCs w:val="22"/>
              </w:rPr>
            </w:pPr>
          </w:p>
        </w:tc>
        <w:tc>
          <w:tcPr>
            <w:tcW w:w="425" w:type="dxa"/>
            <w:tcBorders>
              <w:left w:val="nil"/>
              <w:bottom w:val="nil"/>
              <w:right w:val="nil"/>
            </w:tcBorders>
            <w:noWrap/>
            <w:vAlign w:val="bottom"/>
          </w:tcPr>
          <w:p w14:paraId="280AEC71" w14:textId="77777777" w:rsidR="00700BF2" w:rsidRPr="00F4705F" w:rsidRDefault="00700BF2" w:rsidP="00700BF2">
            <w:pPr>
              <w:rPr>
                <w:sz w:val="22"/>
                <w:szCs w:val="22"/>
              </w:rPr>
            </w:pPr>
          </w:p>
        </w:tc>
        <w:tc>
          <w:tcPr>
            <w:tcW w:w="1276" w:type="dxa"/>
            <w:gridSpan w:val="2"/>
            <w:tcBorders>
              <w:left w:val="nil"/>
              <w:bottom w:val="single" w:sz="4" w:space="0" w:color="auto"/>
              <w:right w:val="nil"/>
            </w:tcBorders>
            <w:noWrap/>
            <w:vAlign w:val="bottom"/>
          </w:tcPr>
          <w:p w14:paraId="461D857D" w14:textId="77777777" w:rsidR="00700BF2" w:rsidRPr="00AA583E" w:rsidRDefault="00700BF2" w:rsidP="00700BF2">
            <w:pPr>
              <w:jc w:val="right"/>
              <w:rPr>
                <w:sz w:val="22"/>
                <w:szCs w:val="22"/>
              </w:rPr>
            </w:pPr>
          </w:p>
        </w:tc>
        <w:tc>
          <w:tcPr>
            <w:tcW w:w="425" w:type="dxa"/>
            <w:gridSpan w:val="2"/>
            <w:tcBorders>
              <w:left w:val="nil"/>
              <w:bottom w:val="nil"/>
              <w:right w:val="nil"/>
            </w:tcBorders>
            <w:noWrap/>
            <w:vAlign w:val="bottom"/>
          </w:tcPr>
          <w:p w14:paraId="7596EF76" w14:textId="77777777" w:rsidR="00700BF2" w:rsidRPr="00F4705F" w:rsidRDefault="00700BF2" w:rsidP="00700BF2">
            <w:pPr>
              <w:jc w:val="right"/>
              <w:rPr>
                <w:b/>
                <w:bCs/>
                <w:sz w:val="22"/>
                <w:szCs w:val="22"/>
              </w:rPr>
            </w:pPr>
          </w:p>
        </w:tc>
        <w:tc>
          <w:tcPr>
            <w:tcW w:w="1134" w:type="dxa"/>
            <w:gridSpan w:val="2"/>
            <w:tcBorders>
              <w:left w:val="nil"/>
              <w:bottom w:val="single" w:sz="4" w:space="0" w:color="auto"/>
              <w:right w:val="nil"/>
            </w:tcBorders>
            <w:noWrap/>
            <w:vAlign w:val="bottom"/>
          </w:tcPr>
          <w:p w14:paraId="3A6D8704" w14:textId="77777777" w:rsidR="00700BF2" w:rsidRPr="00F4705F" w:rsidRDefault="00700BF2" w:rsidP="00700BF2">
            <w:pPr>
              <w:jc w:val="right"/>
              <w:rPr>
                <w:sz w:val="22"/>
                <w:szCs w:val="22"/>
              </w:rPr>
            </w:pPr>
          </w:p>
        </w:tc>
      </w:tr>
      <w:tr w:rsidR="00700BF2" w:rsidRPr="00F4705F" w14:paraId="0BEDAD54" w14:textId="77777777" w:rsidTr="1F1D26DB">
        <w:trPr>
          <w:gridAfter w:val="1"/>
          <w:wAfter w:w="1180" w:type="dxa"/>
          <w:trHeight w:val="255"/>
        </w:trPr>
        <w:tc>
          <w:tcPr>
            <w:tcW w:w="4928" w:type="dxa"/>
            <w:gridSpan w:val="2"/>
            <w:tcBorders>
              <w:top w:val="nil"/>
              <w:left w:val="nil"/>
              <w:bottom w:val="nil"/>
              <w:right w:val="nil"/>
            </w:tcBorders>
            <w:noWrap/>
            <w:vAlign w:val="bottom"/>
          </w:tcPr>
          <w:p w14:paraId="626F23A9" w14:textId="77777777" w:rsidR="00700BF2" w:rsidRPr="00F4705F" w:rsidRDefault="00700BF2" w:rsidP="00700BF2">
            <w:pPr>
              <w:rPr>
                <w:b/>
                <w:bCs/>
                <w:i/>
                <w:iCs/>
                <w:sz w:val="22"/>
                <w:szCs w:val="22"/>
              </w:rPr>
            </w:pPr>
            <w:r w:rsidRPr="00F4705F">
              <w:rPr>
                <w:b/>
                <w:bCs/>
                <w:sz w:val="22"/>
                <w:szCs w:val="22"/>
              </w:rPr>
              <w:t>Total net assets</w:t>
            </w:r>
          </w:p>
        </w:tc>
        <w:tc>
          <w:tcPr>
            <w:tcW w:w="992" w:type="dxa"/>
            <w:gridSpan w:val="3"/>
            <w:tcBorders>
              <w:left w:val="nil"/>
              <w:bottom w:val="nil"/>
              <w:right w:val="nil"/>
            </w:tcBorders>
          </w:tcPr>
          <w:p w14:paraId="5CB7ED39" w14:textId="77777777" w:rsidR="00700BF2" w:rsidRPr="00F4705F" w:rsidRDefault="00700BF2" w:rsidP="00700BF2">
            <w:pPr>
              <w:jc w:val="center"/>
              <w:rPr>
                <w:sz w:val="22"/>
                <w:szCs w:val="22"/>
              </w:rPr>
            </w:pPr>
          </w:p>
        </w:tc>
        <w:tc>
          <w:tcPr>
            <w:tcW w:w="425" w:type="dxa"/>
            <w:tcBorders>
              <w:left w:val="nil"/>
              <w:bottom w:val="nil"/>
              <w:right w:val="nil"/>
            </w:tcBorders>
            <w:noWrap/>
            <w:vAlign w:val="bottom"/>
          </w:tcPr>
          <w:p w14:paraId="171493F4" w14:textId="77777777" w:rsidR="00700BF2" w:rsidRPr="00F4705F" w:rsidRDefault="00700BF2" w:rsidP="00700BF2">
            <w:pPr>
              <w:rPr>
                <w:sz w:val="22"/>
                <w:szCs w:val="22"/>
              </w:rPr>
            </w:pPr>
          </w:p>
        </w:tc>
        <w:tc>
          <w:tcPr>
            <w:tcW w:w="1276" w:type="dxa"/>
            <w:gridSpan w:val="2"/>
            <w:tcBorders>
              <w:top w:val="single" w:sz="4" w:space="0" w:color="auto"/>
              <w:left w:val="nil"/>
              <w:bottom w:val="double" w:sz="4" w:space="0" w:color="auto"/>
              <w:right w:val="nil"/>
            </w:tcBorders>
            <w:noWrap/>
            <w:vAlign w:val="bottom"/>
          </w:tcPr>
          <w:p w14:paraId="0B7CAEDE" w14:textId="4AEA331E" w:rsidR="00700BF2" w:rsidRPr="00AA583E" w:rsidRDefault="00DB749A" w:rsidP="00700BF2">
            <w:pPr>
              <w:jc w:val="right"/>
              <w:rPr>
                <w:sz w:val="22"/>
                <w:szCs w:val="22"/>
              </w:rPr>
            </w:pPr>
            <w:r w:rsidRPr="00AA583E">
              <w:rPr>
                <w:sz w:val="22"/>
                <w:szCs w:val="22"/>
              </w:rPr>
              <w:t>287,</w:t>
            </w:r>
            <w:r w:rsidR="00AF0240" w:rsidRPr="00AA583E">
              <w:rPr>
                <w:sz w:val="22"/>
                <w:szCs w:val="22"/>
              </w:rPr>
              <w:t>337</w:t>
            </w:r>
          </w:p>
        </w:tc>
        <w:tc>
          <w:tcPr>
            <w:tcW w:w="425" w:type="dxa"/>
            <w:gridSpan w:val="2"/>
            <w:tcBorders>
              <w:left w:val="nil"/>
              <w:bottom w:val="nil"/>
              <w:right w:val="nil"/>
            </w:tcBorders>
            <w:noWrap/>
            <w:vAlign w:val="bottom"/>
          </w:tcPr>
          <w:p w14:paraId="494D291B" w14:textId="77777777" w:rsidR="00700BF2" w:rsidRPr="00F4705F" w:rsidRDefault="00700BF2" w:rsidP="00700BF2">
            <w:pPr>
              <w:jc w:val="right"/>
              <w:rPr>
                <w:b/>
                <w:bCs/>
                <w:sz w:val="22"/>
                <w:szCs w:val="22"/>
              </w:rPr>
            </w:pPr>
          </w:p>
        </w:tc>
        <w:tc>
          <w:tcPr>
            <w:tcW w:w="1134" w:type="dxa"/>
            <w:gridSpan w:val="2"/>
            <w:tcBorders>
              <w:top w:val="single" w:sz="4" w:space="0" w:color="auto"/>
              <w:left w:val="nil"/>
              <w:bottom w:val="double" w:sz="4" w:space="0" w:color="auto"/>
              <w:right w:val="nil"/>
            </w:tcBorders>
            <w:noWrap/>
            <w:vAlign w:val="bottom"/>
          </w:tcPr>
          <w:p w14:paraId="302EBBF7" w14:textId="35611042" w:rsidR="00700BF2" w:rsidRPr="00F4705F" w:rsidRDefault="00700BF2" w:rsidP="00700BF2">
            <w:pPr>
              <w:jc w:val="right"/>
              <w:rPr>
                <w:sz w:val="22"/>
                <w:szCs w:val="22"/>
              </w:rPr>
            </w:pPr>
            <w:r w:rsidRPr="00F4705F">
              <w:rPr>
                <w:sz w:val="22"/>
                <w:szCs w:val="22"/>
              </w:rPr>
              <w:t>259,704</w:t>
            </w:r>
          </w:p>
        </w:tc>
      </w:tr>
      <w:tr w:rsidR="00700BF2" w:rsidRPr="00F4705F" w14:paraId="79972A3A" w14:textId="77777777" w:rsidTr="1F1D26DB">
        <w:trPr>
          <w:gridAfter w:val="1"/>
          <w:wAfter w:w="1180" w:type="dxa"/>
          <w:trHeight w:val="131"/>
        </w:trPr>
        <w:tc>
          <w:tcPr>
            <w:tcW w:w="4928" w:type="dxa"/>
            <w:gridSpan w:val="2"/>
            <w:tcBorders>
              <w:top w:val="nil"/>
              <w:left w:val="nil"/>
              <w:bottom w:val="nil"/>
              <w:right w:val="nil"/>
            </w:tcBorders>
            <w:noWrap/>
            <w:vAlign w:val="bottom"/>
          </w:tcPr>
          <w:p w14:paraId="381F24A4" w14:textId="77777777" w:rsidR="00700BF2" w:rsidRPr="00F4705F" w:rsidRDefault="00700BF2" w:rsidP="00700BF2">
            <w:pPr>
              <w:rPr>
                <w:b/>
                <w:bCs/>
                <w:sz w:val="22"/>
                <w:szCs w:val="22"/>
              </w:rPr>
            </w:pPr>
          </w:p>
        </w:tc>
        <w:tc>
          <w:tcPr>
            <w:tcW w:w="992" w:type="dxa"/>
            <w:gridSpan w:val="3"/>
            <w:tcBorders>
              <w:top w:val="nil"/>
              <w:left w:val="nil"/>
              <w:bottom w:val="nil"/>
              <w:right w:val="nil"/>
            </w:tcBorders>
            <w:vAlign w:val="bottom"/>
          </w:tcPr>
          <w:p w14:paraId="1DCD791A" w14:textId="77777777" w:rsidR="00700BF2" w:rsidRPr="00F4705F" w:rsidRDefault="00700BF2" w:rsidP="00700BF2">
            <w:pPr>
              <w:rPr>
                <w:i/>
                <w:iCs/>
                <w:sz w:val="22"/>
                <w:szCs w:val="22"/>
              </w:rPr>
            </w:pPr>
          </w:p>
        </w:tc>
        <w:tc>
          <w:tcPr>
            <w:tcW w:w="425" w:type="dxa"/>
            <w:tcBorders>
              <w:top w:val="nil"/>
              <w:left w:val="nil"/>
              <w:bottom w:val="nil"/>
              <w:right w:val="nil"/>
            </w:tcBorders>
            <w:noWrap/>
            <w:vAlign w:val="bottom"/>
          </w:tcPr>
          <w:p w14:paraId="6EABA5E5" w14:textId="77777777" w:rsidR="00700BF2" w:rsidRPr="00F4705F" w:rsidRDefault="00700BF2" w:rsidP="00700BF2">
            <w:pPr>
              <w:rPr>
                <w:sz w:val="22"/>
                <w:szCs w:val="22"/>
              </w:rPr>
            </w:pPr>
          </w:p>
        </w:tc>
        <w:tc>
          <w:tcPr>
            <w:tcW w:w="1276" w:type="dxa"/>
            <w:gridSpan w:val="2"/>
            <w:tcBorders>
              <w:top w:val="double" w:sz="4" w:space="0" w:color="auto"/>
              <w:left w:val="nil"/>
              <w:right w:val="nil"/>
            </w:tcBorders>
            <w:noWrap/>
            <w:vAlign w:val="bottom"/>
          </w:tcPr>
          <w:p w14:paraId="4A083F06" w14:textId="77777777" w:rsidR="00700BF2" w:rsidRPr="00AA583E" w:rsidRDefault="00700BF2" w:rsidP="00700BF2">
            <w:pPr>
              <w:jc w:val="right"/>
              <w:rPr>
                <w:sz w:val="22"/>
                <w:szCs w:val="22"/>
              </w:rPr>
            </w:pPr>
          </w:p>
        </w:tc>
        <w:tc>
          <w:tcPr>
            <w:tcW w:w="425" w:type="dxa"/>
            <w:gridSpan w:val="2"/>
            <w:tcBorders>
              <w:top w:val="nil"/>
              <w:left w:val="nil"/>
              <w:bottom w:val="nil"/>
              <w:right w:val="nil"/>
            </w:tcBorders>
            <w:noWrap/>
            <w:vAlign w:val="bottom"/>
          </w:tcPr>
          <w:p w14:paraId="39669455" w14:textId="77777777" w:rsidR="00700BF2" w:rsidRPr="00F4705F" w:rsidRDefault="00700BF2" w:rsidP="00700BF2">
            <w:pPr>
              <w:jc w:val="right"/>
              <w:rPr>
                <w:sz w:val="22"/>
                <w:szCs w:val="22"/>
              </w:rPr>
            </w:pPr>
          </w:p>
        </w:tc>
        <w:tc>
          <w:tcPr>
            <w:tcW w:w="1134" w:type="dxa"/>
            <w:gridSpan w:val="2"/>
            <w:tcBorders>
              <w:top w:val="double" w:sz="4" w:space="0" w:color="auto"/>
              <w:left w:val="nil"/>
              <w:right w:val="nil"/>
            </w:tcBorders>
            <w:noWrap/>
            <w:vAlign w:val="bottom"/>
          </w:tcPr>
          <w:p w14:paraId="2F5561D6" w14:textId="77777777" w:rsidR="00700BF2" w:rsidRPr="00F4705F" w:rsidRDefault="00700BF2" w:rsidP="00700BF2">
            <w:pPr>
              <w:jc w:val="right"/>
              <w:rPr>
                <w:sz w:val="22"/>
                <w:szCs w:val="22"/>
              </w:rPr>
            </w:pPr>
          </w:p>
        </w:tc>
      </w:tr>
      <w:tr w:rsidR="00700BF2" w:rsidRPr="00F4705F" w14:paraId="13B558F1" w14:textId="77777777" w:rsidTr="1F1D26DB">
        <w:trPr>
          <w:gridAfter w:val="1"/>
          <w:wAfter w:w="1180" w:type="dxa"/>
          <w:trHeight w:val="270"/>
        </w:trPr>
        <w:tc>
          <w:tcPr>
            <w:tcW w:w="4928" w:type="dxa"/>
            <w:gridSpan w:val="2"/>
            <w:tcBorders>
              <w:top w:val="nil"/>
              <w:left w:val="nil"/>
              <w:right w:val="nil"/>
            </w:tcBorders>
            <w:noWrap/>
            <w:vAlign w:val="bottom"/>
          </w:tcPr>
          <w:p w14:paraId="373BEAF5" w14:textId="77777777" w:rsidR="00700BF2" w:rsidRPr="00F4705F" w:rsidRDefault="00700BF2" w:rsidP="00700BF2">
            <w:pPr>
              <w:rPr>
                <w:b/>
                <w:bCs/>
                <w:sz w:val="22"/>
                <w:szCs w:val="22"/>
              </w:rPr>
            </w:pPr>
            <w:r w:rsidRPr="00F4705F">
              <w:rPr>
                <w:b/>
                <w:bCs/>
                <w:sz w:val="22"/>
                <w:szCs w:val="22"/>
              </w:rPr>
              <w:t>Reserves</w:t>
            </w:r>
          </w:p>
        </w:tc>
        <w:tc>
          <w:tcPr>
            <w:tcW w:w="992" w:type="dxa"/>
            <w:gridSpan w:val="3"/>
            <w:tcBorders>
              <w:top w:val="nil"/>
              <w:left w:val="nil"/>
              <w:right w:val="nil"/>
            </w:tcBorders>
            <w:noWrap/>
            <w:vAlign w:val="bottom"/>
          </w:tcPr>
          <w:p w14:paraId="10B18476" w14:textId="77777777" w:rsidR="00700BF2" w:rsidRPr="00F4705F" w:rsidRDefault="00700BF2" w:rsidP="00700BF2">
            <w:pPr>
              <w:rPr>
                <w:i/>
                <w:iCs/>
                <w:sz w:val="22"/>
                <w:szCs w:val="22"/>
              </w:rPr>
            </w:pPr>
          </w:p>
        </w:tc>
        <w:tc>
          <w:tcPr>
            <w:tcW w:w="425" w:type="dxa"/>
            <w:tcBorders>
              <w:top w:val="nil"/>
              <w:left w:val="nil"/>
              <w:right w:val="nil"/>
            </w:tcBorders>
            <w:noWrap/>
            <w:vAlign w:val="bottom"/>
          </w:tcPr>
          <w:p w14:paraId="053352FA" w14:textId="77777777" w:rsidR="00700BF2" w:rsidRPr="00F4705F" w:rsidRDefault="00700BF2" w:rsidP="00700BF2">
            <w:pPr>
              <w:rPr>
                <w:sz w:val="22"/>
                <w:szCs w:val="22"/>
              </w:rPr>
            </w:pPr>
          </w:p>
        </w:tc>
        <w:tc>
          <w:tcPr>
            <w:tcW w:w="1276" w:type="dxa"/>
            <w:gridSpan w:val="2"/>
            <w:tcBorders>
              <w:left w:val="nil"/>
              <w:right w:val="nil"/>
            </w:tcBorders>
            <w:noWrap/>
            <w:vAlign w:val="bottom"/>
          </w:tcPr>
          <w:p w14:paraId="1D02E576" w14:textId="77777777" w:rsidR="00700BF2" w:rsidRPr="00AA583E" w:rsidRDefault="00700BF2" w:rsidP="00700BF2">
            <w:pPr>
              <w:jc w:val="right"/>
              <w:rPr>
                <w:sz w:val="22"/>
                <w:szCs w:val="22"/>
              </w:rPr>
            </w:pPr>
          </w:p>
        </w:tc>
        <w:tc>
          <w:tcPr>
            <w:tcW w:w="425" w:type="dxa"/>
            <w:gridSpan w:val="2"/>
            <w:tcBorders>
              <w:top w:val="nil"/>
              <w:left w:val="nil"/>
              <w:right w:val="nil"/>
            </w:tcBorders>
            <w:noWrap/>
            <w:vAlign w:val="bottom"/>
          </w:tcPr>
          <w:p w14:paraId="1329B2E4" w14:textId="77777777" w:rsidR="00700BF2" w:rsidRPr="00F4705F" w:rsidRDefault="00700BF2" w:rsidP="00700BF2">
            <w:pPr>
              <w:jc w:val="right"/>
              <w:rPr>
                <w:sz w:val="22"/>
                <w:szCs w:val="22"/>
              </w:rPr>
            </w:pPr>
          </w:p>
        </w:tc>
        <w:tc>
          <w:tcPr>
            <w:tcW w:w="1134" w:type="dxa"/>
            <w:gridSpan w:val="2"/>
            <w:tcBorders>
              <w:left w:val="nil"/>
              <w:right w:val="nil"/>
            </w:tcBorders>
            <w:noWrap/>
            <w:vAlign w:val="bottom"/>
          </w:tcPr>
          <w:p w14:paraId="41C09232" w14:textId="77777777" w:rsidR="00700BF2" w:rsidRPr="00F4705F" w:rsidRDefault="00700BF2" w:rsidP="00700BF2">
            <w:pPr>
              <w:jc w:val="right"/>
              <w:rPr>
                <w:sz w:val="22"/>
                <w:szCs w:val="22"/>
              </w:rPr>
            </w:pPr>
          </w:p>
        </w:tc>
      </w:tr>
      <w:tr w:rsidR="00700BF2" w:rsidRPr="00F4705F" w14:paraId="2026CACB" w14:textId="77777777" w:rsidTr="1F1D26DB">
        <w:trPr>
          <w:gridAfter w:val="1"/>
          <w:wAfter w:w="1180" w:type="dxa"/>
          <w:trHeight w:val="300"/>
        </w:trPr>
        <w:tc>
          <w:tcPr>
            <w:tcW w:w="4928" w:type="dxa"/>
            <w:gridSpan w:val="2"/>
            <w:tcBorders>
              <w:top w:val="nil"/>
              <w:left w:val="nil"/>
              <w:bottom w:val="nil"/>
              <w:right w:val="nil"/>
            </w:tcBorders>
            <w:noWrap/>
            <w:vAlign w:val="bottom"/>
          </w:tcPr>
          <w:p w14:paraId="2F21C1AF" w14:textId="77777777" w:rsidR="00700BF2" w:rsidRPr="00F4705F" w:rsidRDefault="00700BF2" w:rsidP="00700BF2">
            <w:pPr>
              <w:rPr>
                <w:sz w:val="22"/>
                <w:szCs w:val="22"/>
              </w:rPr>
            </w:pPr>
            <w:r w:rsidRPr="00F4705F">
              <w:rPr>
                <w:sz w:val="22"/>
                <w:szCs w:val="22"/>
              </w:rPr>
              <w:t>Share capital</w:t>
            </w:r>
          </w:p>
        </w:tc>
        <w:tc>
          <w:tcPr>
            <w:tcW w:w="992" w:type="dxa"/>
            <w:gridSpan w:val="3"/>
            <w:tcBorders>
              <w:top w:val="nil"/>
              <w:left w:val="nil"/>
              <w:bottom w:val="nil"/>
              <w:right w:val="nil"/>
            </w:tcBorders>
            <w:noWrap/>
            <w:vAlign w:val="bottom"/>
          </w:tcPr>
          <w:p w14:paraId="3D102FE4" w14:textId="77777777" w:rsidR="00700BF2" w:rsidRPr="00F4705F" w:rsidRDefault="00700BF2" w:rsidP="00700BF2">
            <w:pPr>
              <w:jc w:val="center"/>
              <w:rPr>
                <w:iCs/>
                <w:sz w:val="22"/>
                <w:szCs w:val="22"/>
              </w:rPr>
            </w:pPr>
          </w:p>
        </w:tc>
        <w:tc>
          <w:tcPr>
            <w:tcW w:w="425" w:type="dxa"/>
            <w:tcBorders>
              <w:top w:val="nil"/>
              <w:left w:val="nil"/>
              <w:bottom w:val="nil"/>
              <w:right w:val="nil"/>
            </w:tcBorders>
            <w:noWrap/>
            <w:vAlign w:val="bottom"/>
          </w:tcPr>
          <w:p w14:paraId="310A0516" w14:textId="77777777" w:rsidR="00700BF2" w:rsidRPr="00F4705F" w:rsidRDefault="00700BF2" w:rsidP="00700BF2">
            <w:pPr>
              <w:rPr>
                <w:sz w:val="22"/>
                <w:szCs w:val="22"/>
              </w:rPr>
            </w:pPr>
          </w:p>
        </w:tc>
        <w:tc>
          <w:tcPr>
            <w:tcW w:w="1276" w:type="dxa"/>
            <w:gridSpan w:val="2"/>
            <w:tcBorders>
              <w:top w:val="nil"/>
              <w:left w:val="nil"/>
              <w:right w:val="nil"/>
            </w:tcBorders>
            <w:noWrap/>
            <w:vAlign w:val="bottom"/>
          </w:tcPr>
          <w:p w14:paraId="6871ECDD" w14:textId="6EED7370" w:rsidR="00700BF2" w:rsidRPr="00AA583E" w:rsidRDefault="00C70CC7" w:rsidP="00700BF2">
            <w:pPr>
              <w:jc w:val="right"/>
              <w:rPr>
                <w:sz w:val="22"/>
                <w:szCs w:val="22"/>
              </w:rPr>
            </w:pPr>
            <w:r w:rsidRPr="00AA583E">
              <w:rPr>
                <w:sz w:val="22"/>
                <w:szCs w:val="22"/>
              </w:rPr>
              <w:t>-</w:t>
            </w:r>
          </w:p>
        </w:tc>
        <w:tc>
          <w:tcPr>
            <w:tcW w:w="425" w:type="dxa"/>
            <w:gridSpan w:val="2"/>
            <w:tcBorders>
              <w:top w:val="nil"/>
              <w:left w:val="nil"/>
              <w:bottom w:val="nil"/>
              <w:right w:val="nil"/>
            </w:tcBorders>
            <w:noWrap/>
            <w:vAlign w:val="bottom"/>
          </w:tcPr>
          <w:p w14:paraId="7598CC40" w14:textId="77777777" w:rsidR="00700BF2" w:rsidRPr="00F4705F" w:rsidRDefault="00700BF2" w:rsidP="00700BF2">
            <w:pPr>
              <w:jc w:val="right"/>
              <w:rPr>
                <w:sz w:val="22"/>
                <w:szCs w:val="22"/>
              </w:rPr>
            </w:pPr>
          </w:p>
        </w:tc>
        <w:tc>
          <w:tcPr>
            <w:tcW w:w="1134" w:type="dxa"/>
            <w:gridSpan w:val="2"/>
            <w:tcBorders>
              <w:top w:val="nil"/>
              <w:left w:val="nil"/>
              <w:right w:val="nil"/>
            </w:tcBorders>
            <w:noWrap/>
            <w:vAlign w:val="bottom"/>
          </w:tcPr>
          <w:p w14:paraId="01E097A8" w14:textId="513262BF" w:rsidR="00700BF2" w:rsidRPr="00F4705F" w:rsidRDefault="00700BF2" w:rsidP="00700BF2">
            <w:pPr>
              <w:jc w:val="right"/>
              <w:rPr>
                <w:sz w:val="22"/>
                <w:szCs w:val="22"/>
              </w:rPr>
            </w:pPr>
            <w:r w:rsidRPr="00F4705F">
              <w:rPr>
                <w:sz w:val="22"/>
                <w:szCs w:val="22"/>
              </w:rPr>
              <w:t>-</w:t>
            </w:r>
          </w:p>
        </w:tc>
      </w:tr>
      <w:tr w:rsidR="00700BF2" w:rsidRPr="00F4705F" w14:paraId="2DD97E29" w14:textId="77777777" w:rsidTr="1F1D26DB">
        <w:trPr>
          <w:gridAfter w:val="1"/>
          <w:wAfter w:w="1180" w:type="dxa"/>
          <w:trHeight w:val="255"/>
        </w:trPr>
        <w:tc>
          <w:tcPr>
            <w:tcW w:w="4928" w:type="dxa"/>
            <w:gridSpan w:val="2"/>
            <w:tcBorders>
              <w:left w:val="nil"/>
              <w:bottom w:val="nil"/>
              <w:right w:val="nil"/>
            </w:tcBorders>
            <w:noWrap/>
            <w:vAlign w:val="bottom"/>
          </w:tcPr>
          <w:p w14:paraId="0B3EA186" w14:textId="77777777" w:rsidR="00700BF2" w:rsidRPr="00F4705F" w:rsidRDefault="00700BF2" w:rsidP="00700BF2">
            <w:pPr>
              <w:rPr>
                <w:sz w:val="22"/>
                <w:szCs w:val="22"/>
              </w:rPr>
            </w:pPr>
            <w:r w:rsidRPr="00F4705F">
              <w:rPr>
                <w:sz w:val="22"/>
                <w:szCs w:val="22"/>
              </w:rPr>
              <w:t>Revenue reserve including pension reserve</w:t>
            </w:r>
          </w:p>
        </w:tc>
        <w:tc>
          <w:tcPr>
            <w:tcW w:w="992" w:type="dxa"/>
            <w:gridSpan w:val="3"/>
            <w:tcBorders>
              <w:left w:val="nil"/>
              <w:bottom w:val="nil"/>
              <w:right w:val="nil"/>
            </w:tcBorders>
            <w:noWrap/>
            <w:vAlign w:val="bottom"/>
          </w:tcPr>
          <w:p w14:paraId="7CC738A4" w14:textId="77777777" w:rsidR="00700BF2" w:rsidRPr="00F4705F" w:rsidRDefault="00700BF2" w:rsidP="00700BF2">
            <w:pPr>
              <w:jc w:val="center"/>
              <w:rPr>
                <w:iCs/>
                <w:sz w:val="22"/>
                <w:szCs w:val="22"/>
              </w:rPr>
            </w:pPr>
          </w:p>
        </w:tc>
        <w:tc>
          <w:tcPr>
            <w:tcW w:w="425" w:type="dxa"/>
            <w:tcBorders>
              <w:left w:val="nil"/>
              <w:bottom w:val="nil"/>
              <w:right w:val="nil"/>
            </w:tcBorders>
            <w:noWrap/>
            <w:vAlign w:val="bottom"/>
          </w:tcPr>
          <w:p w14:paraId="01D4D6CE" w14:textId="77777777" w:rsidR="00700BF2" w:rsidRPr="00F4705F" w:rsidRDefault="00700BF2" w:rsidP="00700BF2">
            <w:pPr>
              <w:rPr>
                <w:sz w:val="22"/>
                <w:szCs w:val="22"/>
              </w:rPr>
            </w:pPr>
          </w:p>
        </w:tc>
        <w:tc>
          <w:tcPr>
            <w:tcW w:w="1276" w:type="dxa"/>
            <w:gridSpan w:val="2"/>
            <w:tcBorders>
              <w:left w:val="nil"/>
              <w:right w:val="nil"/>
            </w:tcBorders>
            <w:shd w:val="clear" w:color="auto" w:fill="auto"/>
            <w:noWrap/>
            <w:vAlign w:val="bottom"/>
          </w:tcPr>
          <w:p w14:paraId="5D414D9D" w14:textId="49CEFB11" w:rsidR="00700BF2" w:rsidRPr="00AA583E" w:rsidRDefault="00C70CC7" w:rsidP="00700BF2">
            <w:pPr>
              <w:jc w:val="right"/>
              <w:rPr>
                <w:sz w:val="22"/>
                <w:szCs w:val="22"/>
              </w:rPr>
            </w:pPr>
            <w:r w:rsidRPr="00AA583E">
              <w:rPr>
                <w:sz w:val="22"/>
                <w:szCs w:val="22"/>
              </w:rPr>
              <w:t>130,</w:t>
            </w:r>
            <w:r w:rsidR="00AF0240" w:rsidRPr="00AA583E">
              <w:rPr>
                <w:sz w:val="22"/>
                <w:szCs w:val="22"/>
              </w:rPr>
              <w:t>389</w:t>
            </w:r>
          </w:p>
        </w:tc>
        <w:tc>
          <w:tcPr>
            <w:tcW w:w="425" w:type="dxa"/>
            <w:gridSpan w:val="2"/>
            <w:tcBorders>
              <w:left w:val="nil"/>
              <w:right w:val="nil"/>
            </w:tcBorders>
            <w:noWrap/>
            <w:vAlign w:val="bottom"/>
          </w:tcPr>
          <w:p w14:paraId="2D4B6365" w14:textId="77777777" w:rsidR="00700BF2" w:rsidRPr="00F4705F" w:rsidRDefault="00700BF2" w:rsidP="00700BF2">
            <w:pPr>
              <w:jc w:val="right"/>
              <w:rPr>
                <w:sz w:val="22"/>
                <w:szCs w:val="22"/>
              </w:rPr>
            </w:pPr>
          </w:p>
        </w:tc>
        <w:tc>
          <w:tcPr>
            <w:tcW w:w="1134" w:type="dxa"/>
            <w:gridSpan w:val="2"/>
            <w:tcBorders>
              <w:left w:val="nil"/>
              <w:right w:val="nil"/>
            </w:tcBorders>
            <w:noWrap/>
            <w:vAlign w:val="bottom"/>
          </w:tcPr>
          <w:p w14:paraId="4030DEA0" w14:textId="35EADCDE" w:rsidR="00700BF2" w:rsidRPr="00F4705F" w:rsidRDefault="00700BF2" w:rsidP="00700BF2">
            <w:pPr>
              <w:jc w:val="right"/>
              <w:rPr>
                <w:sz w:val="22"/>
                <w:szCs w:val="22"/>
              </w:rPr>
            </w:pPr>
            <w:r w:rsidRPr="00F4705F">
              <w:rPr>
                <w:sz w:val="22"/>
                <w:szCs w:val="22"/>
              </w:rPr>
              <w:t>115,393</w:t>
            </w:r>
          </w:p>
        </w:tc>
      </w:tr>
      <w:tr w:rsidR="00700BF2" w:rsidRPr="00F4705F" w14:paraId="1D9EA567" w14:textId="77777777" w:rsidTr="1F1D26DB">
        <w:trPr>
          <w:gridAfter w:val="1"/>
          <w:wAfter w:w="1180" w:type="dxa"/>
          <w:trHeight w:val="255"/>
        </w:trPr>
        <w:tc>
          <w:tcPr>
            <w:tcW w:w="4928" w:type="dxa"/>
            <w:gridSpan w:val="2"/>
            <w:tcBorders>
              <w:top w:val="nil"/>
              <w:left w:val="nil"/>
              <w:bottom w:val="nil"/>
              <w:right w:val="nil"/>
            </w:tcBorders>
            <w:noWrap/>
            <w:vAlign w:val="bottom"/>
          </w:tcPr>
          <w:p w14:paraId="0BC9C32A" w14:textId="77777777" w:rsidR="00700BF2" w:rsidRPr="00F4705F" w:rsidRDefault="00700BF2" w:rsidP="00700BF2">
            <w:pPr>
              <w:rPr>
                <w:sz w:val="22"/>
                <w:szCs w:val="22"/>
              </w:rPr>
            </w:pPr>
            <w:r w:rsidRPr="00F4705F">
              <w:rPr>
                <w:sz w:val="22"/>
                <w:szCs w:val="22"/>
              </w:rPr>
              <w:t>Revaluation reserve</w:t>
            </w:r>
          </w:p>
        </w:tc>
        <w:tc>
          <w:tcPr>
            <w:tcW w:w="992" w:type="dxa"/>
            <w:gridSpan w:val="3"/>
            <w:tcBorders>
              <w:top w:val="nil"/>
              <w:left w:val="nil"/>
              <w:bottom w:val="nil"/>
              <w:right w:val="nil"/>
            </w:tcBorders>
            <w:noWrap/>
            <w:vAlign w:val="bottom"/>
          </w:tcPr>
          <w:p w14:paraId="5650D4AF" w14:textId="77777777" w:rsidR="00700BF2" w:rsidRPr="00F4705F" w:rsidRDefault="00700BF2" w:rsidP="00700BF2">
            <w:pPr>
              <w:rPr>
                <w:i/>
                <w:iCs/>
                <w:sz w:val="22"/>
                <w:szCs w:val="22"/>
              </w:rPr>
            </w:pPr>
          </w:p>
        </w:tc>
        <w:tc>
          <w:tcPr>
            <w:tcW w:w="425" w:type="dxa"/>
            <w:tcBorders>
              <w:top w:val="nil"/>
              <w:left w:val="nil"/>
              <w:bottom w:val="nil"/>
              <w:right w:val="nil"/>
            </w:tcBorders>
            <w:noWrap/>
            <w:vAlign w:val="bottom"/>
          </w:tcPr>
          <w:p w14:paraId="75FC20C7" w14:textId="77777777" w:rsidR="00700BF2" w:rsidRPr="00F4705F" w:rsidRDefault="00700BF2" w:rsidP="00700BF2">
            <w:pPr>
              <w:rPr>
                <w:sz w:val="22"/>
                <w:szCs w:val="22"/>
              </w:rPr>
            </w:pPr>
          </w:p>
        </w:tc>
        <w:tc>
          <w:tcPr>
            <w:tcW w:w="1276" w:type="dxa"/>
            <w:gridSpan w:val="2"/>
            <w:tcBorders>
              <w:left w:val="nil"/>
              <w:bottom w:val="single" w:sz="4" w:space="0" w:color="auto"/>
              <w:right w:val="nil"/>
            </w:tcBorders>
            <w:noWrap/>
            <w:vAlign w:val="bottom"/>
          </w:tcPr>
          <w:p w14:paraId="64825F03" w14:textId="4E24485F" w:rsidR="00700BF2" w:rsidRPr="00AA583E" w:rsidRDefault="00DB749A" w:rsidP="00700BF2">
            <w:pPr>
              <w:jc w:val="right"/>
              <w:rPr>
                <w:sz w:val="22"/>
                <w:szCs w:val="22"/>
              </w:rPr>
            </w:pPr>
            <w:r w:rsidRPr="00AA583E">
              <w:rPr>
                <w:sz w:val="22"/>
                <w:szCs w:val="22"/>
              </w:rPr>
              <w:t>156,948</w:t>
            </w:r>
          </w:p>
        </w:tc>
        <w:tc>
          <w:tcPr>
            <w:tcW w:w="425" w:type="dxa"/>
            <w:gridSpan w:val="2"/>
            <w:tcBorders>
              <w:top w:val="nil"/>
              <w:left w:val="nil"/>
              <w:right w:val="nil"/>
            </w:tcBorders>
            <w:noWrap/>
            <w:vAlign w:val="bottom"/>
          </w:tcPr>
          <w:p w14:paraId="7883E581" w14:textId="77777777" w:rsidR="00700BF2" w:rsidRPr="00F4705F" w:rsidRDefault="00700BF2" w:rsidP="00700BF2">
            <w:pPr>
              <w:jc w:val="right"/>
              <w:rPr>
                <w:sz w:val="22"/>
                <w:szCs w:val="22"/>
              </w:rPr>
            </w:pPr>
          </w:p>
        </w:tc>
        <w:tc>
          <w:tcPr>
            <w:tcW w:w="1134" w:type="dxa"/>
            <w:gridSpan w:val="2"/>
            <w:tcBorders>
              <w:left w:val="nil"/>
              <w:bottom w:val="single" w:sz="4" w:space="0" w:color="auto"/>
              <w:right w:val="nil"/>
            </w:tcBorders>
            <w:noWrap/>
            <w:vAlign w:val="bottom"/>
          </w:tcPr>
          <w:p w14:paraId="770889E2" w14:textId="2F80A218" w:rsidR="00700BF2" w:rsidRPr="00F4705F" w:rsidRDefault="00700BF2" w:rsidP="00700BF2">
            <w:pPr>
              <w:jc w:val="right"/>
              <w:rPr>
                <w:sz w:val="22"/>
                <w:szCs w:val="22"/>
              </w:rPr>
            </w:pPr>
            <w:r w:rsidRPr="00F4705F">
              <w:rPr>
                <w:sz w:val="22"/>
                <w:szCs w:val="22"/>
              </w:rPr>
              <w:t>144,311</w:t>
            </w:r>
          </w:p>
        </w:tc>
      </w:tr>
      <w:tr w:rsidR="00700BF2" w:rsidRPr="00E803CA" w14:paraId="12244ECF" w14:textId="77777777" w:rsidTr="1F1D26DB">
        <w:trPr>
          <w:gridAfter w:val="1"/>
          <w:wAfter w:w="1180" w:type="dxa"/>
          <w:trHeight w:val="330"/>
        </w:trPr>
        <w:tc>
          <w:tcPr>
            <w:tcW w:w="4928" w:type="dxa"/>
            <w:gridSpan w:val="2"/>
            <w:tcBorders>
              <w:top w:val="nil"/>
              <w:left w:val="nil"/>
              <w:bottom w:val="nil"/>
              <w:right w:val="nil"/>
            </w:tcBorders>
            <w:noWrap/>
            <w:vAlign w:val="bottom"/>
          </w:tcPr>
          <w:p w14:paraId="6A3C3576" w14:textId="77777777" w:rsidR="00700BF2" w:rsidRPr="00F4705F" w:rsidRDefault="00700BF2" w:rsidP="00700BF2">
            <w:pPr>
              <w:rPr>
                <w:b/>
                <w:sz w:val="22"/>
                <w:szCs w:val="22"/>
              </w:rPr>
            </w:pPr>
            <w:r w:rsidRPr="00F4705F">
              <w:rPr>
                <w:b/>
                <w:sz w:val="22"/>
                <w:szCs w:val="22"/>
              </w:rPr>
              <w:t>Total reserves</w:t>
            </w:r>
          </w:p>
        </w:tc>
        <w:tc>
          <w:tcPr>
            <w:tcW w:w="992" w:type="dxa"/>
            <w:gridSpan w:val="3"/>
            <w:tcBorders>
              <w:top w:val="nil"/>
              <w:left w:val="nil"/>
              <w:bottom w:val="nil"/>
              <w:right w:val="nil"/>
            </w:tcBorders>
            <w:noWrap/>
            <w:vAlign w:val="bottom"/>
          </w:tcPr>
          <w:p w14:paraId="22DBCFED" w14:textId="77777777" w:rsidR="00700BF2" w:rsidRPr="00F4705F" w:rsidRDefault="00700BF2" w:rsidP="00700BF2">
            <w:pPr>
              <w:rPr>
                <w:i/>
                <w:iCs/>
                <w:sz w:val="22"/>
                <w:szCs w:val="22"/>
              </w:rPr>
            </w:pPr>
          </w:p>
        </w:tc>
        <w:tc>
          <w:tcPr>
            <w:tcW w:w="425" w:type="dxa"/>
            <w:tcBorders>
              <w:top w:val="nil"/>
              <w:left w:val="nil"/>
              <w:bottom w:val="nil"/>
              <w:right w:val="nil"/>
            </w:tcBorders>
            <w:noWrap/>
            <w:vAlign w:val="bottom"/>
          </w:tcPr>
          <w:p w14:paraId="65C48BB1" w14:textId="77777777" w:rsidR="00700BF2" w:rsidRPr="00F4705F" w:rsidRDefault="00700BF2" w:rsidP="00700BF2">
            <w:pPr>
              <w:rPr>
                <w:sz w:val="22"/>
                <w:szCs w:val="22"/>
              </w:rPr>
            </w:pPr>
          </w:p>
        </w:tc>
        <w:tc>
          <w:tcPr>
            <w:tcW w:w="1276" w:type="dxa"/>
            <w:gridSpan w:val="2"/>
            <w:tcBorders>
              <w:top w:val="single" w:sz="4" w:space="0" w:color="auto"/>
              <w:left w:val="nil"/>
              <w:bottom w:val="double" w:sz="4" w:space="0" w:color="auto"/>
              <w:right w:val="nil"/>
            </w:tcBorders>
            <w:noWrap/>
            <w:vAlign w:val="center"/>
          </w:tcPr>
          <w:p w14:paraId="402FE1EA" w14:textId="28749CF4" w:rsidR="00700BF2" w:rsidRPr="00AA583E" w:rsidRDefault="00DB749A" w:rsidP="00700BF2">
            <w:pPr>
              <w:jc w:val="right"/>
              <w:rPr>
                <w:sz w:val="22"/>
                <w:szCs w:val="22"/>
              </w:rPr>
            </w:pPr>
            <w:r w:rsidRPr="00AA583E">
              <w:rPr>
                <w:sz w:val="22"/>
                <w:szCs w:val="22"/>
              </w:rPr>
              <w:t>287,</w:t>
            </w:r>
            <w:r w:rsidR="00034863" w:rsidRPr="00AA583E">
              <w:rPr>
                <w:sz w:val="22"/>
                <w:szCs w:val="22"/>
              </w:rPr>
              <w:t>3</w:t>
            </w:r>
            <w:r w:rsidR="00AF0240" w:rsidRPr="00AA583E">
              <w:rPr>
                <w:sz w:val="22"/>
                <w:szCs w:val="22"/>
              </w:rPr>
              <w:t>37</w:t>
            </w:r>
          </w:p>
        </w:tc>
        <w:tc>
          <w:tcPr>
            <w:tcW w:w="425" w:type="dxa"/>
            <w:gridSpan w:val="2"/>
            <w:tcBorders>
              <w:left w:val="nil"/>
              <w:right w:val="nil"/>
            </w:tcBorders>
            <w:noWrap/>
            <w:vAlign w:val="center"/>
          </w:tcPr>
          <w:p w14:paraId="07FA94F8" w14:textId="77777777" w:rsidR="00700BF2" w:rsidRPr="00F4705F" w:rsidRDefault="00700BF2" w:rsidP="00700BF2">
            <w:pPr>
              <w:jc w:val="right"/>
              <w:rPr>
                <w:sz w:val="22"/>
                <w:szCs w:val="22"/>
              </w:rPr>
            </w:pPr>
          </w:p>
        </w:tc>
        <w:tc>
          <w:tcPr>
            <w:tcW w:w="1134" w:type="dxa"/>
            <w:gridSpan w:val="2"/>
            <w:tcBorders>
              <w:top w:val="single" w:sz="4" w:space="0" w:color="auto"/>
              <w:left w:val="nil"/>
              <w:bottom w:val="double" w:sz="4" w:space="0" w:color="auto"/>
              <w:right w:val="nil"/>
            </w:tcBorders>
            <w:noWrap/>
            <w:vAlign w:val="center"/>
          </w:tcPr>
          <w:p w14:paraId="3331A218" w14:textId="015C0A3D" w:rsidR="00700BF2" w:rsidRPr="00E803CA" w:rsidRDefault="00700BF2" w:rsidP="00700BF2">
            <w:pPr>
              <w:jc w:val="right"/>
              <w:rPr>
                <w:sz w:val="22"/>
                <w:szCs w:val="22"/>
              </w:rPr>
            </w:pPr>
            <w:r w:rsidRPr="00F4705F">
              <w:rPr>
                <w:sz w:val="22"/>
                <w:szCs w:val="22"/>
              </w:rPr>
              <w:t>259,704</w:t>
            </w:r>
          </w:p>
        </w:tc>
      </w:tr>
    </w:tbl>
    <w:p w14:paraId="15F017BF" w14:textId="77777777" w:rsidR="00847AE4" w:rsidRPr="00E803CA" w:rsidRDefault="00847AE4" w:rsidP="00847AE4">
      <w:pPr>
        <w:rPr>
          <w:sz w:val="20"/>
          <w:szCs w:val="20"/>
        </w:rPr>
      </w:pPr>
    </w:p>
    <w:p w14:paraId="36CBA4DF" w14:textId="77777777" w:rsidR="00581128" w:rsidRPr="00E803CA" w:rsidRDefault="00581128" w:rsidP="00847AE4">
      <w:pPr>
        <w:rPr>
          <w:sz w:val="20"/>
          <w:szCs w:val="20"/>
        </w:rPr>
      </w:pPr>
    </w:p>
    <w:bookmarkEnd w:id="8"/>
    <w:p w14:paraId="3D80D87A" w14:textId="2FB5A722" w:rsidR="00847AE4" w:rsidRPr="00581128" w:rsidRDefault="00847AE4" w:rsidP="00822A08">
      <w:pPr>
        <w:jc w:val="both"/>
        <w:rPr>
          <w:sz w:val="22"/>
          <w:szCs w:val="22"/>
        </w:rPr>
      </w:pPr>
      <w:r w:rsidRPr="009138C5">
        <w:rPr>
          <w:sz w:val="22"/>
          <w:szCs w:val="22"/>
        </w:rPr>
        <w:t>The</w:t>
      </w:r>
      <w:r w:rsidR="00C86C30" w:rsidRPr="009138C5">
        <w:rPr>
          <w:sz w:val="22"/>
          <w:szCs w:val="22"/>
        </w:rPr>
        <w:t>se</w:t>
      </w:r>
      <w:r w:rsidRPr="009138C5">
        <w:rPr>
          <w:sz w:val="22"/>
          <w:szCs w:val="22"/>
        </w:rPr>
        <w:t xml:space="preserve"> financial statements were approved by the </w:t>
      </w:r>
      <w:r w:rsidR="00822A08" w:rsidRPr="009138C5">
        <w:rPr>
          <w:sz w:val="22"/>
          <w:szCs w:val="22"/>
        </w:rPr>
        <w:t>Board</w:t>
      </w:r>
      <w:r w:rsidR="000C0E31" w:rsidRPr="009138C5">
        <w:rPr>
          <w:sz w:val="22"/>
          <w:szCs w:val="22"/>
        </w:rPr>
        <w:t xml:space="preserve"> on </w:t>
      </w:r>
      <w:r w:rsidR="00530845" w:rsidRPr="009138C5">
        <w:rPr>
          <w:sz w:val="22"/>
          <w:szCs w:val="22"/>
        </w:rPr>
        <w:t>21</w:t>
      </w:r>
      <w:r w:rsidR="000857F7" w:rsidRPr="009138C5">
        <w:rPr>
          <w:sz w:val="22"/>
          <w:szCs w:val="22"/>
        </w:rPr>
        <w:t xml:space="preserve"> August 20</w:t>
      </w:r>
      <w:r w:rsidR="00D240AC" w:rsidRPr="009138C5">
        <w:rPr>
          <w:sz w:val="22"/>
          <w:szCs w:val="22"/>
        </w:rPr>
        <w:t>2</w:t>
      </w:r>
      <w:r w:rsidR="00C44397" w:rsidRPr="009138C5">
        <w:rPr>
          <w:sz w:val="22"/>
          <w:szCs w:val="22"/>
        </w:rPr>
        <w:t>4</w:t>
      </w:r>
      <w:r w:rsidRPr="009138C5">
        <w:rPr>
          <w:sz w:val="22"/>
          <w:szCs w:val="22"/>
        </w:rPr>
        <w:t xml:space="preserve"> and</w:t>
      </w:r>
      <w:r w:rsidR="00581128" w:rsidRPr="009138C5">
        <w:rPr>
          <w:sz w:val="22"/>
          <w:szCs w:val="22"/>
        </w:rPr>
        <w:t xml:space="preserve"> were</w:t>
      </w:r>
      <w:r w:rsidRPr="009138C5">
        <w:rPr>
          <w:sz w:val="22"/>
          <w:szCs w:val="22"/>
        </w:rPr>
        <w:t xml:space="preserve"> signed on </w:t>
      </w:r>
      <w:r w:rsidR="00822A08" w:rsidRPr="009138C5">
        <w:rPr>
          <w:sz w:val="22"/>
          <w:szCs w:val="22"/>
        </w:rPr>
        <w:t>its</w:t>
      </w:r>
      <w:r w:rsidRPr="009138C5">
        <w:rPr>
          <w:sz w:val="22"/>
          <w:szCs w:val="22"/>
        </w:rPr>
        <w:t xml:space="preserve"> behalf </w:t>
      </w:r>
      <w:r w:rsidRPr="00B62127">
        <w:rPr>
          <w:sz w:val="22"/>
          <w:szCs w:val="22"/>
        </w:rPr>
        <w:t>on</w:t>
      </w:r>
      <w:r w:rsidR="00B62127">
        <w:rPr>
          <w:sz w:val="22"/>
          <w:szCs w:val="22"/>
        </w:rPr>
        <w:t xml:space="preserve">   </w:t>
      </w:r>
      <w:r w:rsidR="00D420F8" w:rsidRPr="00B62127">
        <w:rPr>
          <w:sz w:val="22"/>
          <w:szCs w:val="22"/>
        </w:rPr>
        <w:t xml:space="preserve"> September </w:t>
      </w:r>
      <w:r w:rsidR="00D240AC" w:rsidRPr="00B62127">
        <w:rPr>
          <w:sz w:val="22"/>
          <w:szCs w:val="22"/>
        </w:rPr>
        <w:t>202</w:t>
      </w:r>
      <w:r w:rsidR="00C44397" w:rsidRPr="00B62127">
        <w:rPr>
          <w:sz w:val="22"/>
          <w:szCs w:val="22"/>
        </w:rPr>
        <w:t>4</w:t>
      </w:r>
      <w:r w:rsidR="00581128" w:rsidRPr="009138C5">
        <w:rPr>
          <w:sz w:val="22"/>
          <w:szCs w:val="22"/>
        </w:rPr>
        <w:t xml:space="preserve"> by:</w:t>
      </w:r>
    </w:p>
    <w:p w14:paraId="12FD9584" w14:textId="77777777" w:rsidR="00847AE4" w:rsidRPr="004D388B" w:rsidRDefault="00847AE4" w:rsidP="00847AE4">
      <w:pPr>
        <w:rPr>
          <w:sz w:val="22"/>
          <w:szCs w:val="22"/>
          <w:highlight w:val="yellow"/>
        </w:rPr>
      </w:pPr>
    </w:p>
    <w:p w14:paraId="255DB096" w14:textId="77777777" w:rsidR="00822A08" w:rsidRPr="004D388B" w:rsidRDefault="00822A08" w:rsidP="00847AE4">
      <w:pPr>
        <w:rPr>
          <w:sz w:val="22"/>
          <w:szCs w:val="22"/>
          <w:highlight w:val="yellow"/>
        </w:rPr>
      </w:pPr>
    </w:p>
    <w:p w14:paraId="164C36D9" w14:textId="77777777" w:rsidR="00847AE4" w:rsidRPr="004D388B" w:rsidRDefault="00847AE4" w:rsidP="00847AE4">
      <w:pPr>
        <w:rPr>
          <w:sz w:val="22"/>
          <w:szCs w:val="22"/>
          <w:highlight w:val="yellow"/>
        </w:rPr>
      </w:pPr>
    </w:p>
    <w:p w14:paraId="04E0D9D5" w14:textId="77777777" w:rsidR="00822A08" w:rsidRPr="004D388B" w:rsidRDefault="00822A08" w:rsidP="00847AE4">
      <w:pPr>
        <w:rPr>
          <w:sz w:val="22"/>
          <w:szCs w:val="22"/>
          <w:highlight w:val="yellow"/>
        </w:rPr>
      </w:pPr>
    </w:p>
    <w:p w14:paraId="4111804B" w14:textId="77777777" w:rsidR="00847AE4" w:rsidRPr="004D388B" w:rsidRDefault="00847AE4" w:rsidP="00847AE4">
      <w:pPr>
        <w:rPr>
          <w:sz w:val="22"/>
          <w:szCs w:val="22"/>
          <w:highlight w:val="yellow"/>
        </w:rPr>
      </w:pPr>
    </w:p>
    <w:p w14:paraId="577394C3" w14:textId="723D5254" w:rsidR="00901466" w:rsidRPr="00682FC1" w:rsidRDefault="0018645F" w:rsidP="00901466">
      <w:pPr>
        <w:rPr>
          <w:sz w:val="22"/>
          <w:szCs w:val="22"/>
        </w:rPr>
      </w:pPr>
      <w:r>
        <w:rPr>
          <w:sz w:val="22"/>
          <w:szCs w:val="22"/>
        </w:rPr>
        <w:t>Jo</w:t>
      </w:r>
      <w:r w:rsidR="00105C0D">
        <w:rPr>
          <w:sz w:val="22"/>
          <w:szCs w:val="22"/>
        </w:rPr>
        <w:t>sephine</w:t>
      </w:r>
      <w:r>
        <w:rPr>
          <w:sz w:val="22"/>
          <w:szCs w:val="22"/>
        </w:rPr>
        <w:t xml:space="preserve"> Boaden</w:t>
      </w:r>
      <w:r w:rsidR="00197561">
        <w:rPr>
          <w:sz w:val="22"/>
          <w:szCs w:val="22"/>
        </w:rPr>
        <w:t xml:space="preserve"> CBE</w:t>
      </w:r>
      <w:r w:rsidR="00682FC1" w:rsidRPr="00682FC1">
        <w:rPr>
          <w:sz w:val="22"/>
          <w:szCs w:val="22"/>
        </w:rPr>
        <w:tab/>
        <w:t xml:space="preserve"> </w:t>
      </w:r>
      <w:r w:rsidR="00682FC1" w:rsidRPr="00682FC1">
        <w:rPr>
          <w:sz w:val="22"/>
          <w:szCs w:val="22"/>
        </w:rPr>
        <w:tab/>
      </w:r>
      <w:r w:rsidR="00901466" w:rsidRPr="00682FC1">
        <w:rPr>
          <w:sz w:val="22"/>
          <w:szCs w:val="22"/>
        </w:rPr>
        <w:tab/>
      </w:r>
      <w:r w:rsidR="00901466" w:rsidRPr="00682FC1">
        <w:rPr>
          <w:sz w:val="22"/>
          <w:szCs w:val="22"/>
        </w:rPr>
        <w:tab/>
      </w:r>
      <w:r w:rsidR="00901466" w:rsidRPr="00682FC1">
        <w:rPr>
          <w:sz w:val="22"/>
          <w:szCs w:val="22"/>
        </w:rPr>
        <w:tab/>
      </w:r>
      <w:r w:rsidR="00901466" w:rsidRPr="00682FC1">
        <w:rPr>
          <w:sz w:val="22"/>
          <w:szCs w:val="22"/>
        </w:rPr>
        <w:tab/>
        <w:t xml:space="preserve">   </w:t>
      </w:r>
    </w:p>
    <w:p w14:paraId="081EDCAD" w14:textId="77777777" w:rsidR="00901466" w:rsidRPr="00682FC1" w:rsidRDefault="00901466" w:rsidP="00901466">
      <w:pPr>
        <w:rPr>
          <w:sz w:val="22"/>
          <w:szCs w:val="22"/>
        </w:rPr>
      </w:pPr>
      <w:r w:rsidRPr="00682FC1">
        <w:rPr>
          <w:sz w:val="22"/>
          <w:szCs w:val="22"/>
        </w:rPr>
        <w:t>Chair</w:t>
      </w:r>
      <w:r w:rsidRPr="00682FC1">
        <w:rPr>
          <w:sz w:val="22"/>
          <w:szCs w:val="22"/>
        </w:rPr>
        <w:tab/>
      </w:r>
      <w:r w:rsidRPr="00682FC1">
        <w:rPr>
          <w:sz w:val="22"/>
          <w:szCs w:val="22"/>
        </w:rPr>
        <w:tab/>
      </w:r>
      <w:r w:rsidRPr="00682FC1">
        <w:rPr>
          <w:sz w:val="22"/>
          <w:szCs w:val="22"/>
        </w:rPr>
        <w:tab/>
      </w:r>
      <w:r w:rsidRPr="00682FC1">
        <w:rPr>
          <w:sz w:val="22"/>
          <w:szCs w:val="22"/>
        </w:rPr>
        <w:tab/>
      </w:r>
      <w:r w:rsidRPr="00682FC1">
        <w:rPr>
          <w:sz w:val="22"/>
          <w:szCs w:val="22"/>
        </w:rPr>
        <w:tab/>
      </w:r>
      <w:r w:rsidRPr="00682FC1">
        <w:rPr>
          <w:sz w:val="22"/>
          <w:szCs w:val="22"/>
        </w:rPr>
        <w:tab/>
      </w:r>
      <w:r w:rsidRPr="00682FC1">
        <w:rPr>
          <w:sz w:val="22"/>
          <w:szCs w:val="22"/>
        </w:rPr>
        <w:tab/>
        <w:t xml:space="preserve">  </w:t>
      </w:r>
    </w:p>
    <w:p w14:paraId="2304988A" w14:textId="77777777" w:rsidR="00847AE4" w:rsidRPr="00682FC1" w:rsidRDefault="00847AE4" w:rsidP="00847AE4">
      <w:pPr>
        <w:rPr>
          <w:iCs/>
          <w:sz w:val="22"/>
          <w:szCs w:val="22"/>
        </w:rPr>
      </w:pPr>
    </w:p>
    <w:p w14:paraId="025CA8C0" w14:textId="7E58B2F4" w:rsidR="00847AE4" w:rsidRDefault="00847AE4" w:rsidP="00847AE4">
      <w:pPr>
        <w:rPr>
          <w:bCs/>
          <w:iCs/>
          <w:sz w:val="22"/>
          <w:szCs w:val="22"/>
        </w:rPr>
      </w:pPr>
      <w:r w:rsidRPr="00151875">
        <w:rPr>
          <w:bCs/>
          <w:iCs/>
          <w:sz w:val="22"/>
          <w:szCs w:val="22"/>
        </w:rPr>
        <w:t xml:space="preserve">The </w:t>
      </w:r>
      <w:r w:rsidRPr="001250E0">
        <w:rPr>
          <w:bCs/>
          <w:iCs/>
          <w:sz w:val="22"/>
          <w:szCs w:val="22"/>
        </w:rPr>
        <w:t xml:space="preserve">notes on </w:t>
      </w:r>
      <w:r w:rsidRPr="00E803CA">
        <w:rPr>
          <w:bCs/>
          <w:iCs/>
          <w:sz w:val="22"/>
          <w:szCs w:val="22"/>
        </w:rPr>
        <w:t xml:space="preserve">pages </w:t>
      </w:r>
      <w:r w:rsidR="00F66B00" w:rsidRPr="00E803CA">
        <w:rPr>
          <w:bCs/>
          <w:iCs/>
          <w:sz w:val="22"/>
          <w:szCs w:val="22"/>
        </w:rPr>
        <w:t>2</w:t>
      </w:r>
      <w:r w:rsidR="007D0D2A">
        <w:rPr>
          <w:bCs/>
          <w:iCs/>
          <w:sz w:val="22"/>
          <w:szCs w:val="22"/>
        </w:rPr>
        <w:t>1</w:t>
      </w:r>
      <w:r w:rsidR="000E6587" w:rsidRPr="00E803CA">
        <w:rPr>
          <w:sz w:val="22"/>
          <w:szCs w:val="22"/>
        </w:rPr>
        <w:t xml:space="preserve"> to </w:t>
      </w:r>
      <w:r w:rsidR="004E1648" w:rsidRPr="00E803CA">
        <w:rPr>
          <w:bCs/>
          <w:iCs/>
          <w:sz w:val="22"/>
          <w:szCs w:val="22"/>
        </w:rPr>
        <w:t>4</w:t>
      </w:r>
      <w:r w:rsidR="007D0D2A">
        <w:rPr>
          <w:bCs/>
          <w:iCs/>
          <w:sz w:val="22"/>
          <w:szCs w:val="22"/>
        </w:rPr>
        <w:t>2</w:t>
      </w:r>
      <w:r w:rsidRPr="00E803CA">
        <w:rPr>
          <w:bCs/>
          <w:iCs/>
          <w:sz w:val="22"/>
          <w:szCs w:val="22"/>
        </w:rPr>
        <w:t xml:space="preserve"> form part of</w:t>
      </w:r>
      <w:r w:rsidRPr="00151875">
        <w:rPr>
          <w:bCs/>
          <w:iCs/>
          <w:sz w:val="22"/>
          <w:szCs w:val="22"/>
        </w:rPr>
        <w:t xml:space="preserve"> these financial statements.</w:t>
      </w:r>
    </w:p>
    <w:p w14:paraId="30AA2C87" w14:textId="77777777" w:rsidR="00AD2429" w:rsidRDefault="00AD2429" w:rsidP="00AD2429">
      <w:pPr>
        <w:rPr>
          <w:sz w:val="22"/>
          <w:szCs w:val="22"/>
        </w:rPr>
      </w:pPr>
      <w:r>
        <w:rPr>
          <w:sz w:val="22"/>
          <w:szCs w:val="22"/>
        </w:rPr>
        <w:t>Company Registered Number SC220297</w:t>
      </w:r>
    </w:p>
    <w:p w14:paraId="09506F61" w14:textId="32E91C73" w:rsidR="00E131B8" w:rsidRPr="00570850" w:rsidRDefault="00E131B8" w:rsidP="00E131B8">
      <w:pPr>
        <w:rPr>
          <w:sz w:val="22"/>
          <w:szCs w:val="22"/>
        </w:rPr>
      </w:pPr>
      <w:r w:rsidRPr="00570850">
        <w:rPr>
          <w:sz w:val="22"/>
          <w:szCs w:val="22"/>
        </w:rPr>
        <w:t>Scottish Charity N</w:t>
      </w:r>
      <w:r w:rsidR="004913FE">
        <w:rPr>
          <w:sz w:val="22"/>
          <w:szCs w:val="22"/>
        </w:rPr>
        <w:t>umber</w:t>
      </w:r>
      <w:r w:rsidRPr="00525140">
        <w:rPr>
          <w:sz w:val="22"/>
          <w:szCs w:val="22"/>
        </w:rPr>
        <w:t xml:space="preserve"> SC039896</w:t>
      </w:r>
    </w:p>
    <w:p w14:paraId="37C26D39" w14:textId="77777777" w:rsidR="00B9246A" w:rsidRPr="0052048B" w:rsidRDefault="000A538B" w:rsidP="0052048B">
      <w:pPr>
        <w:rPr>
          <w:bCs/>
          <w:iCs/>
          <w:sz w:val="22"/>
          <w:szCs w:val="22"/>
        </w:rPr>
      </w:pPr>
      <w:r>
        <w:rPr>
          <w:bCs/>
          <w:iCs/>
          <w:sz w:val="22"/>
          <w:szCs w:val="22"/>
        </w:rPr>
        <w:tab/>
      </w:r>
    </w:p>
    <w:bookmarkEnd w:id="9"/>
    <w:p w14:paraId="42C39872" w14:textId="77777777" w:rsidR="008E14D9" w:rsidRPr="004D388B" w:rsidRDefault="008E14D9" w:rsidP="0055055A">
      <w:pPr>
        <w:rPr>
          <w:sz w:val="20"/>
          <w:szCs w:val="20"/>
          <w:highlight w:val="yellow"/>
        </w:rPr>
      </w:pPr>
    </w:p>
    <w:p w14:paraId="64BC2D2C" w14:textId="77777777" w:rsidR="008E14D9" w:rsidRPr="004D388B" w:rsidRDefault="008E14D9" w:rsidP="0055055A">
      <w:pPr>
        <w:rPr>
          <w:sz w:val="20"/>
          <w:szCs w:val="20"/>
          <w:highlight w:val="yellow"/>
        </w:rPr>
      </w:pPr>
    </w:p>
    <w:p w14:paraId="221DD012" w14:textId="77777777" w:rsidR="008E14D9" w:rsidRPr="004D388B" w:rsidRDefault="008E14D9" w:rsidP="0055055A">
      <w:pPr>
        <w:rPr>
          <w:sz w:val="20"/>
          <w:szCs w:val="20"/>
          <w:highlight w:val="yellow"/>
        </w:rPr>
      </w:pPr>
    </w:p>
    <w:bookmarkEnd w:id="10"/>
    <w:p w14:paraId="7C8A63AF" w14:textId="18D3BFC8" w:rsidR="00E325FF" w:rsidRPr="00E46CC9" w:rsidRDefault="00CB1F0B" w:rsidP="00C32E0F">
      <w:pPr>
        <w:pStyle w:val="Heading1"/>
        <w:spacing w:before="0" w:after="0"/>
        <w:rPr>
          <w:rFonts w:ascii="Times New Roman" w:hAnsi="Times New Roman"/>
          <w:sz w:val="22"/>
          <w:szCs w:val="22"/>
        </w:rPr>
      </w:pPr>
      <w:r w:rsidRPr="00E46CC9">
        <w:rPr>
          <w:rFonts w:ascii="Times New Roman" w:hAnsi="Times New Roman"/>
          <w:sz w:val="22"/>
          <w:szCs w:val="22"/>
        </w:rPr>
        <w:lastRenderedPageBreak/>
        <w:t xml:space="preserve">STATEMENT OF </w:t>
      </w:r>
      <w:r w:rsidR="00BC4E09" w:rsidRPr="00E46CC9">
        <w:rPr>
          <w:rFonts w:ascii="Times New Roman" w:hAnsi="Times New Roman"/>
          <w:sz w:val="22"/>
          <w:szCs w:val="22"/>
        </w:rPr>
        <w:t>CASH FLOW</w:t>
      </w:r>
      <w:r w:rsidRPr="00E46CC9">
        <w:rPr>
          <w:rFonts w:ascii="Times New Roman" w:hAnsi="Times New Roman"/>
          <w:sz w:val="22"/>
          <w:szCs w:val="22"/>
        </w:rPr>
        <w:t>S</w:t>
      </w:r>
      <w:r w:rsidR="00EA126E" w:rsidRPr="00E46CC9">
        <w:rPr>
          <w:rFonts w:ascii="Times New Roman" w:hAnsi="Times New Roman"/>
          <w:sz w:val="22"/>
          <w:szCs w:val="22"/>
        </w:rPr>
        <w:t xml:space="preserve"> </w:t>
      </w:r>
      <w:r w:rsidR="00384628" w:rsidRPr="00E46CC9">
        <w:rPr>
          <w:rFonts w:ascii="Times New Roman" w:hAnsi="Times New Roman"/>
          <w:sz w:val="22"/>
          <w:szCs w:val="22"/>
        </w:rPr>
        <w:t>FOR THE YEAR ENDED 31 MARCH 202</w:t>
      </w:r>
      <w:r w:rsidR="00E47581">
        <w:rPr>
          <w:rFonts w:ascii="Times New Roman" w:hAnsi="Times New Roman"/>
          <w:sz w:val="22"/>
          <w:szCs w:val="22"/>
        </w:rPr>
        <w:t>4</w:t>
      </w:r>
    </w:p>
    <w:p w14:paraId="59020BE6" w14:textId="77777777" w:rsidR="008B2290" w:rsidRPr="008B2290" w:rsidRDefault="008B2290" w:rsidP="008B2290"/>
    <w:tbl>
      <w:tblPr>
        <w:tblW w:w="8948" w:type="dxa"/>
        <w:tblLayout w:type="fixed"/>
        <w:tblCellMar>
          <w:left w:w="0" w:type="dxa"/>
          <w:right w:w="0" w:type="dxa"/>
        </w:tblCellMar>
        <w:tblLook w:val="0000" w:firstRow="0" w:lastRow="0" w:firstColumn="0" w:lastColumn="0" w:noHBand="0" w:noVBand="0"/>
      </w:tblPr>
      <w:tblGrid>
        <w:gridCol w:w="4421"/>
        <w:gridCol w:w="1408"/>
        <w:gridCol w:w="1418"/>
        <w:gridCol w:w="429"/>
        <w:gridCol w:w="1272"/>
      </w:tblGrid>
      <w:tr w:rsidR="008B2290" w:rsidRPr="00F96EE6" w14:paraId="19DD2B09" w14:textId="77777777" w:rsidTr="000857F7">
        <w:trPr>
          <w:cantSplit/>
          <w:trHeight w:val="255"/>
        </w:trPr>
        <w:tc>
          <w:tcPr>
            <w:tcW w:w="4421" w:type="dxa"/>
            <w:noWrap/>
            <w:tcMar>
              <w:top w:w="17" w:type="dxa"/>
              <w:left w:w="17" w:type="dxa"/>
              <w:bottom w:w="0" w:type="dxa"/>
              <w:right w:w="17" w:type="dxa"/>
            </w:tcMar>
            <w:vAlign w:val="bottom"/>
          </w:tcPr>
          <w:p w14:paraId="641F21DD" w14:textId="77777777" w:rsidR="008B2290" w:rsidRPr="00F96EE6" w:rsidRDefault="008B2290" w:rsidP="008B2290">
            <w:pPr>
              <w:rPr>
                <w:sz w:val="22"/>
                <w:szCs w:val="22"/>
              </w:rPr>
            </w:pPr>
          </w:p>
        </w:tc>
        <w:tc>
          <w:tcPr>
            <w:tcW w:w="1408" w:type="dxa"/>
            <w:noWrap/>
            <w:tcMar>
              <w:top w:w="17" w:type="dxa"/>
              <w:left w:w="17" w:type="dxa"/>
              <w:bottom w:w="0" w:type="dxa"/>
              <w:right w:w="17" w:type="dxa"/>
            </w:tcMar>
            <w:vAlign w:val="bottom"/>
          </w:tcPr>
          <w:p w14:paraId="19630DB4" w14:textId="77777777" w:rsidR="008B2290" w:rsidRPr="00F96EE6" w:rsidRDefault="008B2290" w:rsidP="008B2290">
            <w:pPr>
              <w:jc w:val="center"/>
              <w:rPr>
                <w:b/>
                <w:bCs/>
                <w:i/>
                <w:sz w:val="22"/>
                <w:szCs w:val="22"/>
              </w:rPr>
            </w:pPr>
            <w:r w:rsidRPr="00F96EE6">
              <w:rPr>
                <w:b/>
                <w:bCs/>
                <w:i/>
                <w:sz w:val="22"/>
                <w:szCs w:val="22"/>
              </w:rPr>
              <w:t>Note</w:t>
            </w:r>
            <w:r>
              <w:rPr>
                <w:b/>
                <w:bCs/>
                <w:i/>
                <w:sz w:val="22"/>
                <w:szCs w:val="22"/>
              </w:rPr>
              <w:t>s</w:t>
            </w:r>
          </w:p>
        </w:tc>
        <w:tc>
          <w:tcPr>
            <w:tcW w:w="1418" w:type="dxa"/>
            <w:noWrap/>
            <w:tcMar>
              <w:top w:w="17" w:type="dxa"/>
              <w:left w:w="17" w:type="dxa"/>
              <w:bottom w:w="0" w:type="dxa"/>
              <w:right w:w="17" w:type="dxa"/>
            </w:tcMar>
            <w:vAlign w:val="center"/>
          </w:tcPr>
          <w:p w14:paraId="081173E2" w14:textId="21F9C18D" w:rsidR="008B2290" w:rsidRPr="00F965E6" w:rsidRDefault="008B2290" w:rsidP="008B2290">
            <w:pPr>
              <w:ind w:right="57"/>
              <w:jc w:val="right"/>
              <w:rPr>
                <w:b/>
                <w:bCs/>
                <w:sz w:val="22"/>
                <w:szCs w:val="22"/>
              </w:rPr>
            </w:pPr>
            <w:r w:rsidRPr="00F965E6">
              <w:rPr>
                <w:b/>
                <w:bCs/>
                <w:sz w:val="22"/>
                <w:szCs w:val="22"/>
              </w:rPr>
              <w:t>202</w:t>
            </w:r>
            <w:r w:rsidR="00E47581">
              <w:rPr>
                <w:b/>
                <w:bCs/>
                <w:sz w:val="22"/>
                <w:szCs w:val="22"/>
              </w:rPr>
              <w:t>4</w:t>
            </w:r>
          </w:p>
          <w:p w14:paraId="20974F23" w14:textId="77777777" w:rsidR="008B2290" w:rsidRPr="00F965E6" w:rsidRDefault="008B2290" w:rsidP="008B2290">
            <w:pPr>
              <w:ind w:right="57"/>
              <w:jc w:val="right"/>
              <w:rPr>
                <w:b/>
                <w:bCs/>
                <w:sz w:val="22"/>
                <w:szCs w:val="22"/>
              </w:rPr>
            </w:pPr>
            <w:r w:rsidRPr="00F965E6">
              <w:rPr>
                <w:b/>
                <w:bCs/>
                <w:sz w:val="22"/>
                <w:szCs w:val="22"/>
              </w:rPr>
              <w:t>£’000</w:t>
            </w:r>
          </w:p>
        </w:tc>
        <w:tc>
          <w:tcPr>
            <w:tcW w:w="429" w:type="dxa"/>
            <w:vAlign w:val="center"/>
          </w:tcPr>
          <w:p w14:paraId="67C3C7BB" w14:textId="77777777" w:rsidR="008B2290" w:rsidRPr="00F965E6" w:rsidRDefault="008B2290" w:rsidP="008B2290">
            <w:pPr>
              <w:ind w:right="57"/>
              <w:jc w:val="right"/>
              <w:rPr>
                <w:b/>
                <w:bCs/>
                <w:sz w:val="22"/>
                <w:szCs w:val="22"/>
              </w:rPr>
            </w:pPr>
          </w:p>
        </w:tc>
        <w:tc>
          <w:tcPr>
            <w:tcW w:w="1272" w:type="dxa"/>
            <w:vAlign w:val="center"/>
          </w:tcPr>
          <w:p w14:paraId="35219E87" w14:textId="0FCC202C" w:rsidR="008B2290" w:rsidRPr="00F965E6" w:rsidRDefault="008B2290" w:rsidP="008B2290">
            <w:pPr>
              <w:ind w:right="57"/>
              <w:jc w:val="right"/>
              <w:rPr>
                <w:b/>
                <w:bCs/>
                <w:sz w:val="22"/>
                <w:szCs w:val="22"/>
              </w:rPr>
            </w:pPr>
            <w:r w:rsidRPr="00F965E6">
              <w:rPr>
                <w:b/>
                <w:bCs/>
                <w:sz w:val="22"/>
                <w:szCs w:val="22"/>
              </w:rPr>
              <w:t>202</w:t>
            </w:r>
            <w:r w:rsidR="00E47581">
              <w:rPr>
                <w:b/>
                <w:bCs/>
                <w:sz w:val="22"/>
                <w:szCs w:val="22"/>
              </w:rPr>
              <w:t>3</w:t>
            </w:r>
          </w:p>
          <w:p w14:paraId="08C21CF2" w14:textId="65CB7808" w:rsidR="008B2290" w:rsidRPr="00F965E6" w:rsidRDefault="008B2290" w:rsidP="008B2290">
            <w:pPr>
              <w:ind w:right="57"/>
              <w:jc w:val="right"/>
              <w:rPr>
                <w:b/>
                <w:bCs/>
                <w:sz w:val="22"/>
                <w:szCs w:val="22"/>
              </w:rPr>
            </w:pPr>
            <w:r w:rsidRPr="00F965E6">
              <w:rPr>
                <w:b/>
                <w:bCs/>
                <w:sz w:val="22"/>
                <w:szCs w:val="22"/>
              </w:rPr>
              <w:t>£’000</w:t>
            </w:r>
          </w:p>
        </w:tc>
      </w:tr>
      <w:tr w:rsidR="008B2290" w:rsidRPr="00F96EE6" w14:paraId="7C654CC3" w14:textId="77777777" w:rsidTr="000857F7">
        <w:trPr>
          <w:cantSplit/>
          <w:trHeight w:val="255"/>
        </w:trPr>
        <w:tc>
          <w:tcPr>
            <w:tcW w:w="4421" w:type="dxa"/>
            <w:noWrap/>
            <w:tcMar>
              <w:top w:w="17" w:type="dxa"/>
              <w:left w:w="17" w:type="dxa"/>
              <w:bottom w:w="0" w:type="dxa"/>
              <w:right w:w="17" w:type="dxa"/>
            </w:tcMar>
            <w:vAlign w:val="bottom"/>
          </w:tcPr>
          <w:p w14:paraId="54C8B7CF" w14:textId="77777777" w:rsidR="008B2290" w:rsidRPr="00F96EE6" w:rsidRDefault="008B2290" w:rsidP="008B2290">
            <w:pPr>
              <w:rPr>
                <w:sz w:val="22"/>
                <w:szCs w:val="22"/>
              </w:rPr>
            </w:pPr>
          </w:p>
        </w:tc>
        <w:tc>
          <w:tcPr>
            <w:tcW w:w="1408" w:type="dxa"/>
            <w:noWrap/>
            <w:tcMar>
              <w:top w:w="17" w:type="dxa"/>
              <w:left w:w="17" w:type="dxa"/>
              <w:bottom w:w="0" w:type="dxa"/>
              <w:right w:w="17" w:type="dxa"/>
            </w:tcMar>
            <w:vAlign w:val="bottom"/>
          </w:tcPr>
          <w:p w14:paraId="33405B3D" w14:textId="77777777" w:rsidR="008B2290" w:rsidRPr="00F96EE6" w:rsidRDefault="008B2290" w:rsidP="008B2290">
            <w:pPr>
              <w:jc w:val="center"/>
              <w:rPr>
                <w:i/>
                <w:sz w:val="22"/>
                <w:szCs w:val="22"/>
              </w:rPr>
            </w:pPr>
          </w:p>
        </w:tc>
        <w:tc>
          <w:tcPr>
            <w:tcW w:w="1418" w:type="dxa"/>
            <w:noWrap/>
            <w:tcMar>
              <w:top w:w="17" w:type="dxa"/>
              <w:left w:w="17" w:type="dxa"/>
              <w:bottom w:w="0" w:type="dxa"/>
              <w:right w:w="17" w:type="dxa"/>
            </w:tcMar>
            <w:vAlign w:val="center"/>
          </w:tcPr>
          <w:p w14:paraId="46F9013C" w14:textId="77777777" w:rsidR="008B2290" w:rsidRPr="00F965E6" w:rsidRDefault="008B2290" w:rsidP="008B2290">
            <w:pPr>
              <w:ind w:right="57"/>
              <w:jc w:val="right"/>
              <w:rPr>
                <w:sz w:val="22"/>
                <w:szCs w:val="22"/>
              </w:rPr>
            </w:pPr>
          </w:p>
        </w:tc>
        <w:tc>
          <w:tcPr>
            <w:tcW w:w="429" w:type="dxa"/>
            <w:vAlign w:val="center"/>
          </w:tcPr>
          <w:p w14:paraId="59B13EFA" w14:textId="77777777" w:rsidR="008B2290" w:rsidRPr="00F965E6" w:rsidRDefault="008B2290" w:rsidP="008B2290">
            <w:pPr>
              <w:ind w:right="57"/>
              <w:jc w:val="right"/>
              <w:rPr>
                <w:sz w:val="22"/>
                <w:szCs w:val="22"/>
              </w:rPr>
            </w:pPr>
          </w:p>
        </w:tc>
        <w:tc>
          <w:tcPr>
            <w:tcW w:w="1272" w:type="dxa"/>
            <w:vAlign w:val="center"/>
          </w:tcPr>
          <w:p w14:paraId="7FC9D109" w14:textId="77777777" w:rsidR="008B2290" w:rsidRPr="00F965E6" w:rsidRDefault="008B2290" w:rsidP="008B2290">
            <w:pPr>
              <w:ind w:right="57"/>
              <w:jc w:val="right"/>
              <w:rPr>
                <w:sz w:val="22"/>
                <w:szCs w:val="22"/>
              </w:rPr>
            </w:pPr>
          </w:p>
        </w:tc>
      </w:tr>
      <w:tr w:rsidR="00E47581" w:rsidRPr="00F96EE6" w14:paraId="55AC6150" w14:textId="77777777" w:rsidTr="000857F7">
        <w:trPr>
          <w:trHeight w:val="255"/>
        </w:trPr>
        <w:tc>
          <w:tcPr>
            <w:tcW w:w="4421" w:type="dxa"/>
            <w:noWrap/>
            <w:tcMar>
              <w:top w:w="17" w:type="dxa"/>
              <w:left w:w="17" w:type="dxa"/>
              <w:bottom w:w="0" w:type="dxa"/>
              <w:right w:w="17" w:type="dxa"/>
            </w:tcMar>
            <w:vAlign w:val="bottom"/>
          </w:tcPr>
          <w:p w14:paraId="553ED6D7" w14:textId="77777777" w:rsidR="00E47581" w:rsidRPr="00F96EE6" w:rsidRDefault="00E47581" w:rsidP="00E47581">
            <w:pPr>
              <w:rPr>
                <w:b/>
                <w:bCs/>
                <w:sz w:val="22"/>
                <w:szCs w:val="22"/>
              </w:rPr>
            </w:pPr>
            <w:r w:rsidRPr="00F96EE6">
              <w:rPr>
                <w:b/>
                <w:bCs/>
                <w:sz w:val="22"/>
                <w:szCs w:val="22"/>
              </w:rPr>
              <w:t>Net cash generated from operating activities</w:t>
            </w:r>
          </w:p>
        </w:tc>
        <w:tc>
          <w:tcPr>
            <w:tcW w:w="1408" w:type="dxa"/>
            <w:noWrap/>
            <w:tcMar>
              <w:top w:w="17" w:type="dxa"/>
              <w:left w:w="17" w:type="dxa"/>
              <w:bottom w:w="0" w:type="dxa"/>
              <w:right w:w="17" w:type="dxa"/>
            </w:tcMar>
            <w:vAlign w:val="center"/>
          </w:tcPr>
          <w:p w14:paraId="66C4D5A3" w14:textId="11311BB1" w:rsidR="00E47581" w:rsidRPr="00F96EE6" w:rsidRDefault="00E47581" w:rsidP="00E47581">
            <w:pPr>
              <w:jc w:val="center"/>
              <w:rPr>
                <w:iCs/>
                <w:sz w:val="22"/>
                <w:szCs w:val="22"/>
              </w:rPr>
            </w:pPr>
            <w:r>
              <w:rPr>
                <w:iCs/>
                <w:sz w:val="22"/>
                <w:szCs w:val="22"/>
              </w:rPr>
              <w:t>2</w:t>
            </w:r>
            <w:r w:rsidR="006B1CCF">
              <w:rPr>
                <w:iCs/>
                <w:sz w:val="22"/>
                <w:szCs w:val="22"/>
              </w:rPr>
              <w:t>3</w:t>
            </w:r>
          </w:p>
        </w:tc>
        <w:tc>
          <w:tcPr>
            <w:tcW w:w="1418" w:type="dxa"/>
            <w:tcBorders>
              <w:bottom w:val="single" w:sz="4" w:space="0" w:color="auto"/>
            </w:tcBorders>
            <w:noWrap/>
            <w:tcMar>
              <w:top w:w="17" w:type="dxa"/>
              <w:left w:w="17" w:type="dxa"/>
              <w:bottom w:w="0" w:type="dxa"/>
              <w:right w:w="17" w:type="dxa"/>
            </w:tcMar>
            <w:vAlign w:val="center"/>
          </w:tcPr>
          <w:p w14:paraId="2844BEC2" w14:textId="45681D9F" w:rsidR="00E47581" w:rsidRPr="00F965E6" w:rsidRDefault="002318EB" w:rsidP="00E47581">
            <w:pPr>
              <w:ind w:right="57"/>
              <w:jc w:val="right"/>
              <w:rPr>
                <w:sz w:val="22"/>
                <w:szCs w:val="22"/>
              </w:rPr>
            </w:pPr>
            <w:r>
              <w:rPr>
                <w:sz w:val="22"/>
                <w:szCs w:val="22"/>
              </w:rPr>
              <w:t>27,</w:t>
            </w:r>
            <w:r w:rsidR="005C7AE1">
              <w:rPr>
                <w:sz w:val="22"/>
                <w:szCs w:val="22"/>
              </w:rPr>
              <w:t>80</w:t>
            </w:r>
            <w:r w:rsidR="001F039C">
              <w:rPr>
                <w:sz w:val="22"/>
                <w:szCs w:val="22"/>
              </w:rPr>
              <w:t>0</w:t>
            </w:r>
          </w:p>
        </w:tc>
        <w:tc>
          <w:tcPr>
            <w:tcW w:w="429" w:type="dxa"/>
            <w:vAlign w:val="center"/>
          </w:tcPr>
          <w:p w14:paraId="7056EB92" w14:textId="77777777" w:rsidR="00E47581" w:rsidRPr="00F965E6" w:rsidRDefault="00E47581" w:rsidP="00E47581">
            <w:pPr>
              <w:ind w:right="57"/>
              <w:jc w:val="right"/>
              <w:rPr>
                <w:sz w:val="22"/>
                <w:szCs w:val="22"/>
              </w:rPr>
            </w:pPr>
          </w:p>
        </w:tc>
        <w:tc>
          <w:tcPr>
            <w:tcW w:w="1272" w:type="dxa"/>
            <w:tcBorders>
              <w:bottom w:val="single" w:sz="4" w:space="0" w:color="auto"/>
            </w:tcBorders>
            <w:vAlign w:val="center"/>
          </w:tcPr>
          <w:p w14:paraId="51982ABC" w14:textId="07C59CCF" w:rsidR="00E47581" w:rsidRPr="00F965E6" w:rsidRDefault="00E47581" w:rsidP="00E47581">
            <w:pPr>
              <w:ind w:right="57"/>
              <w:jc w:val="right"/>
              <w:rPr>
                <w:sz w:val="22"/>
                <w:szCs w:val="22"/>
              </w:rPr>
            </w:pPr>
            <w:r>
              <w:rPr>
                <w:sz w:val="22"/>
                <w:szCs w:val="22"/>
              </w:rPr>
              <w:t>20,529</w:t>
            </w:r>
          </w:p>
        </w:tc>
      </w:tr>
      <w:tr w:rsidR="00E47581" w:rsidRPr="00F96EE6" w14:paraId="6DADB7B5" w14:textId="77777777" w:rsidTr="000857F7">
        <w:trPr>
          <w:cantSplit/>
          <w:trHeight w:val="255"/>
        </w:trPr>
        <w:tc>
          <w:tcPr>
            <w:tcW w:w="4421" w:type="dxa"/>
            <w:noWrap/>
            <w:tcMar>
              <w:top w:w="17" w:type="dxa"/>
              <w:left w:w="17" w:type="dxa"/>
              <w:bottom w:w="0" w:type="dxa"/>
              <w:right w:w="17" w:type="dxa"/>
            </w:tcMar>
            <w:vAlign w:val="bottom"/>
          </w:tcPr>
          <w:p w14:paraId="511E0CEF" w14:textId="77777777" w:rsidR="00E47581" w:rsidRPr="00F96EE6" w:rsidRDefault="00E47581" w:rsidP="00E47581">
            <w:pPr>
              <w:rPr>
                <w:b/>
                <w:bCs/>
                <w:sz w:val="22"/>
                <w:szCs w:val="22"/>
              </w:rPr>
            </w:pPr>
          </w:p>
        </w:tc>
        <w:tc>
          <w:tcPr>
            <w:tcW w:w="1408" w:type="dxa"/>
            <w:noWrap/>
            <w:tcMar>
              <w:top w:w="17" w:type="dxa"/>
              <w:left w:w="17" w:type="dxa"/>
              <w:bottom w:w="0" w:type="dxa"/>
              <w:right w:w="17" w:type="dxa"/>
            </w:tcMar>
            <w:vAlign w:val="center"/>
          </w:tcPr>
          <w:p w14:paraId="08E3029F" w14:textId="77777777" w:rsidR="00E47581" w:rsidRPr="00F96EE6" w:rsidRDefault="00E47581" w:rsidP="00E47581">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07E8406B" w14:textId="77777777" w:rsidR="00E47581" w:rsidRPr="00F965E6" w:rsidRDefault="00E47581" w:rsidP="00E47581">
            <w:pPr>
              <w:ind w:right="57"/>
              <w:jc w:val="right"/>
              <w:rPr>
                <w:sz w:val="22"/>
                <w:szCs w:val="22"/>
              </w:rPr>
            </w:pPr>
          </w:p>
        </w:tc>
        <w:tc>
          <w:tcPr>
            <w:tcW w:w="429" w:type="dxa"/>
            <w:vAlign w:val="center"/>
          </w:tcPr>
          <w:p w14:paraId="73FBF440" w14:textId="77777777" w:rsidR="00E47581" w:rsidRPr="00F965E6" w:rsidRDefault="00E47581" w:rsidP="00E47581">
            <w:pPr>
              <w:ind w:right="57"/>
              <w:jc w:val="right"/>
              <w:rPr>
                <w:sz w:val="22"/>
                <w:szCs w:val="22"/>
              </w:rPr>
            </w:pPr>
          </w:p>
        </w:tc>
        <w:tc>
          <w:tcPr>
            <w:tcW w:w="1272" w:type="dxa"/>
            <w:tcBorders>
              <w:top w:val="single" w:sz="4" w:space="0" w:color="auto"/>
            </w:tcBorders>
            <w:vAlign w:val="center"/>
          </w:tcPr>
          <w:p w14:paraId="23D641F9" w14:textId="77777777" w:rsidR="00E47581" w:rsidRPr="00F965E6" w:rsidRDefault="00E47581" w:rsidP="00E47581">
            <w:pPr>
              <w:ind w:right="57"/>
              <w:jc w:val="right"/>
              <w:rPr>
                <w:sz w:val="22"/>
                <w:szCs w:val="22"/>
              </w:rPr>
            </w:pPr>
          </w:p>
        </w:tc>
      </w:tr>
      <w:tr w:rsidR="00E47581" w:rsidRPr="00F96EE6" w14:paraId="3A9ACD47" w14:textId="77777777" w:rsidTr="000857F7">
        <w:trPr>
          <w:cantSplit/>
          <w:trHeight w:val="255"/>
        </w:trPr>
        <w:tc>
          <w:tcPr>
            <w:tcW w:w="4421" w:type="dxa"/>
            <w:noWrap/>
            <w:tcMar>
              <w:top w:w="17" w:type="dxa"/>
              <w:left w:w="17" w:type="dxa"/>
              <w:bottom w:w="0" w:type="dxa"/>
              <w:right w:w="17" w:type="dxa"/>
            </w:tcMar>
            <w:vAlign w:val="bottom"/>
          </w:tcPr>
          <w:p w14:paraId="3C6D9B2E" w14:textId="77777777" w:rsidR="00E47581" w:rsidRPr="00F96EE6" w:rsidRDefault="00E47581" w:rsidP="00E47581">
            <w:pPr>
              <w:rPr>
                <w:b/>
                <w:bCs/>
                <w:sz w:val="22"/>
                <w:szCs w:val="22"/>
              </w:rPr>
            </w:pPr>
            <w:r w:rsidRPr="00F96EE6">
              <w:rPr>
                <w:b/>
                <w:bCs/>
                <w:sz w:val="22"/>
                <w:szCs w:val="22"/>
              </w:rPr>
              <w:t>Cash flow from investing activities</w:t>
            </w:r>
          </w:p>
        </w:tc>
        <w:tc>
          <w:tcPr>
            <w:tcW w:w="1408" w:type="dxa"/>
            <w:noWrap/>
            <w:tcMar>
              <w:top w:w="17" w:type="dxa"/>
              <w:left w:w="17" w:type="dxa"/>
              <w:bottom w:w="0" w:type="dxa"/>
              <w:right w:w="17" w:type="dxa"/>
            </w:tcMar>
            <w:vAlign w:val="center"/>
          </w:tcPr>
          <w:p w14:paraId="53E71A70" w14:textId="77777777" w:rsidR="00E47581" w:rsidRPr="00F96EE6" w:rsidRDefault="00E47581" w:rsidP="00E47581">
            <w:pPr>
              <w:jc w:val="center"/>
              <w:rPr>
                <w:sz w:val="22"/>
                <w:szCs w:val="22"/>
              </w:rPr>
            </w:pPr>
          </w:p>
        </w:tc>
        <w:tc>
          <w:tcPr>
            <w:tcW w:w="1418" w:type="dxa"/>
            <w:noWrap/>
            <w:tcMar>
              <w:top w:w="17" w:type="dxa"/>
              <w:left w:w="17" w:type="dxa"/>
              <w:bottom w:w="0" w:type="dxa"/>
              <w:right w:w="17" w:type="dxa"/>
            </w:tcMar>
            <w:vAlign w:val="center"/>
          </w:tcPr>
          <w:p w14:paraId="63EE15A6" w14:textId="77777777" w:rsidR="00E47581" w:rsidRPr="00F965E6" w:rsidRDefault="00E47581" w:rsidP="00E47581">
            <w:pPr>
              <w:ind w:right="57"/>
              <w:jc w:val="right"/>
              <w:rPr>
                <w:sz w:val="22"/>
                <w:szCs w:val="22"/>
              </w:rPr>
            </w:pPr>
          </w:p>
        </w:tc>
        <w:tc>
          <w:tcPr>
            <w:tcW w:w="429" w:type="dxa"/>
            <w:vAlign w:val="center"/>
          </w:tcPr>
          <w:p w14:paraId="3FC16EC6" w14:textId="77777777" w:rsidR="00E47581" w:rsidRPr="00F965E6" w:rsidRDefault="00E47581" w:rsidP="00E47581">
            <w:pPr>
              <w:ind w:right="57"/>
              <w:jc w:val="right"/>
              <w:rPr>
                <w:sz w:val="22"/>
                <w:szCs w:val="22"/>
              </w:rPr>
            </w:pPr>
          </w:p>
        </w:tc>
        <w:tc>
          <w:tcPr>
            <w:tcW w:w="1272" w:type="dxa"/>
            <w:vAlign w:val="center"/>
          </w:tcPr>
          <w:p w14:paraId="7AC38A3A" w14:textId="77777777" w:rsidR="00E47581" w:rsidRPr="00F965E6" w:rsidRDefault="00E47581" w:rsidP="00E47581">
            <w:pPr>
              <w:ind w:right="57"/>
              <w:jc w:val="right"/>
              <w:rPr>
                <w:sz w:val="22"/>
                <w:szCs w:val="22"/>
              </w:rPr>
            </w:pPr>
          </w:p>
        </w:tc>
      </w:tr>
      <w:tr w:rsidR="00E47581" w:rsidRPr="00F96EE6" w14:paraId="0DE2C0A2" w14:textId="77777777" w:rsidTr="000857F7">
        <w:trPr>
          <w:cantSplit/>
          <w:trHeight w:val="255"/>
        </w:trPr>
        <w:tc>
          <w:tcPr>
            <w:tcW w:w="4421" w:type="dxa"/>
            <w:noWrap/>
            <w:tcMar>
              <w:top w:w="17" w:type="dxa"/>
              <w:left w:w="17" w:type="dxa"/>
              <w:bottom w:w="0" w:type="dxa"/>
              <w:right w:w="17" w:type="dxa"/>
            </w:tcMar>
            <w:vAlign w:val="bottom"/>
          </w:tcPr>
          <w:p w14:paraId="5FC20085" w14:textId="77777777" w:rsidR="00E47581" w:rsidRPr="00F96EE6" w:rsidRDefault="00E47581" w:rsidP="00E47581">
            <w:pPr>
              <w:rPr>
                <w:bCs/>
                <w:sz w:val="22"/>
                <w:szCs w:val="22"/>
              </w:rPr>
            </w:pPr>
            <w:r w:rsidRPr="00F96EE6">
              <w:rPr>
                <w:bCs/>
                <w:sz w:val="22"/>
                <w:szCs w:val="22"/>
              </w:rPr>
              <w:t>Improvement of properties</w:t>
            </w:r>
          </w:p>
        </w:tc>
        <w:tc>
          <w:tcPr>
            <w:tcW w:w="1408" w:type="dxa"/>
            <w:noWrap/>
            <w:tcMar>
              <w:top w:w="17" w:type="dxa"/>
              <w:left w:w="17" w:type="dxa"/>
              <w:bottom w:w="0" w:type="dxa"/>
              <w:right w:w="17" w:type="dxa"/>
            </w:tcMar>
            <w:vAlign w:val="center"/>
          </w:tcPr>
          <w:p w14:paraId="309AE574" w14:textId="42E60446" w:rsidR="00E47581" w:rsidRPr="00F96EE6" w:rsidRDefault="00E47581" w:rsidP="00E47581">
            <w:pPr>
              <w:jc w:val="center"/>
              <w:rPr>
                <w:sz w:val="22"/>
                <w:szCs w:val="22"/>
              </w:rPr>
            </w:pPr>
            <w:r>
              <w:rPr>
                <w:sz w:val="22"/>
                <w:szCs w:val="22"/>
              </w:rPr>
              <w:t>14</w:t>
            </w:r>
          </w:p>
        </w:tc>
        <w:tc>
          <w:tcPr>
            <w:tcW w:w="1418" w:type="dxa"/>
            <w:noWrap/>
            <w:tcMar>
              <w:top w:w="17" w:type="dxa"/>
              <w:left w:w="17" w:type="dxa"/>
              <w:bottom w:w="0" w:type="dxa"/>
              <w:right w:w="17" w:type="dxa"/>
            </w:tcMar>
            <w:vAlign w:val="center"/>
          </w:tcPr>
          <w:p w14:paraId="416165A3" w14:textId="41545284" w:rsidR="00E47581" w:rsidRPr="00F965E6" w:rsidRDefault="002318EB" w:rsidP="00E47581">
            <w:pPr>
              <w:ind w:right="57"/>
              <w:jc w:val="right"/>
              <w:rPr>
                <w:sz w:val="22"/>
                <w:szCs w:val="22"/>
              </w:rPr>
            </w:pPr>
            <w:r>
              <w:rPr>
                <w:sz w:val="22"/>
                <w:szCs w:val="22"/>
              </w:rPr>
              <w:t>(17,207)</w:t>
            </w:r>
          </w:p>
        </w:tc>
        <w:tc>
          <w:tcPr>
            <w:tcW w:w="429" w:type="dxa"/>
            <w:vAlign w:val="center"/>
          </w:tcPr>
          <w:p w14:paraId="5084F787" w14:textId="77777777" w:rsidR="00E47581" w:rsidRPr="00F965E6" w:rsidRDefault="00E47581" w:rsidP="00E47581">
            <w:pPr>
              <w:ind w:right="57"/>
              <w:jc w:val="right"/>
              <w:rPr>
                <w:sz w:val="22"/>
                <w:szCs w:val="22"/>
              </w:rPr>
            </w:pPr>
          </w:p>
        </w:tc>
        <w:tc>
          <w:tcPr>
            <w:tcW w:w="1272" w:type="dxa"/>
            <w:vAlign w:val="center"/>
          </w:tcPr>
          <w:p w14:paraId="1818E3AA" w14:textId="57842B59" w:rsidR="00E47581" w:rsidRPr="00F965E6" w:rsidRDefault="00E47581" w:rsidP="00E47581">
            <w:pPr>
              <w:ind w:right="57"/>
              <w:jc w:val="right"/>
              <w:rPr>
                <w:sz w:val="22"/>
                <w:szCs w:val="22"/>
              </w:rPr>
            </w:pPr>
            <w:r>
              <w:rPr>
                <w:sz w:val="22"/>
                <w:szCs w:val="22"/>
              </w:rPr>
              <w:t>(19,202)</w:t>
            </w:r>
          </w:p>
        </w:tc>
      </w:tr>
      <w:tr w:rsidR="00E47581" w:rsidRPr="00E803CA" w14:paraId="074A4CA6" w14:textId="77777777" w:rsidTr="000857F7">
        <w:trPr>
          <w:cantSplit/>
          <w:trHeight w:val="255"/>
        </w:trPr>
        <w:tc>
          <w:tcPr>
            <w:tcW w:w="4421" w:type="dxa"/>
            <w:noWrap/>
            <w:tcMar>
              <w:top w:w="17" w:type="dxa"/>
              <w:left w:w="17" w:type="dxa"/>
              <w:bottom w:w="0" w:type="dxa"/>
              <w:right w:w="17" w:type="dxa"/>
            </w:tcMar>
            <w:vAlign w:val="bottom"/>
          </w:tcPr>
          <w:p w14:paraId="4F04D274" w14:textId="77777777" w:rsidR="00E47581" w:rsidRPr="00E803CA" w:rsidRDefault="00E47581" w:rsidP="00E47581">
            <w:pPr>
              <w:rPr>
                <w:bCs/>
                <w:sz w:val="22"/>
                <w:szCs w:val="22"/>
              </w:rPr>
            </w:pPr>
            <w:r w:rsidRPr="00E803CA">
              <w:rPr>
                <w:bCs/>
                <w:sz w:val="22"/>
                <w:szCs w:val="22"/>
              </w:rPr>
              <w:t>Construction of new properties</w:t>
            </w:r>
          </w:p>
        </w:tc>
        <w:tc>
          <w:tcPr>
            <w:tcW w:w="1408" w:type="dxa"/>
            <w:noWrap/>
            <w:tcMar>
              <w:top w:w="17" w:type="dxa"/>
              <w:left w:w="17" w:type="dxa"/>
              <w:bottom w:w="0" w:type="dxa"/>
              <w:right w:w="17" w:type="dxa"/>
            </w:tcMar>
            <w:vAlign w:val="center"/>
          </w:tcPr>
          <w:p w14:paraId="070A908C" w14:textId="6C9DDA67" w:rsidR="00E47581" w:rsidRPr="00E803CA" w:rsidRDefault="00E47581" w:rsidP="00BC3136">
            <w:pPr>
              <w:rPr>
                <w:sz w:val="22"/>
                <w:szCs w:val="22"/>
              </w:rPr>
            </w:pPr>
          </w:p>
        </w:tc>
        <w:tc>
          <w:tcPr>
            <w:tcW w:w="1418" w:type="dxa"/>
            <w:noWrap/>
            <w:tcMar>
              <w:top w:w="17" w:type="dxa"/>
              <w:left w:w="17" w:type="dxa"/>
              <w:bottom w:w="0" w:type="dxa"/>
              <w:right w:w="17" w:type="dxa"/>
            </w:tcMar>
            <w:vAlign w:val="center"/>
          </w:tcPr>
          <w:p w14:paraId="3B580D9F" w14:textId="5EB56736" w:rsidR="00E47581" w:rsidRPr="00E803CA" w:rsidRDefault="00DA09B8" w:rsidP="00E47581">
            <w:pPr>
              <w:ind w:right="57"/>
              <w:jc w:val="right"/>
              <w:rPr>
                <w:sz w:val="22"/>
                <w:szCs w:val="22"/>
              </w:rPr>
            </w:pPr>
            <w:r>
              <w:rPr>
                <w:sz w:val="22"/>
                <w:szCs w:val="22"/>
              </w:rPr>
              <w:t>(24,29</w:t>
            </w:r>
            <w:r w:rsidR="004C0188">
              <w:rPr>
                <w:sz w:val="22"/>
                <w:szCs w:val="22"/>
              </w:rPr>
              <w:t>6</w:t>
            </w:r>
            <w:r>
              <w:rPr>
                <w:sz w:val="22"/>
                <w:szCs w:val="22"/>
              </w:rPr>
              <w:t>)</w:t>
            </w:r>
          </w:p>
        </w:tc>
        <w:tc>
          <w:tcPr>
            <w:tcW w:w="429" w:type="dxa"/>
            <w:vAlign w:val="center"/>
          </w:tcPr>
          <w:p w14:paraId="3C0F6088" w14:textId="77777777" w:rsidR="00E47581" w:rsidRPr="00E803CA" w:rsidRDefault="00E47581" w:rsidP="00E47581">
            <w:pPr>
              <w:ind w:right="57"/>
              <w:jc w:val="right"/>
              <w:rPr>
                <w:sz w:val="22"/>
                <w:szCs w:val="22"/>
              </w:rPr>
            </w:pPr>
          </w:p>
        </w:tc>
        <w:tc>
          <w:tcPr>
            <w:tcW w:w="1272" w:type="dxa"/>
            <w:vAlign w:val="center"/>
          </w:tcPr>
          <w:p w14:paraId="34F71E18" w14:textId="39C2340C" w:rsidR="00E47581" w:rsidRPr="00E803CA" w:rsidRDefault="00E47581" w:rsidP="00E47581">
            <w:pPr>
              <w:ind w:right="57"/>
              <w:jc w:val="right"/>
              <w:rPr>
                <w:sz w:val="22"/>
                <w:szCs w:val="22"/>
              </w:rPr>
            </w:pPr>
            <w:r w:rsidRPr="00E803CA">
              <w:rPr>
                <w:sz w:val="22"/>
                <w:szCs w:val="22"/>
              </w:rPr>
              <w:t>(12,202)</w:t>
            </w:r>
          </w:p>
        </w:tc>
      </w:tr>
      <w:tr w:rsidR="00E47581" w:rsidRPr="00E803CA" w14:paraId="4E7185A7" w14:textId="77777777" w:rsidTr="000857F7">
        <w:trPr>
          <w:cantSplit/>
          <w:trHeight w:val="255"/>
        </w:trPr>
        <w:tc>
          <w:tcPr>
            <w:tcW w:w="4421" w:type="dxa"/>
            <w:noWrap/>
            <w:tcMar>
              <w:top w:w="17" w:type="dxa"/>
              <w:left w:w="17" w:type="dxa"/>
              <w:bottom w:w="0" w:type="dxa"/>
              <w:right w:w="17" w:type="dxa"/>
            </w:tcMar>
            <w:vAlign w:val="bottom"/>
          </w:tcPr>
          <w:p w14:paraId="486B2C2F" w14:textId="77777777" w:rsidR="00E47581" w:rsidRPr="00E803CA" w:rsidRDefault="00E47581" w:rsidP="00E47581">
            <w:pPr>
              <w:rPr>
                <w:bCs/>
                <w:sz w:val="22"/>
                <w:szCs w:val="22"/>
              </w:rPr>
            </w:pPr>
            <w:r w:rsidRPr="00E803CA">
              <w:rPr>
                <w:bCs/>
                <w:sz w:val="22"/>
                <w:szCs w:val="22"/>
              </w:rPr>
              <w:t>Investment properties additions</w:t>
            </w:r>
          </w:p>
        </w:tc>
        <w:tc>
          <w:tcPr>
            <w:tcW w:w="1408" w:type="dxa"/>
            <w:noWrap/>
            <w:tcMar>
              <w:top w:w="17" w:type="dxa"/>
              <w:left w:w="17" w:type="dxa"/>
              <w:bottom w:w="0" w:type="dxa"/>
              <w:right w:w="17" w:type="dxa"/>
            </w:tcMar>
            <w:vAlign w:val="center"/>
          </w:tcPr>
          <w:p w14:paraId="528AE389" w14:textId="2C862D54" w:rsidR="00E47581" w:rsidRPr="00E803CA" w:rsidRDefault="00BE14B5" w:rsidP="00E47581">
            <w:pPr>
              <w:jc w:val="center"/>
              <w:rPr>
                <w:sz w:val="22"/>
                <w:szCs w:val="22"/>
              </w:rPr>
            </w:pPr>
            <w:r>
              <w:rPr>
                <w:sz w:val="22"/>
                <w:szCs w:val="22"/>
              </w:rPr>
              <w:t>16</w:t>
            </w:r>
          </w:p>
        </w:tc>
        <w:tc>
          <w:tcPr>
            <w:tcW w:w="1418" w:type="dxa"/>
            <w:noWrap/>
            <w:tcMar>
              <w:top w:w="17" w:type="dxa"/>
              <w:left w:w="17" w:type="dxa"/>
              <w:bottom w:w="0" w:type="dxa"/>
              <w:right w:w="17" w:type="dxa"/>
            </w:tcMar>
            <w:vAlign w:val="center"/>
          </w:tcPr>
          <w:p w14:paraId="3547DE27" w14:textId="74FF336E" w:rsidR="00E47581" w:rsidRPr="00E803CA" w:rsidRDefault="002553F0" w:rsidP="00E47581">
            <w:pPr>
              <w:ind w:right="57"/>
              <w:jc w:val="right"/>
              <w:rPr>
                <w:sz w:val="22"/>
                <w:szCs w:val="22"/>
              </w:rPr>
            </w:pPr>
            <w:r>
              <w:rPr>
                <w:sz w:val="22"/>
                <w:szCs w:val="22"/>
              </w:rPr>
              <w:t>(28)</w:t>
            </w:r>
          </w:p>
        </w:tc>
        <w:tc>
          <w:tcPr>
            <w:tcW w:w="429" w:type="dxa"/>
            <w:vAlign w:val="center"/>
          </w:tcPr>
          <w:p w14:paraId="212260C7" w14:textId="77777777" w:rsidR="00E47581" w:rsidRPr="00E803CA" w:rsidRDefault="00E47581" w:rsidP="00E47581">
            <w:pPr>
              <w:ind w:right="57"/>
              <w:jc w:val="right"/>
              <w:rPr>
                <w:sz w:val="22"/>
                <w:szCs w:val="22"/>
              </w:rPr>
            </w:pPr>
          </w:p>
        </w:tc>
        <w:tc>
          <w:tcPr>
            <w:tcW w:w="1272" w:type="dxa"/>
            <w:vAlign w:val="center"/>
          </w:tcPr>
          <w:p w14:paraId="3EE76745" w14:textId="23650721" w:rsidR="00E47581" w:rsidRPr="00E803CA" w:rsidRDefault="00E47581" w:rsidP="00E47581">
            <w:pPr>
              <w:ind w:right="57"/>
              <w:jc w:val="right"/>
              <w:rPr>
                <w:sz w:val="22"/>
                <w:szCs w:val="22"/>
              </w:rPr>
            </w:pPr>
            <w:r w:rsidRPr="00E803CA">
              <w:rPr>
                <w:sz w:val="22"/>
                <w:szCs w:val="22"/>
              </w:rPr>
              <w:t>(9)</w:t>
            </w:r>
          </w:p>
        </w:tc>
      </w:tr>
      <w:tr w:rsidR="00E47581" w:rsidRPr="00E803CA" w14:paraId="380CD407" w14:textId="77777777" w:rsidTr="000857F7">
        <w:trPr>
          <w:cantSplit/>
          <w:trHeight w:val="255"/>
        </w:trPr>
        <w:tc>
          <w:tcPr>
            <w:tcW w:w="4421" w:type="dxa"/>
            <w:noWrap/>
            <w:tcMar>
              <w:top w:w="17" w:type="dxa"/>
              <w:left w:w="17" w:type="dxa"/>
              <w:bottom w:w="0" w:type="dxa"/>
              <w:right w:w="17" w:type="dxa"/>
            </w:tcMar>
            <w:vAlign w:val="bottom"/>
          </w:tcPr>
          <w:p w14:paraId="74212B5C" w14:textId="77777777" w:rsidR="00E47581" w:rsidRPr="00E803CA" w:rsidRDefault="00E47581" w:rsidP="00E47581">
            <w:pPr>
              <w:rPr>
                <w:bCs/>
                <w:sz w:val="22"/>
                <w:szCs w:val="22"/>
              </w:rPr>
            </w:pPr>
            <w:r w:rsidRPr="00E803CA">
              <w:rPr>
                <w:bCs/>
                <w:sz w:val="22"/>
                <w:szCs w:val="22"/>
              </w:rPr>
              <w:t>Purchase of other fixed assets</w:t>
            </w:r>
          </w:p>
        </w:tc>
        <w:tc>
          <w:tcPr>
            <w:tcW w:w="1408" w:type="dxa"/>
            <w:noWrap/>
            <w:tcMar>
              <w:top w:w="17" w:type="dxa"/>
              <w:left w:w="17" w:type="dxa"/>
              <w:bottom w:w="0" w:type="dxa"/>
              <w:right w:w="17" w:type="dxa"/>
            </w:tcMar>
            <w:vAlign w:val="center"/>
          </w:tcPr>
          <w:p w14:paraId="37896481" w14:textId="6952CC80" w:rsidR="00E47581" w:rsidRPr="00E803CA" w:rsidRDefault="00E47581" w:rsidP="00E47581">
            <w:pPr>
              <w:jc w:val="center"/>
              <w:rPr>
                <w:sz w:val="22"/>
                <w:szCs w:val="22"/>
              </w:rPr>
            </w:pPr>
            <w:r w:rsidRPr="00E803CA">
              <w:rPr>
                <w:sz w:val="22"/>
                <w:szCs w:val="22"/>
              </w:rPr>
              <w:t>15</w:t>
            </w:r>
          </w:p>
        </w:tc>
        <w:tc>
          <w:tcPr>
            <w:tcW w:w="1418" w:type="dxa"/>
            <w:noWrap/>
            <w:tcMar>
              <w:top w:w="17" w:type="dxa"/>
              <w:left w:w="17" w:type="dxa"/>
              <w:bottom w:w="0" w:type="dxa"/>
              <w:right w:w="17" w:type="dxa"/>
            </w:tcMar>
            <w:vAlign w:val="center"/>
          </w:tcPr>
          <w:p w14:paraId="2CE17AE9" w14:textId="56BA1F0D" w:rsidR="00E47581" w:rsidRPr="00E803CA" w:rsidRDefault="00DA09B8" w:rsidP="00E47581">
            <w:pPr>
              <w:ind w:right="57"/>
              <w:jc w:val="right"/>
              <w:rPr>
                <w:sz w:val="22"/>
                <w:szCs w:val="22"/>
              </w:rPr>
            </w:pPr>
            <w:r>
              <w:rPr>
                <w:sz w:val="22"/>
                <w:szCs w:val="22"/>
              </w:rPr>
              <w:t>(7</w:t>
            </w:r>
            <w:r w:rsidR="001F039C">
              <w:rPr>
                <w:sz w:val="22"/>
                <w:szCs w:val="22"/>
              </w:rPr>
              <w:t>49</w:t>
            </w:r>
            <w:r>
              <w:rPr>
                <w:sz w:val="22"/>
                <w:szCs w:val="22"/>
              </w:rPr>
              <w:t>)</w:t>
            </w:r>
          </w:p>
        </w:tc>
        <w:tc>
          <w:tcPr>
            <w:tcW w:w="429" w:type="dxa"/>
            <w:vAlign w:val="center"/>
          </w:tcPr>
          <w:p w14:paraId="61351283" w14:textId="77777777" w:rsidR="00E47581" w:rsidRPr="00E803CA" w:rsidRDefault="00E47581" w:rsidP="00E47581">
            <w:pPr>
              <w:ind w:right="57"/>
              <w:jc w:val="right"/>
              <w:rPr>
                <w:sz w:val="22"/>
                <w:szCs w:val="22"/>
              </w:rPr>
            </w:pPr>
          </w:p>
        </w:tc>
        <w:tc>
          <w:tcPr>
            <w:tcW w:w="1272" w:type="dxa"/>
            <w:vAlign w:val="center"/>
          </w:tcPr>
          <w:p w14:paraId="4C140B93" w14:textId="2D29215D" w:rsidR="00E47581" w:rsidRPr="00E803CA" w:rsidRDefault="00E47581" w:rsidP="00E47581">
            <w:pPr>
              <w:ind w:right="57"/>
              <w:jc w:val="right"/>
              <w:rPr>
                <w:sz w:val="22"/>
                <w:szCs w:val="22"/>
              </w:rPr>
            </w:pPr>
            <w:r w:rsidRPr="00E803CA">
              <w:rPr>
                <w:sz w:val="22"/>
                <w:szCs w:val="22"/>
              </w:rPr>
              <w:t>(816)</w:t>
            </w:r>
          </w:p>
        </w:tc>
      </w:tr>
      <w:tr w:rsidR="00E47581" w:rsidRPr="00E803CA" w14:paraId="2546F520" w14:textId="77777777" w:rsidTr="00DA09B8">
        <w:trPr>
          <w:cantSplit/>
          <w:trHeight w:val="255"/>
        </w:trPr>
        <w:tc>
          <w:tcPr>
            <w:tcW w:w="4421" w:type="dxa"/>
            <w:noWrap/>
            <w:tcMar>
              <w:top w:w="17" w:type="dxa"/>
              <w:left w:w="17" w:type="dxa"/>
              <w:bottom w:w="0" w:type="dxa"/>
              <w:right w:w="17" w:type="dxa"/>
            </w:tcMar>
            <w:vAlign w:val="bottom"/>
          </w:tcPr>
          <w:p w14:paraId="5F2EF146" w14:textId="77777777" w:rsidR="00E47581" w:rsidRPr="00E803CA" w:rsidRDefault="00E47581" w:rsidP="00E47581">
            <w:pPr>
              <w:rPr>
                <w:bCs/>
                <w:sz w:val="22"/>
                <w:szCs w:val="22"/>
              </w:rPr>
            </w:pPr>
            <w:r w:rsidRPr="00E803CA">
              <w:rPr>
                <w:bCs/>
                <w:sz w:val="22"/>
                <w:szCs w:val="22"/>
              </w:rPr>
              <w:t>Grants received</w:t>
            </w:r>
          </w:p>
        </w:tc>
        <w:tc>
          <w:tcPr>
            <w:tcW w:w="1408" w:type="dxa"/>
            <w:noWrap/>
            <w:tcMar>
              <w:top w:w="17" w:type="dxa"/>
              <w:left w:w="17" w:type="dxa"/>
              <w:bottom w:w="0" w:type="dxa"/>
              <w:right w:w="17" w:type="dxa"/>
            </w:tcMar>
            <w:vAlign w:val="center"/>
          </w:tcPr>
          <w:p w14:paraId="26EAF761" w14:textId="1B9E1DC9" w:rsidR="00E47581" w:rsidRPr="00E803CA" w:rsidRDefault="00907295" w:rsidP="00E47581">
            <w:pPr>
              <w:jc w:val="center"/>
              <w:rPr>
                <w:sz w:val="22"/>
                <w:szCs w:val="22"/>
              </w:rPr>
            </w:pPr>
            <w:r>
              <w:rPr>
                <w:sz w:val="22"/>
                <w:szCs w:val="22"/>
              </w:rPr>
              <w:t>20</w:t>
            </w:r>
          </w:p>
        </w:tc>
        <w:tc>
          <w:tcPr>
            <w:tcW w:w="1418" w:type="dxa"/>
            <w:noWrap/>
            <w:tcMar>
              <w:top w:w="17" w:type="dxa"/>
              <w:left w:w="17" w:type="dxa"/>
              <w:bottom w:w="0" w:type="dxa"/>
              <w:right w:w="17" w:type="dxa"/>
            </w:tcMar>
            <w:vAlign w:val="center"/>
          </w:tcPr>
          <w:p w14:paraId="1F20FBC3" w14:textId="6F4AD990" w:rsidR="00E47581" w:rsidRPr="00E803CA" w:rsidRDefault="00DA09B8" w:rsidP="00E47581">
            <w:pPr>
              <w:ind w:right="57"/>
              <w:jc w:val="right"/>
              <w:rPr>
                <w:sz w:val="22"/>
                <w:szCs w:val="22"/>
              </w:rPr>
            </w:pPr>
            <w:r>
              <w:rPr>
                <w:sz w:val="22"/>
                <w:szCs w:val="22"/>
              </w:rPr>
              <w:t>12,776</w:t>
            </w:r>
          </w:p>
        </w:tc>
        <w:tc>
          <w:tcPr>
            <w:tcW w:w="429" w:type="dxa"/>
            <w:vAlign w:val="center"/>
          </w:tcPr>
          <w:p w14:paraId="4F67322B" w14:textId="77777777" w:rsidR="00E47581" w:rsidRPr="00E803CA" w:rsidRDefault="00E47581" w:rsidP="00E47581">
            <w:pPr>
              <w:ind w:right="57"/>
              <w:jc w:val="right"/>
              <w:rPr>
                <w:sz w:val="22"/>
                <w:szCs w:val="22"/>
              </w:rPr>
            </w:pPr>
          </w:p>
        </w:tc>
        <w:tc>
          <w:tcPr>
            <w:tcW w:w="1272" w:type="dxa"/>
            <w:vAlign w:val="center"/>
          </w:tcPr>
          <w:p w14:paraId="44FC7CA7" w14:textId="5C94D9DE" w:rsidR="00E47581" w:rsidRPr="00E803CA" w:rsidRDefault="00E47581" w:rsidP="00E47581">
            <w:pPr>
              <w:ind w:right="57"/>
              <w:jc w:val="right"/>
              <w:rPr>
                <w:sz w:val="22"/>
                <w:szCs w:val="22"/>
              </w:rPr>
            </w:pPr>
            <w:r w:rsidRPr="00E803CA">
              <w:rPr>
                <w:sz w:val="22"/>
                <w:szCs w:val="22"/>
              </w:rPr>
              <w:t>7,575</w:t>
            </w:r>
          </w:p>
        </w:tc>
      </w:tr>
      <w:tr w:rsidR="00E47581" w:rsidRPr="00E803CA" w14:paraId="200F5C78" w14:textId="77777777" w:rsidTr="00DA09B8">
        <w:trPr>
          <w:cantSplit/>
          <w:trHeight w:val="255"/>
        </w:trPr>
        <w:tc>
          <w:tcPr>
            <w:tcW w:w="4421" w:type="dxa"/>
            <w:noWrap/>
            <w:tcMar>
              <w:top w:w="17" w:type="dxa"/>
              <w:left w:w="17" w:type="dxa"/>
              <w:bottom w:w="0" w:type="dxa"/>
              <w:right w:w="17" w:type="dxa"/>
            </w:tcMar>
            <w:vAlign w:val="bottom"/>
          </w:tcPr>
          <w:p w14:paraId="2E369A07" w14:textId="77777777" w:rsidR="00E47581" w:rsidRPr="00E803CA" w:rsidRDefault="00E47581" w:rsidP="00E47581">
            <w:pPr>
              <w:rPr>
                <w:bCs/>
                <w:sz w:val="22"/>
                <w:szCs w:val="22"/>
              </w:rPr>
            </w:pPr>
            <w:r w:rsidRPr="00E803CA">
              <w:rPr>
                <w:bCs/>
                <w:sz w:val="22"/>
                <w:szCs w:val="22"/>
              </w:rPr>
              <w:t>Finance income</w:t>
            </w:r>
          </w:p>
        </w:tc>
        <w:tc>
          <w:tcPr>
            <w:tcW w:w="1408" w:type="dxa"/>
            <w:noWrap/>
            <w:tcMar>
              <w:top w:w="17" w:type="dxa"/>
              <w:left w:w="17" w:type="dxa"/>
              <w:bottom w:w="0" w:type="dxa"/>
              <w:right w:w="17" w:type="dxa"/>
            </w:tcMar>
            <w:vAlign w:val="center"/>
          </w:tcPr>
          <w:p w14:paraId="7FBFCA5E" w14:textId="62C104CC" w:rsidR="00E47581" w:rsidRPr="00E803CA" w:rsidRDefault="00907295" w:rsidP="00E47581">
            <w:pPr>
              <w:jc w:val="center"/>
              <w:rPr>
                <w:sz w:val="22"/>
                <w:szCs w:val="22"/>
              </w:rPr>
            </w:pPr>
            <w:r>
              <w:rPr>
                <w:sz w:val="22"/>
                <w:szCs w:val="22"/>
              </w:rPr>
              <w:t>10</w:t>
            </w:r>
          </w:p>
        </w:tc>
        <w:tc>
          <w:tcPr>
            <w:tcW w:w="1418" w:type="dxa"/>
            <w:noWrap/>
            <w:tcMar>
              <w:top w:w="17" w:type="dxa"/>
              <w:left w:w="17" w:type="dxa"/>
              <w:bottom w:w="0" w:type="dxa"/>
              <w:right w:w="17" w:type="dxa"/>
            </w:tcMar>
            <w:vAlign w:val="center"/>
          </w:tcPr>
          <w:p w14:paraId="7BC37174" w14:textId="312675F8" w:rsidR="00E47581" w:rsidRPr="00E803CA" w:rsidRDefault="00DA09B8" w:rsidP="00E47581">
            <w:pPr>
              <w:ind w:right="57"/>
              <w:jc w:val="right"/>
              <w:rPr>
                <w:sz w:val="22"/>
                <w:szCs w:val="22"/>
              </w:rPr>
            </w:pPr>
            <w:r>
              <w:rPr>
                <w:sz w:val="22"/>
                <w:szCs w:val="22"/>
              </w:rPr>
              <w:t>188</w:t>
            </w:r>
          </w:p>
        </w:tc>
        <w:tc>
          <w:tcPr>
            <w:tcW w:w="429" w:type="dxa"/>
            <w:vAlign w:val="center"/>
          </w:tcPr>
          <w:p w14:paraId="13E47258" w14:textId="77777777" w:rsidR="00E47581" w:rsidRPr="00E803CA" w:rsidRDefault="00E47581" w:rsidP="00E47581">
            <w:pPr>
              <w:ind w:right="57"/>
              <w:jc w:val="right"/>
              <w:rPr>
                <w:sz w:val="22"/>
                <w:szCs w:val="22"/>
              </w:rPr>
            </w:pPr>
          </w:p>
        </w:tc>
        <w:tc>
          <w:tcPr>
            <w:tcW w:w="1272" w:type="dxa"/>
            <w:vAlign w:val="center"/>
          </w:tcPr>
          <w:p w14:paraId="3E034F8B" w14:textId="53056A70" w:rsidR="00E47581" w:rsidRPr="00E803CA" w:rsidRDefault="00E47581" w:rsidP="00E47581">
            <w:pPr>
              <w:ind w:right="57"/>
              <w:jc w:val="right"/>
              <w:rPr>
                <w:sz w:val="22"/>
                <w:szCs w:val="22"/>
              </w:rPr>
            </w:pPr>
            <w:r w:rsidRPr="00E803CA">
              <w:rPr>
                <w:sz w:val="22"/>
                <w:szCs w:val="22"/>
              </w:rPr>
              <w:t>22</w:t>
            </w:r>
          </w:p>
        </w:tc>
      </w:tr>
      <w:tr w:rsidR="00DA09B8" w:rsidRPr="00E803CA" w14:paraId="4A7BA4E0" w14:textId="77777777" w:rsidTr="00DA09B8">
        <w:trPr>
          <w:cantSplit/>
          <w:trHeight w:val="255"/>
        </w:trPr>
        <w:tc>
          <w:tcPr>
            <w:tcW w:w="4421" w:type="dxa"/>
            <w:noWrap/>
            <w:tcMar>
              <w:top w:w="17" w:type="dxa"/>
              <w:left w:w="17" w:type="dxa"/>
              <w:bottom w:w="0" w:type="dxa"/>
              <w:right w:w="17" w:type="dxa"/>
            </w:tcMar>
            <w:vAlign w:val="bottom"/>
          </w:tcPr>
          <w:p w14:paraId="144DC49E" w14:textId="2192E5E0" w:rsidR="00DA09B8" w:rsidRPr="00E803CA" w:rsidRDefault="00DA09B8" w:rsidP="00E47581">
            <w:pPr>
              <w:rPr>
                <w:bCs/>
                <w:sz w:val="22"/>
                <w:szCs w:val="22"/>
              </w:rPr>
            </w:pPr>
            <w:r>
              <w:rPr>
                <w:bCs/>
                <w:sz w:val="22"/>
                <w:szCs w:val="22"/>
              </w:rPr>
              <w:t>Proceeds from sale of fixed assets</w:t>
            </w:r>
          </w:p>
        </w:tc>
        <w:tc>
          <w:tcPr>
            <w:tcW w:w="1408" w:type="dxa"/>
            <w:noWrap/>
            <w:tcMar>
              <w:top w:w="17" w:type="dxa"/>
              <w:left w:w="17" w:type="dxa"/>
              <w:bottom w:w="0" w:type="dxa"/>
              <w:right w:w="17" w:type="dxa"/>
            </w:tcMar>
            <w:vAlign w:val="center"/>
          </w:tcPr>
          <w:p w14:paraId="067C928E" w14:textId="21E1F934" w:rsidR="00DA09B8" w:rsidRPr="00E803CA" w:rsidRDefault="00907295" w:rsidP="00E47581">
            <w:pPr>
              <w:jc w:val="center"/>
              <w:rPr>
                <w:sz w:val="22"/>
                <w:szCs w:val="22"/>
              </w:rPr>
            </w:pPr>
            <w:r>
              <w:rPr>
                <w:sz w:val="22"/>
                <w:szCs w:val="22"/>
              </w:rPr>
              <w:t>9</w:t>
            </w:r>
          </w:p>
        </w:tc>
        <w:tc>
          <w:tcPr>
            <w:tcW w:w="1418" w:type="dxa"/>
            <w:tcBorders>
              <w:bottom w:val="single" w:sz="4" w:space="0" w:color="auto"/>
            </w:tcBorders>
            <w:noWrap/>
            <w:tcMar>
              <w:top w:w="17" w:type="dxa"/>
              <w:left w:w="17" w:type="dxa"/>
              <w:bottom w:w="0" w:type="dxa"/>
              <w:right w:w="17" w:type="dxa"/>
            </w:tcMar>
            <w:vAlign w:val="center"/>
          </w:tcPr>
          <w:p w14:paraId="740F0B0E" w14:textId="50024689" w:rsidR="00DA09B8" w:rsidRDefault="00DA09B8" w:rsidP="00E47581">
            <w:pPr>
              <w:ind w:right="57"/>
              <w:jc w:val="right"/>
              <w:rPr>
                <w:sz w:val="22"/>
                <w:szCs w:val="22"/>
              </w:rPr>
            </w:pPr>
            <w:r>
              <w:rPr>
                <w:sz w:val="22"/>
                <w:szCs w:val="22"/>
              </w:rPr>
              <w:t>630</w:t>
            </w:r>
          </w:p>
        </w:tc>
        <w:tc>
          <w:tcPr>
            <w:tcW w:w="429" w:type="dxa"/>
            <w:vAlign w:val="center"/>
          </w:tcPr>
          <w:p w14:paraId="0027FE24" w14:textId="77777777" w:rsidR="00DA09B8" w:rsidRPr="00E803CA" w:rsidRDefault="00DA09B8" w:rsidP="00E47581">
            <w:pPr>
              <w:ind w:right="57"/>
              <w:jc w:val="right"/>
              <w:rPr>
                <w:sz w:val="22"/>
                <w:szCs w:val="22"/>
              </w:rPr>
            </w:pPr>
          </w:p>
        </w:tc>
        <w:tc>
          <w:tcPr>
            <w:tcW w:w="1272" w:type="dxa"/>
            <w:tcBorders>
              <w:bottom w:val="single" w:sz="4" w:space="0" w:color="auto"/>
            </w:tcBorders>
            <w:vAlign w:val="center"/>
          </w:tcPr>
          <w:p w14:paraId="194D6DD8" w14:textId="0258D096" w:rsidR="00DA09B8" w:rsidRPr="00E803CA" w:rsidRDefault="00DA09B8" w:rsidP="00E47581">
            <w:pPr>
              <w:ind w:right="57"/>
              <w:jc w:val="right"/>
              <w:rPr>
                <w:sz w:val="22"/>
                <w:szCs w:val="22"/>
              </w:rPr>
            </w:pPr>
            <w:r>
              <w:rPr>
                <w:sz w:val="22"/>
                <w:szCs w:val="22"/>
              </w:rPr>
              <w:t>-</w:t>
            </w:r>
          </w:p>
        </w:tc>
      </w:tr>
      <w:tr w:rsidR="00E47581" w:rsidRPr="00E803CA" w14:paraId="25D29F9B" w14:textId="77777777" w:rsidTr="000857F7">
        <w:trPr>
          <w:cantSplit/>
          <w:trHeight w:val="255"/>
        </w:trPr>
        <w:tc>
          <w:tcPr>
            <w:tcW w:w="4421" w:type="dxa"/>
            <w:noWrap/>
            <w:tcMar>
              <w:top w:w="17" w:type="dxa"/>
              <w:left w:w="17" w:type="dxa"/>
              <w:bottom w:w="0" w:type="dxa"/>
              <w:right w:w="17" w:type="dxa"/>
            </w:tcMar>
            <w:vAlign w:val="bottom"/>
          </w:tcPr>
          <w:p w14:paraId="085B1A53" w14:textId="77777777" w:rsidR="00E47581" w:rsidRPr="00E803CA" w:rsidRDefault="00E47581" w:rsidP="00E47581">
            <w:pPr>
              <w:rPr>
                <w:b/>
                <w:bCs/>
                <w:sz w:val="22"/>
                <w:szCs w:val="22"/>
              </w:rPr>
            </w:pPr>
          </w:p>
        </w:tc>
        <w:tc>
          <w:tcPr>
            <w:tcW w:w="1408" w:type="dxa"/>
            <w:noWrap/>
            <w:tcMar>
              <w:top w:w="17" w:type="dxa"/>
              <w:left w:w="17" w:type="dxa"/>
              <w:bottom w:w="0" w:type="dxa"/>
              <w:right w:w="17" w:type="dxa"/>
            </w:tcMar>
            <w:vAlign w:val="center"/>
          </w:tcPr>
          <w:p w14:paraId="2A0D9481" w14:textId="77777777" w:rsidR="00E47581" w:rsidRPr="00E803CA" w:rsidRDefault="00E47581" w:rsidP="00E47581">
            <w:pPr>
              <w:jc w:val="center"/>
              <w:rPr>
                <w:sz w:val="22"/>
                <w:szCs w:val="22"/>
              </w:rPr>
            </w:pPr>
          </w:p>
        </w:tc>
        <w:tc>
          <w:tcPr>
            <w:tcW w:w="1418" w:type="dxa"/>
            <w:tcBorders>
              <w:top w:val="single" w:sz="4" w:space="0" w:color="auto"/>
            </w:tcBorders>
            <w:noWrap/>
            <w:tcMar>
              <w:top w:w="17" w:type="dxa"/>
              <w:left w:w="17" w:type="dxa"/>
              <w:bottom w:w="0" w:type="dxa"/>
              <w:right w:w="17" w:type="dxa"/>
            </w:tcMar>
            <w:vAlign w:val="center"/>
          </w:tcPr>
          <w:p w14:paraId="6606F519" w14:textId="459361AC" w:rsidR="00E47581" w:rsidRPr="00E803CA" w:rsidRDefault="009D621B" w:rsidP="00E47581">
            <w:pPr>
              <w:ind w:right="57"/>
              <w:jc w:val="right"/>
              <w:rPr>
                <w:sz w:val="22"/>
                <w:szCs w:val="22"/>
              </w:rPr>
            </w:pPr>
            <w:r>
              <w:rPr>
                <w:sz w:val="22"/>
                <w:szCs w:val="22"/>
              </w:rPr>
              <w:t>(28,6</w:t>
            </w:r>
            <w:r w:rsidR="002553F0">
              <w:rPr>
                <w:sz w:val="22"/>
                <w:szCs w:val="22"/>
              </w:rPr>
              <w:t>86</w:t>
            </w:r>
            <w:r>
              <w:rPr>
                <w:sz w:val="22"/>
                <w:szCs w:val="22"/>
              </w:rPr>
              <w:t>)</w:t>
            </w:r>
          </w:p>
        </w:tc>
        <w:tc>
          <w:tcPr>
            <w:tcW w:w="429" w:type="dxa"/>
            <w:vAlign w:val="center"/>
          </w:tcPr>
          <w:p w14:paraId="33F5B0ED" w14:textId="77777777" w:rsidR="00E47581" w:rsidRPr="00E803CA" w:rsidRDefault="00E47581" w:rsidP="00E47581">
            <w:pPr>
              <w:ind w:right="57"/>
              <w:jc w:val="right"/>
              <w:rPr>
                <w:sz w:val="22"/>
                <w:szCs w:val="22"/>
              </w:rPr>
            </w:pPr>
          </w:p>
        </w:tc>
        <w:tc>
          <w:tcPr>
            <w:tcW w:w="1272" w:type="dxa"/>
            <w:tcBorders>
              <w:top w:val="single" w:sz="4" w:space="0" w:color="auto"/>
            </w:tcBorders>
            <w:vAlign w:val="center"/>
          </w:tcPr>
          <w:p w14:paraId="73913CB3" w14:textId="21BD8656" w:rsidR="00E47581" w:rsidRPr="00E803CA" w:rsidRDefault="00E47581" w:rsidP="00E47581">
            <w:pPr>
              <w:ind w:right="57"/>
              <w:jc w:val="right"/>
              <w:rPr>
                <w:sz w:val="22"/>
                <w:szCs w:val="22"/>
              </w:rPr>
            </w:pPr>
            <w:r w:rsidRPr="00E803CA">
              <w:rPr>
                <w:sz w:val="22"/>
                <w:szCs w:val="22"/>
              </w:rPr>
              <w:t>(24,632)</w:t>
            </w:r>
          </w:p>
        </w:tc>
      </w:tr>
      <w:tr w:rsidR="00E47581" w:rsidRPr="00E803CA" w14:paraId="23D345DB" w14:textId="77777777" w:rsidTr="000857F7">
        <w:trPr>
          <w:cantSplit/>
          <w:trHeight w:val="255"/>
        </w:trPr>
        <w:tc>
          <w:tcPr>
            <w:tcW w:w="4421" w:type="dxa"/>
            <w:noWrap/>
            <w:tcMar>
              <w:top w:w="17" w:type="dxa"/>
              <w:left w:w="17" w:type="dxa"/>
              <w:bottom w:w="0" w:type="dxa"/>
              <w:right w:w="17" w:type="dxa"/>
            </w:tcMar>
            <w:vAlign w:val="bottom"/>
          </w:tcPr>
          <w:p w14:paraId="1C41CB76" w14:textId="77777777" w:rsidR="00E47581" w:rsidRPr="00E803CA" w:rsidRDefault="00E47581" w:rsidP="00E47581">
            <w:pPr>
              <w:rPr>
                <w:b/>
                <w:bCs/>
                <w:sz w:val="22"/>
                <w:szCs w:val="22"/>
              </w:rPr>
            </w:pPr>
          </w:p>
        </w:tc>
        <w:tc>
          <w:tcPr>
            <w:tcW w:w="1408" w:type="dxa"/>
            <w:noWrap/>
            <w:tcMar>
              <w:top w:w="17" w:type="dxa"/>
              <w:left w:w="17" w:type="dxa"/>
              <w:bottom w:w="0" w:type="dxa"/>
              <w:right w:w="17" w:type="dxa"/>
            </w:tcMar>
            <w:vAlign w:val="center"/>
          </w:tcPr>
          <w:p w14:paraId="232732A7" w14:textId="77777777" w:rsidR="00E47581" w:rsidRPr="00E803CA" w:rsidRDefault="00E47581" w:rsidP="00E47581">
            <w:pPr>
              <w:jc w:val="center"/>
              <w:rPr>
                <w:sz w:val="22"/>
                <w:szCs w:val="22"/>
              </w:rPr>
            </w:pPr>
          </w:p>
        </w:tc>
        <w:tc>
          <w:tcPr>
            <w:tcW w:w="1418" w:type="dxa"/>
            <w:noWrap/>
            <w:tcMar>
              <w:top w:w="17" w:type="dxa"/>
              <w:left w:w="17" w:type="dxa"/>
              <w:bottom w:w="0" w:type="dxa"/>
              <w:right w:w="17" w:type="dxa"/>
            </w:tcMar>
            <w:vAlign w:val="center"/>
          </w:tcPr>
          <w:p w14:paraId="31CF00C4" w14:textId="77777777" w:rsidR="00E47581" w:rsidRPr="00E803CA" w:rsidRDefault="00E47581" w:rsidP="00E47581">
            <w:pPr>
              <w:ind w:right="57"/>
              <w:jc w:val="right"/>
              <w:rPr>
                <w:sz w:val="22"/>
                <w:szCs w:val="22"/>
              </w:rPr>
            </w:pPr>
          </w:p>
        </w:tc>
        <w:tc>
          <w:tcPr>
            <w:tcW w:w="429" w:type="dxa"/>
            <w:vAlign w:val="center"/>
          </w:tcPr>
          <w:p w14:paraId="6D5D3FB5" w14:textId="77777777" w:rsidR="00E47581" w:rsidRPr="00E803CA" w:rsidRDefault="00E47581" w:rsidP="00E47581">
            <w:pPr>
              <w:ind w:right="57"/>
              <w:jc w:val="right"/>
              <w:rPr>
                <w:sz w:val="22"/>
                <w:szCs w:val="22"/>
              </w:rPr>
            </w:pPr>
          </w:p>
        </w:tc>
        <w:tc>
          <w:tcPr>
            <w:tcW w:w="1272" w:type="dxa"/>
            <w:vAlign w:val="center"/>
          </w:tcPr>
          <w:p w14:paraId="2D620129" w14:textId="77777777" w:rsidR="00E47581" w:rsidRPr="00E803CA" w:rsidRDefault="00E47581" w:rsidP="00E47581">
            <w:pPr>
              <w:ind w:right="57"/>
              <w:jc w:val="right"/>
              <w:rPr>
                <w:sz w:val="22"/>
                <w:szCs w:val="22"/>
              </w:rPr>
            </w:pPr>
          </w:p>
        </w:tc>
      </w:tr>
      <w:tr w:rsidR="00E47581" w:rsidRPr="00E803CA" w14:paraId="7E4CE0B4" w14:textId="77777777" w:rsidTr="000857F7">
        <w:trPr>
          <w:cantSplit/>
          <w:trHeight w:val="255"/>
        </w:trPr>
        <w:tc>
          <w:tcPr>
            <w:tcW w:w="4421" w:type="dxa"/>
            <w:noWrap/>
            <w:tcMar>
              <w:top w:w="17" w:type="dxa"/>
              <w:left w:w="17" w:type="dxa"/>
              <w:bottom w:w="0" w:type="dxa"/>
              <w:right w:w="17" w:type="dxa"/>
            </w:tcMar>
            <w:vAlign w:val="bottom"/>
          </w:tcPr>
          <w:p w14:paraId="7B2BB2BB" w14:textId="77777777" w:rsidR="00E47581" w:rsidRPr="00E803CA" w:rsidRDefault="00E47581" w:rsidP="00E47581">
            <w:pPr>
              <w:rPr>
                <w:sz w:val="22"/>
                <w:szCs w:val="22"/>
              </w:rPr>
            </w:pPr>
            <w:r w:rsidRPr="00E803CA">
              <w:rPr>
                <w:b/>
                <w:bCs/>
                <w:sz w:val="22"/>
                <w:szCs w:val="22"/>
              </w:rPr>
              <w:t>Cash flow from financing activities</w:t>
            </w:r>
          </w:p>
        </w:tc>
        <w:tc>
          <w:tcPr>
            <w:tcW w:w="1408" w:type="dxa"/>
            <w:noWrap/>
            <w:tcMar>
              <w:top w:w="17" w:type="dxa"/>
              <w:left w:w="17" w:type="dxa"/>
              <w:bottom w:w="0" w:type="dxa"/>
              <w:right w:w="17" w:type="dxa"/>
            </w:tcMar>
            <w:vAlign w:val="center"/>
          </w:tcPr>
          <w:p w14:paraId="56749769" w14:textId="77777777" w:rsidR="00E47581" w:rsidRPr="00E803CA" w:rsidRDefault="00E47581" w:rsidP="00E47581">
            <w:pPr>
              <w:jc w:val="center"/>
              <w:rPr>
                <w:sz w:val="22"/>
                <w:szCs w:val="22"/>
              </w:rPr>
            </w:pPr>
          </w:p>
        </w:tc>
        <w:tc>
          <w:tcPr>
            <w:tcW w:w="1418" w:type="dxa"/>
            <w:noWrap/>
            <w:tcMar>
              <w:top w:w="17" w:type="dxa"/>
              <w:left w:w="17" w:type="dxa"/>
              <w:bottom w:w="0" w:type="dxa"/>
              <w:right w:w="17" w:type="dxa"/>
            </w:tcMar>
            <w:vAlign w:val="center"/>
          </w:tcPr>
          <w:p w14:paraId="51E16B23" w14:textId="77777777" w:rsidR="00E47581" w:rsidRPr="00E803CA" w:rsidRDefault="00E47581" w:rsidP="00E47581">
            <w:pPr>
              <w:ind w:right="57"/>
              <w:jc w:val="right"/>
              <w:rPr>
                <w:sz w:val="22"/>
                <w:szCs w:val="22"/>
              </w:rPr>
            </w:pPr>
          </w:p>
        </w:tc>
        <w:tc>
          <w:tcPr>
            <w:tcW w:w="429" w:type="dxa"/>
            <w:vAlign w:val="center"/>
          </w:tcPr>
          <w:p w14:paraId="4FD80F4E" w14:textId="77777777" w:rsidR="00E47581" w:rsidRPr="00E803CA" w:rsidRDefault="00E47581" w:rsidP="00E47581">
            <w:pPr>
              <w:ind w:right="57"/>
              <w:jc w:val="right"/>
              <w:rPr>
                <w:sz w:val="22"/>
                <w:szCs w:val="22"/>
              </w:rPr>
            </w:pPr>
          </w:p>
        </w:tc>
        <w:tc>
          <w:tcPr>
            <w:tcW w:w="1272" w:type="dxa"/>
            <w:vAlign w:val="center"/>
          </w:tcPr>
          <w:p w14:paraId="2ED00B43" w14:textId="77777777" w:rsidR="00E47581" w:rsidRPr="00E803CA" w:rsidRDefault="00E47581" w:rsidP="00E47581">
            <w:pPr>
              <w:ind w:right="57"/>
              <w:jc w:val="right"/>
              <w:rPr>
                <w:sz w:val="22"/>
                <w:szCs w:val="22"/>
              </w:rPr>
            </w:pPr>
          </w:p>
        </w:tc>
      </w:tr>
      <w:tr w:rsidR="00E47581" w:rsidRPr="00E803CA" w14:paraId="51C4AA02" w14:textId="77777777" w:rsidTr="000857F7">
        <w:trPr>
          <w:cantSplit/>
          <w:trHeight w:val="255"/>
        </w:trPr>
        <w:tc>
          <w:tcPr>
            <w:tcW w:w="4421" w:type="dxa"/>
            <w:noWrap/>
            <w:tcMar>
              <w:top w:w="17" w:type="dxa"/>
              <w:left w:w="17" w:type="dxa"/>
              <w:bottom w:w="0" w:type="dxa"/>
              <w:right w:w="17" w:type="dxa"/>
            </w:tcMar>
            <w:vAlign w:val="bottom"/>
          </w:tcPr>
          <w:p w14:paraId="665551A6" w14:textId="77777777" w:rsidR="00E47581" w:rsidRPr="00E803CA" w:rsidRDefault="00E47581" w:rsidP="00E47581">
            <w:pPr>
              <w:rPr>
                <w:sz w:val="22"/>
                <w:szCs w:val="22"/>
              </w:rPr>
            </w:pPr>
            <w:r w:rsidRPr="00E803CA">
              <w:rPr>
                <w:sz w:val="22"/>
                <w:szCs w:val="22"/>
              </w:rPr>
              <w:t>Finance charges</w:t>
            </w:r>
          </w:p>
        </w:tc>
        <w:tc>
          <w:tcPr>
            <w:tcW w:w="1408" w:type="dxa"/>
            <w:noWrap/>
            <w:tcMar>
              <w:top w:w="17" w:type="dxa"/>
              <w:left w:w="17" w:type="dxa"/>
              <w:bottom w:w="0" w:type="dxa"/>
              <w:right w:w="17" w:type="dxa"/>
            </w:tcMar>
            <w:vAlign w:val="center"/>
          </w:tcPr>
          <w:p w14:paraId="722A3BAC" w14:textId="19FF03B3" w:rsidR="00E47581" w:rsidRPr="00E803CA" w:rsidRDefault="00E47581" w:rsidP="00E47581">
            <w:pPr>
              <w:ind w:right="37"/>
              <w:jc w:val="center"/>
              <w:rPr>
                <w:sz w:val="22"/>
                <w:szCs w:val="22"/>
              </w:rPr>
            </w:pPr>
            <w:r w:rsidRPr="00E803CA">
              <w:rPr>
                <w:sz w:val="22"/>
                <w:szCs w:val="22"/>
              </w:rPr>
              <w:t>11</w:t>
            </w:r>
          </w:p>
        </w:tc>
        <w:tc>
          <w:tcPr>
            <w:tcW w:w="1418" w:type="dxa"/>
            <w:noWrap/>
            <w:tcMar>
              <w:top w:w="17" w:type="dxa"/>
              <w:left w:w="17" w:type="dxa"/>
              <w:bottom w:w="0" w:type="dxa"/>
              <w:right w:w="17" w:type="dxa"/>
            </w:tcMar>
            <w:vAlign w:val="center"/>
          </w:tcPr>
          <w:p w14:paraId="594024AD" w14:textId="05AA37DD" w:rsidR="00E47581" w:rsidRPr="00E803CA" w:rsidRDefault="009D621B" w:rsidP="00E47581">
            <w:pPr>
              <w:ind w:right="57"/>
              <w:jc w:val="right"/>
              <w:rPr>
                <w:sz w:val="22"/>
                <w:szCs w:val="22"/>
              </w:rPr>
            </w:pPr>
            <w:r>
              <w:rPr>
                <w:sz w:val="22"/>
                <w:szCs w:val="22"/>
              </w:rPr>
              <w:t>(6,3</w:t>
            </w:r>
            <w:r w:rsidR="004C0188">
              <w:rPr>
                <w:sz w:val="22"/>
                <w:szCs w:val="22"/>
              </w:rPr>
              <w:t>69</w:t>
            </w:r>
            <w:r>
              <w:rPr>
                <w:sz w:val="22"/>
                <w:szCs w:val="22"/>
              </w:rPr>
              <w:t>)</w:t>
            </w:r>
          </w:p>
        </w:tc>
        <w:tc>
          <w:tcPr>
            <w:tcW w:w="429" w:type="dxa"/>
            <w:vAlign w:val="center"/>
          </w:tcPr>
          <w:p w14:paraId="0CCBEFF8" w14:textId="77777777" w:rsidR="00E47581" w:rsidRPr="00E803CA" w:rsidRDefault="00E47581" w:rsidP="00E47581">
            <w:pPr>
              <w:ind w:right="57"/>
              <w:jc w:val="right"/>
              <w:rPr>
                <w:sz w:val="22"/>
                <w:szCs w:val="22"/>
              </w:rPr>
            </w:pPr>
          </w:p>
        </w:tc>
        <w:tc>
          <w:tcPr>
            <w:tcW w:w="1272" w:type="dxa"/>
            <w:vAlign w:val="center"/>
          </w:tcPr>
          <w:p w14:paraId="06C1BEE2" w14:textId="23E1539A" w:rsidR="00E47581" w:rsidRPr="00E803CA" w:rsidRDefault="00E47581" w:rsidP="00E47581">
            <w:pPr>
              <w:ind w:right="57"/>
              <w:jc w:val="right"/>
              <w:rPr>
                <w:sz w:val="22"/>
                <w:szCs w:val="22"/>
              </w:rPr>
            </w:pPr>
            <w:r w:rsidRPr="00E803CA">
              <w:rPr>
                <w:sz w:val="22"/>
                <w:szCs w:val="22"/>
              </w:rPr>
              <w:t>(5,747)</w:t>
            </w:r>
          </w:p>
        </w:tc>
      </w:tr>
      <w:tr w:rsidR="00E47581" w:rsidRPr="00E803CA" w14:paraId="22CB6759" w14:textId="77777777" w:rsidTr="000857F7">
        <w:trPr>
          <w:cantSplit/>
          <w:trHeight w:val="255"/>
        </w:trPr>
        <w:tc>
          <w:tcPr>
            <w:tcW w:w="4421" w:type="dxa"/>
            <w:noWrap/>
            <w:tcMar>
              <w:top w:w="17" w:type="dxa"/>
              <w:left w:w="17" w:type="dxa"/>
              <w:bottom w:w="0" w:type="dxa"/>
              <w:right w:w="17" w:type="dxa"/>
            </w:tcMar>
            <w:vAlign w:val="bottom"/>
          </w:tcPr>
          <w:p w14:paraId="2EBBB7FD" w14:textId="30F21EF4" w:rsidR="00E47581" w:rsidRPr="00E803CA" w:rsidRDefault="00E47581" w:rsidP="00E47581">
            <w:pPr>
              <w:rPr>
                <w:sz w:val="22"/>
                <w:szCs w:val="22"/>
              </w:rPr>
            </w:pPr>
            <w:r w:rsidRPr="00E803CA">
              <w:rPr>
                <w:sz w:val="22"/>
                <w:szCs w:val="22"/>
              </w:rPr>
              <w:t>Dividend received</w:t>
            </w:r>
          </w:p>
        </w:tc>
        <w:tc>
          <w:tcPr>
            <w:tcW w:w="1408" w:type="dxa"/>
            <w:noWrap/>
            <w:tcMar>
              <w:top w:w="17" w:type="dxa"/>
              <w:left w:w="17" w:type="dxa"/>
              <w:bottom w:w="0" w:type="dxa"/>
              <w:right w:w="17" w:type="dxa"/>
            </w:tcMar>
            <w:vAlign w:val="center"/>
          </w:tcPr>
          <w:p w14:paraId="728E2C3D" w14:textId="77777777" w:rsidR="00E47581" w:rsidRPr="00E803CA" w:rsidRDefault="00E47581" w:rsidP="00E47581">
            <w:pPr>
              <w:ind w:right="37"/>
              <w:jc w:val="center"/>
              <w:rPr>
                <w:sz w:val="22"/>
                <w:szCs w:val="22"/>
              </w:rPr>
            </w:pPr>
          </w:p>
        </w:tc>
        <w:tc>
          <w:tcPr>
            <w:tcW w:w="1418" w:type="dxa"/>
            <w:noWrap/>
            <w:tcMar>
              <w:top w:w="17" w:type="dxa"/>
              <w:left w:w="17" w:type="dxa"/>
              <w:bottom w:w="0" w:type="dxa"/>
              <w:right w:w="17" w:type="dxa"/>
            </w:tcMar>
            <w:vAlign w:val="center"/>
          </w:tcPr>
          <w:p w14:paraId="53441D5D" w14:textId="23C6E02F" w:rsidR="00E47581" w:rsidRPr="00E803CA" w:rsidRDefault="009D621B" w:rsidP="00E47581">
            <w:pPr>
              <w:ind w:right="57"/>
              <w:jc w:val="right"/>
              <w:rPr>
                <w:sz w:val="22"/>
                <w:szCs w:val="22"/>
              </w:rPr>
            </w:pPr>
            <w:r>
              <w:rPr>
                <w:sz w:val="22"/>
                <w:szCs w:val="22"/>
              </w:rPr>
              <w:t>-</w:t>
            </w:r>
          </w:p>
        </w:tc>
        <w:tc>
          <w:tcPr>
            <w:tcW w:w="429" w:type="dxa"/>
            <w:vAlign w:val="center"/>
          </w:tcPr>
          <w:p w14:paraId="772766B4" w14:textId="77777777" w:rsidR="00E47581" w:rsidRPr="00E803CA" w:rsidRDefault="00E47581" w:rsidP="00E47581">
            <w:pPr>
              <w:ind w:right="57"/>
              <w:jc w:val="right"/>
              <w:rPr>
                <w:sz w:val="22"/>
                <w:szCs w:val="22"/>
              </w:rPr>
            </w:pPr>
          </w:p>
        </w:tc>
        <w:tc>
          <w:tcPr>
            <w:tcW w:w="1272" w:type="dxa"/>
            <w:vAlign w:val="center"/>
          </w:tcPr>
          <w:p w14:paraId="3D9BF323" w14:textId="3F0D3AE6" w:rsidR="00E47581" w:rsidRPr="00E803CA" w:rsidRDefault="00E47581" w:rsidP="00E47581">
            <w:pPr>
              <w:ind w:right="57"/>
              <w:jc w:val="right"/>
              <w:rPr>
                <w:sz w:val="22"/>
                <w:szCs w:val="22"/>
              </w:rPr>
            </w:pPr>
            <w:r w:rsidRPr="00E803CA">
              <w:rPr>
                <w:sz w:val="22"/>
                <w:szCs w:val="22"/>
              </w:rPr>
              <w:t>180</w:t>
            </w:r>
          </w:p>
        </w:tc>
      </w:tr>
      <w:tr w:rsidR="00E47581" w:rsidRPr="00E803CA" w14:paraId="24C58CA6" w14:textId="77777777" w:rsidTr="000857F7">
        <w:trPr>
          <w:cantSplit/>
          <w:trHeight w:val="255"/>
        </w:trPr>
        <w:tc>
          <w:tcPr>
            <w:tcW w:w="4421" w:type="dxa"/>
            <w:noWrap/>
            <w:tcMar>
              <w:top w:w="17" w:type="dxa"/>
              <w:left w:w="17" w:type="dxa"/>
              <w:bottom w:w="0" w:type="dxa"/>
              <w:right w:w="17" w:type="dxa"/>
            </w:tcMar>
            <w:vAlign w:val="bottom"/>
          </w:tcPr>
          <w:p w14:paraId="0B552FE0" w14:textId="003B68D5" w:rsidR="00E47581" w:rsidRPr="00E803CA" w:rsidRDefault="00E47581" w:rsidP="00E47581">
            <w:pPr>
              <w:rPr>
                <w:sz w:val="22"/>
                <w:szCs w:val="22"/>
              </w:rPr>
            </w:pPr>
            <w:r w:rsidRPr="00E803CA">
              <w:rPr>
                <w:sz w:val="22"/>
                <w:szCs w:val="22"/>
              </w:rPr>
              <w:t>Drawdown of loan</w:t>
            </w:r>
          </w:p>
        </w:tc>
        <w:tc>
          <w:tcPr>
            <w:tcW w:w="1408" w:type="dxa"/>
            <w:noWrap/>
            <w:tcMar>
              <w:top w:w="17" w:type="dxa"/>
              <w:left w:w="17" w:type="dxa"/>
              <w:bottom w:w="0" w:type="dxa"/>
              <w:right w:w="17" w:type="dxa"/>
            </w:tcMar>
            <w:vAlign w:val="center"/>
          </w:tcPr>
          <w:p w14:paraId="5E1A5155" w14:textId="77777777" w:rsidR="00E47581" w:rsidRPr="00E803CA" w:rsidRDefault="00E47581" w:rsidP="00E47581">
            <w:pPr>
              <w:ind w:right="37"/>
              <w:jc w:val="center"/>
              <w:rPr>
                <w:sz w:val="22"/>
                <w:szCs w:val="22"/>
              </w:rPr>
            </w:pPr>
          </w:p>
        </w:tc>
        <w:tc>
          <w:tcPr>
            <w:tcW w:w="1418" w:type="dxa"/>
            <w:noWrap/>
            <w:tcMar>
              <w:top w:w="17" w:type="dxa"/>
              <w:left w:w="17" w:type="dxa"/>
              <w:bottom w:w="0" w:type="dxa"/>
              <w:right w:w="17" w:type="dxa"/>
            </w:tcMar>
            <w:vAlign w:val="center"/>
          </w:tcPr>
          <w:p w14:paraId="32AF031F" w14:textId="79095AD6" w:rsidR="00E47581" w:rsidRPr="00E803CA" w:rsidRDefault="009D621B" w:rsidP="00E47581">
            <w:pPr>
              <w:ind w:right="57"/>
              <w:jc w:val="right"/>
              <w:rPr>
                <w:sz w:val="22"/>
                <w:szCs w:val="22"/>
              </w:rPr>
            </w:pPr>
            <w:r>
              <w:rPr>
                <w:sz w:val="22"/>
                <w:szCs w:val="22"/>
              </w:rPr>
              <w:t>10,500</w:t>
            </w:r>
          </w:p>
        </w:tc>
        <w:tc>
          <w:tcPr>
            <w:tcW w:w="429" w:type="dxa"/>
            <w:vAlign w:val="center"/>
          </w:tcPr>
          <w:p w14:paraId="7F177C8C" w14:textId="77777777" w:rsidR="00E47581" w:rsidRPr="00E803CA" w:rsidRDefault="00E47581" w:rsidP="00E47581">
            <w:pPr>
              <w:ind w:right="57"/>
              <w:jc w:val="right"/>
              <w:rPr>
                <w:sz w:val="22"/>
                <w:szCs w:val="22"/>
              </w:rPr>
            </w:pPr>
          </w:p>
        </w:tc>
        <w:tc>
          <w:tcPr>
            <w:tcW w:w="1272" w:type="dxa"/>
            <w:vAlign w:val="center"/>
          </w:tcPr>
          <w:p w14:paraId="43120138" w14:textId="0D5BA1CC" w:rsidR="00E47581" w:rsidRPr="00E803CA" w:rsidRDefault="00E47581" w:rsidP="00E47581">
            <w:pPr>
              <w:ind w:right="57"/>
              <w:jc w:val="right"/>
              <w:rPr>
                <w:sz w:val="22"/>
                <w:szCs w:val="22"/>
              </w:rPr>
            </w:pPr>
            <w:r w:rsidRPr="00E803CA">
              <w:rPr>
                <w:sz w:val="22"/>
                <w:szCs w:val="22"/>
              </w:rPr>
              <w:t>119,500</w:t>
            </w:r>
          </w:p>
        </w:tc>
      </w:tr>
      <w:tr w:rsidR="00E47581" w:rsidRPr="00E803CA" w14:paraId="41D360DA" w14:textId="77777777" w:rsidTr="000857F7">
        <w:trPr>
          <w:cantSplit/>
          <w:trHeight w:val="255"/>
        </w:trPr>
        <w:tc>
          <w:tcPr>
            <w:tcW w:w="4421" w:type="dxa"/>
            <w:noWrap/>
            <w:tcMar>
              <w:top w:w="17" w:type="dxa"/>
              <w:left w:w="17" w:type="dxa"/>
              <w:bottom w:w="0" w:type="dxa"/>
              <w:right w:w="17" w:type="dxa"/>
            </w:tcMar>
            <w:vAlign w:val="bottom"/>
          </w:tcPr>
          <w:p w14:paraId="1FD31D62" w14:textId="120022BF" w:rsidR="00E47581" w:rsidRPr="00E803CA" w:rsidRDefault="00E47581" w:rsidP="00E47581">
            <w:pPr>
              <w:rPr>
                <w:sz w:val="22"/>
                <w:szCs w:val="22"/>
              </w:rPr>
            </w:pPr>
            <w:r w:rsidRPr="00E803CA">
              <w:rPr>
                <w:sz w:val="22"/>
                <w:szCs w:val="22"/>
              </w:rPr>
              <w:t>Repayment of loan</w:t>
            </w:r>
          </w:p>
        </w:tc>
        <w:tc>
          <w:tcPr>
            <w:tcW w:w="1408" w:type="dxa"/>
            <w:noWrap/>
            <w:tcMar>
              <w:top w:w="17" w:type="dxa"/>
              <w:left w:w="17" w:type="dxa"/>
              <w:bottom w:w="0" w:type="dxa"/>
              <w:right w:w="17" w:type="dxa"/>
            </w:tcMar>
            <w:vAlign w:val="center"/>
          </w:tcPr>
          <w:p w14:paraId="011AED6E" w14:textId="77777777" w:rsidR="00E47581" w:rsidRPr="00E803CA" w:rsidRDefault="00E47581" w:rsidP="00E47581">
            <w:pPr>
              <w:ind w:right="37"/>
              <w:jc w:val="center"/>
              <w:rPr>
                <w:sz w:val="22"/>
                <w:szCs w:val="22"/>
              </w:rPr>
            </w:pPr>
          </w:p>
        </w:tc>
        <w:tc>
          <w:tcPr>
            <w:tcW w:w="1418" w:type="dxa"/>
            <w:noWrap/>
            <w:tcMar>
              <w:top w:w="17" w:type="dxa"/>
              <w:left w:w="17" w:type="dxa"/>
              <w:bottom w:w="0" w:type="dxa"/>
              <w:right w:w="17" w:type="dxa"/>
            </w:tcMar>
            <w:vAlign w:val="center"/>
          </w:tcPr>
          <w:p w14:paraId="01134A9D" w14:textId="465B3B7B" w:rsidR="00E47581" w:rsidRPr="00E803CA" w:rsidRDefault="009D621B" w:rsidP="00E47581">
            <w:pPr>
              <w:ind w:right="57"/>
              <w:jc w:val="right"/>
              <w:rPr>
                <w:sz w:val="22"/>
                <w:szCs w:val="22"/>
              </w:rPr>
            </w:pPr>
            <w:r>
              <w:rPr>
                <w:sz w:val="22"/>
                <w:szCs w:val="22"/>
              </w:rPr>
              <w:t>(1,500)</w:t>
            </w:r>
          </w:p>
        </w:tc>
        <w:tc>
          <w:tcPr>
            <w:tcW w:w="429" w:type="dxa"/>
            <w:vAlign w:val="center"/>
          </w:tcPr>
          <w:p w14:paraId="5C221E9C" w14:textId="77777777" w:rsidR="00E47581" w:rsidRPr="00E803CA" w:rsidRDefault="00E47581" w:rsidP="00E47581">
            <w:pPr>
              <w:ind w:right="57"/>
              <w:jc w:val="right"/>
              <w:rPr>
                <w:sz w:val="22"/>
                <w:szCs w:val="22"/>
              </w:rPr>
            </w:pPr>
          </w:p>
        </w:tc>
        <w:tc>
          <w:tcPr>
            <w:tcW w:w="1272" w:type="dxa"/>
            <w:vAlign w:val="center"/>
          </w:tcPr>
          <w:p w14:paraId="23FD2724" w14:textId="28214394" w:rsidR="00E47581" w:rsidRPr="00E803CA" w:rsidRDefault="00E47581" w:rsidP="00E47581">
            <w:pPr>
              <w:ind w:right="57"/>
              <w:jc w:val="right"/>
              <w:rPr>
                <w:sz w:val="22"/>
                <w:szCs w:val="22"/>
              </w:rPr>
            </w:pPr>
            <w:r w:rsidRPr="00E803CA">
              <w:rPr>
                <w:sz w:val="22"/>
                <w:szCs w:val="22"/>
              </w:rPr>
              <w:t>(148,959)</w:t>
            </w:r>
          </w:p>
        </w:tc>
      </w:tr>
      <w:tr w:rsidR="00E47581" w:rsidRPr="00E803CA" w14:paraId="3F5EE5F2" w14:textId="77777777" w:rsidTr="000857F7">
        <w:trPr>
          <w:cantSplit/>
          <w:trHeight w:val="255"/>
        </w:trPr>
        <w:tc>
          <w:tcPr>
            <w:tcW w:w="4421" w:type="dxa"/>
            <w:noWrap/>
            <w:tcMar>
              <w:top w:w="17" w:type="dxa"/>
              <w:left w:w="17" w:type="dxa"/>
              <w:bottom w:w="0" w:type="dxa"/>
              <w:right w:w="17" w:type="dxa"/>
            </w:tcMar>
            <w:vAlign w:val="bottom"/>
          </w:tcPr>
          <w:p w14:paraId="69501FD2" w14:textId="77777777" w:rsidR="00E47581" w:rsidRPr="00E803CA" w:rsidRDefault="00E47581" w:rsidP="00E47581">
            <w:pPr>
              <w:rPr>
                <w:sz w:val="22"/>
                <w:szCs w:val="22"/>
              </w:rPr>
            </w:pPr>
          </w:p>
        </w:tc>
        <w:tc>
          <w:tcPr>
            <w:tcW w:w="1408" w:type="dxa"/>
            <w:noWrap/>
            <w:tcMar>
              <w:top w:w="17" w:type="dxa"/>
              <w:left w:w="17" w:type="dxa"/>
              <w:bottom w:w="0" w:type="dxa"/>
              <w:right w:w="17" w:type="dxa"/>
            </w:tcMar>
            <w:vAlign w:val="bottom"/>
          </w:tcPr>
          <w:p w14:paraId="41E1BCFD" w14:textId="77777777" w:rsidR="00E47581" w:rsidRPr="00E803CA" w:rsidRDefault="00E47581" w:rsidP="00E47581">
            <w:pPr>
              <w:jc w:val="center"/>
              <w:rPr>
                <w:iCs/>
                <w:sz w:val="22"/>
                <w:szCs w:val="22"/>
              </w:rPr>
            </w:pPr>
          </w:p>
        </w:tc>
        <w:tc>
          <w:tcPr>
            <w:tcW w:w="1418" w:type="dxa"/>
            <w:tcBorders>
              <w:top w:val="single" w:sz="4" w:space="0" w:color="auto"/>
            </w:tcBorders>
            <w:noWrap/>
            <w:tcMar>
              <w:top w:w="17" w:type="dxa"/>
              <w:left w:w="17" w:type="dxa"/>
              <w:bottom w:w="0" w:type="dxa"/>
              <w:right w:w="17" w:type="dxa"/>
            </w:tcMar>
            <w:vAlign w:val="bottom"/>
          </w:tcPr>
          <w:p w14:paraId="0C1C1FDD" w14:textId="28186F93" w:rsidR="00E47581" w:rsidRPr="00E803CA" w:rsidRDefault="009D621B" w:rsidP="00E47581">
            <w:pPr>
              <w:ind w:right="57"/>
              <w:jc w:val="right"/>
              <w:rPr>
                <w:bCs/>
                <w:sz w:val="22"/>
                <w:szCs w:val="22"/>
              </w:rPr>
            </w:pPr>
            <w:r>
              <w:rPr>
                <w:bCs/>
                <w:sz w:val="22"/>
                <w:szCs w:val="22"/>
              </w:rPr>
              <w:t>2,6</w:t>
            </w:r>
            <w:r w:rsidR="00EC5C71">
              <w:rPr>
                <w:bCs/>
                <w:sz w:val="22"/>
                <w:szCs w:val="22"/>
              </w:rPr>
              <w:t>31</w:t>
            </w:r>
          </w:p>
        </w:tc>
        <w:tc>
          <w:tcPr>
            <w:tcW w:w="429" w:type="dxa"/>
            <w:vAlign w:val="bottom"/>
          </w:tcPr>
          <w:p w14:paraId="2DFF0E9E" w14:textId="77777777" w:rsidR="00E47581" w:rsidRPr="00E803CA" w:rsidRDefault="00E47581" w:rsidP="00E47581">
            <w:pPr>
              <w:ind w:right="57"/>
              <w:jc w:val="right"/>
              <w:rPr>
                <w:bCs/>
                <w:sz w:val="22"/>
                <w:szCs w:val="22"/>
              </w:rPr>
            </w:pPr>
          </w:p>
        </w:tc>
        <w:tc>
          <w:tcPr>
            <w:tcW w:w="1272" w:type="dxa"/>
            <w:tcBorders>
              <w:top w:val="single" w:sz="4" w:space="0" w:color="auto"/>
            </w:tcBorders>
            <w:vAlign w:val="bottom"/>
          </w:tcPr>
          <w:p w14:paraId="2CE0991E" w14:textId="36907C96" w:rsidR="00E47581" w:rsidRPr="00E803CA" w:rsidRDefault="00E47581" w:rsidP="00E47581">
            <w:pPr>
              <w:ind w:right="57"/>
              <w:jc w:val="right"/>
              <w:rPr>
                <w:bCs/>
                <w:sz w:val="22"/>
                <w:szCs w:val="22"/>
              </w:rPr>
            </w:pPr>
            <w:r w:rsidRPr="00E803CA">
              <w:rPr>
                <w:bCs/>
                <w:sz w:val="22"/>
                <w:szCs w:val="22"/>
              </w:rPr>
              <w:t>(35,026)</w:t>
            </w:r>
          </w:p>
        </w:tc>
      </w:tr>
      <w:tr w:rsidR="00E47581" w:rsidRPr="00E803CA" w14:paraId="1C04BFA4" w14:textId="77777777" w:rsidTr="00EF6905">
        <w:trPr>
          <w:trHeight w:val="255"/>
        </w:trPr>
        <w:tc>
          <w:tcPr>
            <w:tcW w:w="4421" w:type="dxa"/>
            <w:noWrap/>
            <w:tcMar>
              <w:top w:w="17" w:type="dxa"/>
              <w:left w:w="17" w:type="dxa"/>
              <w:bottom w:w="0" w:type="dxa"/>
              <w:right w:w="17" w:type="dxa"/>
            </w:tcMar>
            <w:vAlign w:val="bottom"/>
          </w:tcPr>
          <w:p w14:paraId="36A84AC8" w14:textId="77777777" w:rsidR="00E47581" w:rsidRPr="00E803CA" w:rsidRDefault="00E47581" w:rsidP="00E47581">
            <w:pPr>
              <w:rPr>
                <w:b/>
                <w:bCs/>
                <w:sz w:val="22"/>
                <w:szCs w:val="22"/>
              </w:rPr>
            </w:pPr>
          </w:p>
        </w:tc>
        <w:tc>
          <w:tcPr>
            <w:tcW w:w="1408" w:type="dxa"/>
            <w:noWrap/>
            <w:tcMar>
              <w:top w:w="17" w:type="dxa"/>
              <w:left w:w="17" w:type="dxa"/>
              <w:bottom w:w="0" w:type="dxa"/>
              <w:right w:w="17" w:type="dxa"/>
            </w:tcMar>
            <w:vAlign w:val="bottom"/>
          </w:tcPr>
          <w:p w14:paraId="7149BAA3" w14:textId="77777777" w:rsidR="00E47581" w:rsidRPr="00E803CA" w:rsidRDefault="00E47581" w:rsidP="00E47581">
            <w:pPr>
              <w:rPr>
                <w:sz w:val="22"/>
                <w:szCs w:val="22"/>
              </w:rPr>
            </w:pPr>
          </w:p>
        </w:tc>
        <w:tc>
          <w:tcPr>
            <w:tcW w:w="1418" w:type="dxa"/>
            <w:noWrap/>
            <w:tcMar>
              <w:top w:w="17" w:type="dxa"/>
              <w:left w:w="17" w:type="dxa"/>
              <w:bottom w:w="0" w:type="dxa"/>
              <w:right w:w="17" w:type="dxa"/>
            </w:tcMar>
            <w:vAlign w:val="bottom"/>
          </w:tcPr>
          <w:p w14:paraId="3489F334" w14:textId="77777777" w:rsidR="00E47581" w:rsidRPr="00E803CA" w:rsidRDefault="00E47581" w:rsidP="00E47581">
            <w:pPr>
              <w:ind w:right="57"/>
              <w:jc w:val="right"/>
              <w:rPr>
                <w:sz w:val="22"/>
                <w:szCs w:val="22"/>
              </w:rPr>
            </w:pPr>
          </w:p>
        </w:tc>
        <w:tc>
          <w:tcPr>
            <w:tcW w:w="429" w:type="dxa"/>
            <w:vAlign w:val="bottom"/>
          </w:tcPr>
          <w:p w14:paraId="2B43F2A0" w14:textId="77777777" w:rsidR="00E47581" w:rsidRPr="00E803CA" w:rsidRDefault="00E47581" w:rsidP="00E47581">
            <w:pPr>
              <w:ind w:right="57"/>
              <w:jc w:val="right"/>
              <w:rPr>
                <w:sz w:val="22"/>
                <w:szCs w:val="22"/>
              </w:rPr>
            </w:pPr>
          </w:p>
        </w:tc>
        <w:tc>
          <w:tcPr>
            <w:tcW w:w="1272" w:type="dxa"/>
            <w:vAlign w:val="bottom"/>
          </w:tcPr>
          <w:p w14:paraId="68BFAAB5" w14:textId="77777777" w:rsidR="00E47581" w:rsidRPr="00E803CA" w:rsidRDefault="00E47581" w:rsidP="00E47581">
            <w:pPr>
              <w:ind w:right="57"/>
              <w:jc w:val="right"/>
              <w:rPr>
                <w:sz w:val="22"/>
                <w:szCs w:val="22"/>
              </w:rPr>
            </w:pPr>
          </w:p>
        </w:tc>
      </w:tr>
      <w:tr w:rsidR="00E47581" w:rsidRPr="00E803CA" w14:paraId="5059B2A2" w14:textId="77777777" w:rsidTr="00EF6905">
        <w:trPr>
          <w:trHeight w:val="255"/>
        </w:trPr>
        <w:tc>
          <w:tcPr>
            <w:tcW w:w="4421" w:type="dxa"/>
            <w:noWrap/>
            <w:tcMar>
              <w:top w:w="17" w:type="dxa"/>
              <w:left w:w="17" w:type="dxa"/>
              <w:bottom w:w="0" w:type="dxa"/>
              <w:right w:w="17" w:type="dxa"/>
            </w:tcMar>
            <w:vAlign w:val="bottom"/>
          </w:tcPr>
          <w:p w14:paraId="7D38C0E7" w14:textId="77777777" w:rsidR="00E47581" w:rsidRPr="00E803CA" w:rsidRDefault="00E47581" w:rsidP="00E47581">
            <w:pPr>
              <w:rPr>
                <w:b/>
                <w:bCs/>
                <w:sz w:val="22"/>
                <w:szCs w:val="22"/>
              </w:rPr>
            </w:pPr>
            <w:r w:rsidRPr="00E803CA">
              <w:rPr>
                <w:b/>
                <w:bCs/>
                <w:sz w:val="22"/>
                <w:szCs w:val="22"/>
              </w:rPr>
              <w:t>Net change in cash and cash equivalents</w:t>
            </w:r>
          </w:p>
        </w:tc>
        <w:tc>
          <w:tcPr>
            <w:tcW w:w="1408" w:type="dxa"/>
            <w:noWrap/>
            <w:tcMar>
              <w:top w:w="17" w:type="dxa"/>
              <w:left w:w="17" w:type="dxa"/>
              <w:bottom w:w="0" w:type="dxa"/>
              <w:right w:w="17" w:type="dxa"/>
            </w:tcMar>
            <w:vAlign w:val="bottom"/>
          </w:tcPr>
          <w:p w14:paraId="054D6551" w14:textId="77777777" w:rsidR="00E47581" w:rsidRPr="00E803CA" w:rsidRDefault="00E47581" w:rsidP="00E47581">
            <w:pPr>
              <w:rPr>
                <w:sz w:val="22"/>
                <w:szCs w:val="22"/>
              </w:rPr>
            </w:pPr>
          </w:p>
        </w:tc>
        <w:tc>
          <w:tcPr>
            <w:tcW w:w="1418" w:type="dxa"/>
            <w:noWrap/>
            <w:tcMar>
              <w:top w:w="17" w:type="dxa"/>
              <w:left w:w="17" w:type="dxa"/>
              <w:bottom w:w="0" w:type="dxa"/>
              <w:right w:w="17" w:type="dxa"/>
            </w:tcMar>
            <w:vAlign w:val="bottom"/>
          </w:tcPr>
          <w:p w14:paraId="05349099" w14:textId="3612CF02" w:rsidR="00E47581" w:rsidRPr="00E803CA" w:rsidRDefault="009D621B" w:rsidP="00E47581">
            <w:pPr>
              <w:ind w:right="57"/>
              <w:jc w:val="right"/>
              <w:rPr>
                <w:sz w:val="22"/>
                <w:szCs w:val="22"/>
              </w:rPr>
            </w:pPr>
            <w:r>
              <w:rPr>
                <w:sz w:val="22"/>
                <w:szCs w:val="22"/>
              </w:rPr>
              <w:t>1,745</w:t>
            </w:r>
          </w:p>
        </w:tc>
        <w:tc>
          <w:tcPr>
            <w:tcW w:w="429" w:type="dxa"/>
            <w:vAlign w:val="bottom"/>
          </w:tcPr>
          <w:p w14:paraId="4C9BEB96" w14:textId="77777777" w:rsidR="00E47581" w:rsidRPr="00E803CA" w:rsidRDefault="00E47581" w:rsidP="00E47581">
            <w:pPr>
              <w:ind w:right="57"/>
              <w:jc w:val="right"/>
              <w:rPr>
                <w:sz w:val="22"/>
                <w:szCs w:val="22"/>
              </w:rPr>
            </w:pPr>
          </w:p>
        </w:tc>
        <w:tc>
          <w:tcPr>
            <w:tcW w:w="1272" w:type="dxa"/>
            <w:vAlign w:val="bottom"/>
          </w:tcPr>
          <w:p w14:paraId="14A9C791" w14:textId="3B397C00" w:rsidR="00E47581" w:rsidRPr="00E803CA" w:rsidRDefault="00E47581" w:rsidP="00E47581">
            <w:pPr>
              <w:ind w:right="57"/>
              <w:jc w:val="right"/>
              <w:rPr>
                <w:sz w:val="22"/>
                <w:szCs w:val="22"/>
              </w:rPr>
            </w:pPr>
            <w:r w:rsidRPr="00E803CA">
              <w:rPr>
                <w:sz w:val="22"/>
                <w:szCs w:val="22"/>
              </w:rPr>
              <w:t>(39,129)</w:t>
            </w:r>
          </w:p>
        </w:tc>
      </w:tr>
      <w:tr w:rsidR="00E47581" w:rsidRPr="00E803CA" w14:paraId="5C3B7FB1" w14:textId="77777777" w:rsidTr="00EF6905">
        <w:trPr>
          <w:trHeight w:val="255"/>
        </w:trPr>
        <w:tc>
          <w:tcPr>
            <w:tcW w:w="4421" w:type="dxa"/>
            <w:noWrap/>
            <w:tcMar>
              <w:top w:w="17" w:type="dxa"/>
              <w:left w:w="17" w:type="dxa"/>
              <w:bottom w:w="0" w:type="dxa"/>
              <w:right w:w="17" w:type="dxa"/>
            </w:tcMar>
            <w:vAlign w:val="bottom"/>
          </w:tcPr>
          <w:p w14:paraId="1C26CA18" w14:textId="77777777" w:rsidR="00E47581" w:rsidRPr="00E803CA" w:rsidRDefault="00E47581" w:rsidP="00E47581">
            <w:pPr>
              <w:rPr>
                <w:b/>
                <w:bCs/>
                <w:i/>
                <w:sz w:val="22"/>
                <w:szCs w:val="22"/>
              </w:rPr>
            </w:pPr>
          </w:p>
        </w:tc>
        <w:tc>
          <w:tcPr>
            <w:tcW w:w="1408" w:type="dxa"/>
            <w:noWrap/>
            <w:tcMar>
              <w:top w:w="17" w:type="dxa"/>
              <w:left w:w="17" w:type="dxa"/>
              <w:bottom w:w="0" w:type="dxa"/>
              <w:right w:w="17" w:type="dxa"/>
            </w:tcMar>
            <w:vAlign w:val="bottom"/>
          </w:tcPr>
          <w:p w14:paraId="1723BB03" w14:textId="77777777" w:rsidR="00E47581" w:rsidRPr="00E803CA" w:rsidRDefault="00E47581" w:rsidP="00E47581">
            <w:pPr>
              <w:rPr>
                <w:sz w:val="22"/>
                <w:szCs w:val="22"/>
              </w:rPr>
            </w:pPr>
          </w:p>
        </w:tc>
        <w:tc>
          <w:tcPr>
            <w:tcW w:w="1418" w:type="dxa"/>
            <w:noWrap/>
            <w:tcMar>
              <w:top w:w="17" w:type="dxa"/>
              <w:left w:w="17" w:type="dxa"/>
              <w:bottom w:w="0" w:type="dxa"/>
              <w:right w:w="17" w:type="dxa"/>
            </w:tcMar>
            <w:vAlign w:val="bottom"/>
          </w:tcPr>
          <w:p w14:paraId="50CA0FB8" w14:textId="77777777" w:rsidR="00E47581" w:rsidRPr="00E803CA" w:rsidRDefault="00E47581" w:rsidP="00E47581">
            <w:pPr>
              <w:ind w:right="57"/>
              <w:jc w:val="right"/>
              <w:rPr>
                <w:sz w:val="22"/>
                <w:szCs w:val="22"/>
              </w:rPr>
            </w:pPr>
          </w:p>
        </w:tc>
        <w:tc>
          <w:tcPr>
            <w:tcW w:w="429" w:type="dxa"/>
            <w:vAlign w:val="bottom"/>
          </w:tcPr>
          <w:p w14:paraId="72C9F76F" w14:textId="77777777" w:rsidR="00E47581" w:rsidRPr="00E803CA" w:rsidRDefault="00E47581" w:rsidP="00E47581">
            <w:pPr>
              <w:ind w:right="57"/>
              <w:jc w:val="right"/>
              <w:rPr>
                <w:sz w:val="22"/>
                <w:szCs w:val="22"/>
              </w:rPr>
            </w:pPr>
          </w:p>
        </w:tc>
        <w:tc>
          <w:tcPr>
            <w:tcW w:w="1272" w:type="dxa"/>
            <w:vAlign w:val="bottom"/>
          </w:tcPr>
          <w:p w14:paraId="49264540" w14:textId="77777777" w:rsidR="00E47581" w:rsidRPr="00E803CA" w:rsidRDefault="00E47581" w:rsidP="00E47581">
            <w:pPr>
              <w:ind w:right="57"/>
              <w:jc w:val="right"/>
              <w:rPr>
                <w:sz w:val="22"/>
                <w:szCs w:val="22"/>
              </w:rPr>
            </w:pPr>
          </w:p>
        </w:tc>
      </w:tr>
      <w:tr w:rsidR="00E47581" w:rsidRPr="00E803CA" w14:paraId="181C552F" w14:textId="77777777" w:rsidTr="00561A1B">
        <w:trPr>
          <w:trHeight w:val="256"/>
        </w:trPr>
        <w:tc>
          <w:tcPr>
            <w:tcW w:w="5829" w:type="dxa"/>
            <w:gridSpan w:val="2"/>
            <w:noWrap/>
            <w:tcMar>
              <w:top w:w="17" w:type="dxa"/>
              <w:left w:w="17" w:type="dxa"/>
              <w:bottom w:w="0" w:type="dxa"/>
              <w:right w:w="17" w:type="dxa"/>
            </w:tcMar>
            <w:vAlign w:val="bottom"/>
          </w:tcPr>
          <w:p w14:paraId="719E822A" w14:textId="77777777" w:rsidR="00E47581" w:rsidRPr="00E803CA" w:rsidRDefault="00E47581" w:rsidP="00E47581">
            <w:pPr>
              <w:rPr>
                <w:sz w:val="22"/>
                <w:szCs w:val="22"/>
              </w:rPr>
            </w:pPr>
            <w:r w:rsidRPr="00E803CA">
              <w:rPr>
                <w:b/>
                <w:bCs/>
                <w:sz w:val="22"/>
                <w:szCs w:val="22"/>
              </w:rPr>
              <w:t xml:space="preserve">Cash and cash equivalents at 1 April </w:t>
            </w:r>
          </w:p>
        </w:tc>
        <w:tc>
          <w:tcPr>
            <w:tcW w:w="1418" w:type="dxa"/>
            <w:noWrap/>
            <w:tcMar>
              <w:top w:w="17" w:type="dxa"/>
              <w:left w:w="17" w:type="dxa"/>
              <w:bottom w:w="0" w:type="dxa"/>
              <w:right w:w="17" w:type="dxa"/>
            </w:tcMar>
            <w:vAlign w:val="bottom"/>
          </w:tcPr>
          <w:p w14:paraId="68F46F6E" w14:textId="06B473EF" w:rsidR="00E47581" w:rsidRPr="00E803CA" w:rsidRDefault="00C75D4C" w:rsidP="00E47581">
            <w:pPr>
              <w:ind w:right="57"/>
              <w:jc w:val="right"/>
              <w:rPr>
                <w:sz w:val="22"/>
                <w:szCs w:val="22"/>
              </w:rPr>
            </w:pPr>
            <w:r>
              <w:rPr>
                <w:sz w:val="22"/>
                <w:szCs w:val="22"/>
              </w:rPr>
              <w:t>3,405</w:t>
            </w:r>
          </w:p>
        </w:tc>
        <w:tc>
          <w:tcPr>
            <w:tcW w:w="429" w:type="dxa"/>
            <w:vAlign w:val="bottom"/>
          </w:tcPr>
          <w:p w14:paraId="0463B7A4" w14:textId="77777777" w:rsidR="00E47581" w:rsidRPr="00E803CA" w:rsidRDefault="00E47581" w:rsidP="00E47581">
            <w:pPr>
              <w:ind w:right="57"/>
              <w:jc w:val="right"/>
              <w:rPr>
                <w:sz w:val="22"/>
                <w:szCs w:val="22"/>
                <w:u w:val="double"/>
              </w:rPr>
            </w:pPr>
          </w:p>
        </w:tc>
        <w:tc>
          <w:tcPr>
            <w:tcW w:w="1272" w:type="dxa"/>
            <w:shd w:val="clear" w:color="auto" w:fill="auto"/>
            <w:vAlign w:val="bottom"/>
          </w:tcPr>
          <w:p w14:paraId="0088B88B" w14:textId="557EF759" w:rsidR="00E47581" w:rsidRPr="00E803CA" w:rsidRDefault="00C75D4C" w:rsidP="00E47581">
            <w:pPr>
              <w:ind w:right="57"/>
              <w:jc w:val="right"/>
              <w:rPr>
                <w:sz w:val="22"/>
                <w:szCs w:val="22"/>
              </w:rPr>
            </w:pPr>
            <w:r>
              <w:rPr>
                <w:sz w:val="22"/>
                <w:szCs w:val="22"/>
              </w:rPr>
              <w:t>42,534</w:t>
            </w:r>
          </w:p>
        </w:tc>
      </w:tr>
      <w:tr w:rsidR="00E47581" w:rsidRPr="00E803CA" w14:paraId="7B161F28" w14:textId="77777777" w:rsidTr="00561A1B">
        <w:trPr>
          <w:trHeight w:val="256"/>
        </w:trPr>
        <w:tc>
          <w:tcPr>
            <w:tcW w:w="5829" w:type="dxa"/>
            <w:gridSpan w:val="2"/>
            <w:noWrap/>
            <w:tcMar>
              <w:top w:w="17" w:type="dxa"/>
              <w:left w:w="17" w:type="dxa"/>
              <w:bottom w:w="0" w:type="dxa"/>
              <w:right w:w="17" w:type="dxa"/>
            </w:tcMar>
            <w:vAlign w:val="bottom"/>
          </w:tcPr>
          <w:p w14:paraId="11FCB7C2" w14:textId="77777777" w:rsidR="00E47581" w:rsidRPr="00E803CA" w:rsidRDefault="00E47581" w:rsidP="00E47581">
            <w:pPr>
              <w:rPr>
                <w:sz w:val="22"/>
                <w:szCs w:val="22"/>
              </w:rPr>
            </w:pPr>
            <w:r w:rsidRPr="00E803CA">
              <w:rPr>
                <w:b/>
                <w:bCs/>
                <w:sz w:val="22"/>
                <w:szCs w:val="22"/>
              </w:rPr>
              <w:t>Cash and cash equivalents at 31 March</w:t>
            </w:r>
          </w:p>
        </w:tc>
        <w:tc>
          <w:tcPr>
            <w:tcW w:w="1418" w:type="dxa"/>
            <w:noWrap/>
            <w:tcMar>
              <w:top w:w="17" w:type="dxa"/>
              <w:left w:w="17" w:type="dxa"/>
              <w:bottom w:w="0" w:type="dxa"/>
              <w:right w:w="17" w:type="dxa"/>
            </w:tcMar>
            <w:vAlign w:val="bottom"/>
          </w:tcPr>
          <w:p w14:paraId="272237A0" w14:textId="6B863A7C" w:rsidR="00E47581" w:rsidRPr="00E803CA" w:rsidRDefault="009D621B" w:rsidP="00E47581">
            <w:pPr>
              <w:ind w:right="57"/>
              <w:jc w:val="right"/>
              <w:rPr>
                <w:sz w:val="22"/>
                <w:szCs w:val="22"/>
              </w:rPr>
            </w:pPr>
            <w:r>
              <w:rPr>
                <w:sz w:val="22"/>
                <w:szCs w:val="22"/>
              </w:rPr>
              <w:t>5,150</w:t>
            </w:r>
          </w:p>
        </w:tc>
        <w:tc>
          <w:tcPr>
            <w:tcW w:w="429" w:type="dxa"/>
            <w:vAlign w:val="bottom"/>
          </w:tcPr>
          <w:p w14:paraId="66BCC269" w14:textId="77777777" w:rsidR="00E47581" w:rsidRPr="00E803CA" w:rsidRDefault="00E47581" w:rsidP="00E47581">
            <w:pPr>
              <w:ind w:right="57"/>
              <w:jc w:val="right"/>
              <w:rPr>
                <w:sz w:val="22"/>
                <w:szCs w:val="22"/>
                <w:u w:val="double"/>
              </w:rPr>
            </w:pPr>
          </w:p>
        </w:tc>
        <w:tc>
          <w:tcPr>
            <w:tcW w:w="1272" w:type="dxa"/>
            <w:shd w:val="clear" w:color="auto" w:fill="auto"/>
            <w:vAlign w:val="bottom"/>
          </w:tcPr>
          <w:p w14:paraId="727B3110" w14:textId="0F366846" w:rsidR="00E47581" w:rsidRPr="00E803CA" w:rsidRDefault="00C75D4C" w:rsidP="00E47581">
            <w:pPr>
              <w:ind w:right="57"/>
              <w:jc w:val="right"/>
              <w:rPr>
                <w:sz w:val="22"/>
                <w:szCs w:val="22"/>
              </w:rPr>
            </w:pPr>
            <w:r>
              <w:rPr>
                <w:sz w:val="22"/>
                <w:szCs w:val="22"/>
              </w:rPr>
              <w:t>3,405</w:t>
            </w:r>
          </w:p>
        </w:tc>
      </w:tr>
      <w:tr w:rsidR="00CB1F0B" w:rsidRPr="00E803CA" w14:paraId="6DCADC70" w14:textId="77777777" w:rsidTr="000857F7">
        <w:trPr>
          <w:trHeight w:val="256"/>
        </w:trPr>
        <w:tc>
          <w:tcPr>
            <w:tcW w:w="5829" w:type="dxa"/>
            <w:gridSpan w:val="2"/>
            <w:noWrap/>
            <w:tcMar>
              <w:top w:w="17" w:type="dxa"/>
              <w:left w:w="17" w:type="dxa"/>
              <w:bottom w:w="0" w:type="dxa"/>
              <w:right w:w="17" w:type="dxa"/>
            </w:tcMar>
            <w:vAlign w:val="bottom"/>
          </w:tcPr>
          <w:p w14:paraId="1AB6348C" w14:textId="77777777" w:rsidR="00CB1F0B" w:rsidRPr="00E803CA" w:rsidRDefault="00CB1F0B" w:rsidP="00E803CA">
            <w:pPr>
              <w:rPr>
                <w:b/>
                <w:bCs/>
                <w:sz w:val="22"/>
                <w:szCs w:val="22"/>
              </w:rPr>
            </w:pPr>
          </w:p>
        </w:tc>
        <w:tc>
          <w:tcPr>
            <w:tcW w:w="1418" w:type="dxa"/>
            <w:tcBorders>
              <w:top w:val="single" w:sz="4" w:space="0" w:color="auto"/>
            </w:tcBorders>
            <w:noWrap/>
            <w:tcMar>
              <w:top w:w="17" w:type="dxa"/>
              <w:left w:w="17" w:type="dxa"/>
              <w:bottom w:w="0" w:type="dxa"/>
              <w:right w:w="17" w:type="dxa"/>
            </w:tcMar>
            <w:vAlign w:val="bottom"/>
          </w:tcPr>
          <w:p w14:paraId="5B0AB1CE" w14:textId="77777777" w:rsidR="00CB1F0B" w:rsidRPr="00E803CA" w:rsidRDefault="00CB1F0B" w:rsidP="00E803CA">
            <w:pPr>
              <w:ind w:right="57"/>
              <w:jc w:val="right"/>
              <w:rPr>
                <w:sz w:val="22"/>
                <w:szCs w:val="22"/>
              </w:rPr>
            </w:pPr>
          </w:p>
        </w:tc>
        <w:tc>
          <w:tcPr>
            <w:tcW w:w="429" w:type="dxa"/>
            <w:vAlign w:val="bottom"/>
          </w:tcPr>
          <w:p w14:paraId="44540899" w14:textId="77777777" w:rsidR="00CB1F0B" w:rsidRPr="00E803CA" w:rsidRDefault="00CB1F0B" w:rsidP="00E803CA">
            <w:pPr>
              <w:ind w:right="57"/>
              <w:jc w:val="right"/>
              <w:rPr>
                <w:sz w:val="22"/>
                <w:szCs w:val="22"/>
                <w:u w:val="double"/>
              </w:rPr>
            </w:pPr>
          </w:p>
        </w:tc>
        <w:tc>
          <w:tcPr>
            <w:tcW w:w="1272" w:type="dxa"/>
            <w:tcBorders>
              <w:top w:val="single" w:sz="4" w:space="0" w:color="auto"/>
            </w:tcBorders>
            <w:vAlign w:val="bottom"/>
          </w:tcPr>
          <w:p w14:paraId="66DAAA79" w14:textId="77777777" w:rsidR="00CB1F0B" w:rsidRPr="00E803CA" w:rsidRDefault="00CB1F0B" w:rsidP="00E803CA">
            <w:pPr>
              <w:ind w:right="57"/>
              <w:jc w:val="right"/>
              <w:rPr>
                <w:sz w:val="22"/>
                <w:szCs w:val="22"/>
              </w:rPr>
            </w:pPr>
          </w:p>
        </w:tc>
      </w:tr>
    </w:tbl>
    <w:p w14:paraId="1A77B7E4" w14:textId="57EBF835" w:rsidR="004661F2" w:rsidRPr="00151875" w:rsidRDefault="004661F2" w:rsidP="00E803CA">
      <w:pPr>
        <w:rPr>
          <w:sz w:val="22"/>
          <w:szCs w:val="22"/>
        </w:rPr>
      </w:pPr>
      <w:r w:rsidRPr="00E803CA">
        <w:rPr>
          <w:sz w:val="22"/>
          <w:szCs w:val="22"/>
        </w:rPr>
        <w:t xml:space="preserve">The notes on pages </w:t>
      </w:r>
      <w:r w:rsidR="00EF5726" w:rsidRPr="00E803CA">
        <w:rPr>
          <w:sz w:val="22"/>
          <w:szCs w:val="22"/>
        </w:rPr>
        <w:t>2</w:t>
      </w:r>
      <w:r w:rsidR="007D0D2A">
        <w:rPr>
          <w:sz w:val="22"/>
          <w:szCs w:val="22"/>
        </w:rPr>
        <w:t>1</w:t>
      </w:r>
      <w:r w:rsidRPr="00E803CA">
        <w:rPr>
          <w:sz w:val="22"/>
          <w:szCs w:val="22"/>
        </w:rPr>
        <w:t xml:space="preserve"> to </w:t>
      </w:r>
      <w:r w:rsidR="008E5E91" w:rsidRPr="00E803CA">
        <w:rPr>
          <w:sz w:val="22"/>
          <w:szCs w:val="22"/>
        </w:rPr>
        <w:t>4</w:t>
      </w:r>
      <w:r w:rsidR="007D0D2A">
        <w:rPr>
          <w:sz w:val="22"/>
          <w:szCs w:val="22"/>
        </w:rPr>
        <w:t>2</w:t>
      </w:r>
      <w:r w:rsidRPr="00E803CA">
        <w:rPr>
          <w:sz w:val="22"/>
          <w:szCs w:val="22"/>
        </w:rPr>
        <w:t xml:space="preserve"> form part of these</w:t>
      </w:r>
      <w:r w:rsidRPr="00151875">
        <w:rPr>
          <w:sz w:val="22"/>
          <w:szCs w:val="22"/>
        </w:rPr>
        <w:t xml:space="preserve"> financial statements.</w:t>
      </w:r>
    </w:p>
    <w:p w14:paraId="7DD65B66" w14:textId="77777777" w:rsidR="00BC4E09" w:rsidRPr="004D388B" w:rsidRDefault="00BC4E09" w:rsidP="00E803CA">
      <w:pPr>
        <w:rPr>
          <w:b/>
          <w:sz w:val="22"/>
          <w:szCs w:val="22"/>
          <w:highlight w:val="yellow"/>
        </w:rPr>
      </w:pPr>
    </w:p>
    <w:p w14:paraId="237D5364" w14:textId="77777777" w:rsidR="00BF40E6" w:rsidRDefault="00BC4E09" w:rsidP="00B7511E">
      <w:pPr>
        <w:rPr>
          <w:b/>
          <w:sz w:val="22"/>
          <w:szCs w:val="22"/>
        </w:rPr>
      </w:pPr>
      <w:r w:rsidRPr="004D388B">
        <w:rPr>
          <w:b/>
          <w:sz w:val="22"/>
          <w:szCs w:val="22"/>
          <w:highlight w:val="yellow"/>
        </w:rPr>
        <w:br w:type="page"/>
      </w:r>
    </w:p>
    <w:p w14:paraId="19F4D635" w14:textId="407B40BD" w:rsidR="008B4A32" w:rsidRPr="00220301" w:rsidRDefault="008B4A32" w:rsidP="00B7511E">
      <w:pPr>
        <w:rPr>
          <w:b/>
          <w:sz w:val="22"/>
          <w:szCs w:val="22"/>
        </w:rPr>
      </w:pPr>
      <w:r w:rsidRPr="00220301">
        <w:rPr>
          <w:b/>
          <w:sz w:val="22"/>
          <w:szCs w:val="22"/>
        </w:rPr>
        <w:lastRenderedPageBreak/>
        <w:t>NOTES TO THE</w:t>
      </w:r>
      <w:r w:rsidR="00DE46F0" w:rsidRPr="00220301">
        <w:rPr>
          <w:b/>
          <w:sz w:val="22"/>
          <w:szCs w:val="22"/>
        </w:rPr>
        <w:t xml:space="preserve"> </w:t>
      </w:r>
      <w:r w:rsidRPr="00220301">
        <w:rPr>
          <w:b/>
          <w:sz w:val="22"/>
          <w:szCs w:val="22"/>
        </w:rPr>
        <w:t xml:space="preserve">FINANCIAL STATEMENTS </w:t>
      </w:r>
      <w:r w:rsidR="00366538" w:rsidRPr="00220301">
        <w:rPr>
          <w:b/>
          <w:sz w:val="22"/>
          <w:szCs w:val="22"/>
        </w:rPr>
        <w:t>FOR THE YEAR ENDED 31</w:t>
      </w:r>
      <w:r w:rsidR="008B2290" w:rsidRPr="00220301">
        <w:rPr>
          <w:b/>
          <w:sz w:val="22"/>
          <w:szCs w:val="22"/>
        </w:rPr>
        <w:t xml:space="preserve"> </w:t>
      </w:r>
      <w:r w:rsidR="00366538" w:rsidRPr="00220301">
        <w:rPr>
          <w:b/>
          <w:sz w:val="22"/>
          <w:szCs w:val="22"/>
        </w:rPr>
        <w:t>MARCH 202</w:t>
      </w:r>
      <w:r w:rsidR="00561A1B">
        <w:rPr>
          <w:b/>
          <w:sz w:val="22"/>
          <w:szCs w:val="22"/>
        </w:rPr>
        <w:t>4</w:t>
      </w:r>
      <w:r w:rsidRPr="00220301">
        <w:rPr>
          <w:b/>
          <w:sz w:val="22"/>
          <w:szCs w:val="22"/>
        </w:rPr>
        <w:fldChar w:fldCharType="begin"/>
      </w:r>
      <w:r w:rsidRPr="00220301">
        <w:rPr>
          <w:b/>
          <w:sz w:val="22"/>
          <w:szCs w:val="22"/>
        </w:rPr>
        <w:instrText xml:space="preserve"> TC "</w:instrText>
      </w:r>
      <w:bookmarkStart w:id="11" w:name="_Toc394330998"/>
      <w:r w:rsidRPr="00220301">
        <w:rPr>
          <w:b/>
          <w:sz w:val="22"/>
          <w:szCs w:val="22"/>
        </w:rPr>
        <w:instrText>NOTES TO THE FINANCIAL STATEMENTS</w:instrText>
      </w:r>
      <w:bookmarkEnd w:id="11"/>
      <w:r w:rsidRPr="00220301">
        <w:rPr>
          <w:b/>
          <w:sz w:val="22"/>
          <w:szCs w:val="22"/>
        </w:rPr>
        <w:instrText xml:space="preserve">" \f C \l "1" </w:instrText>
      </w:r>
      <w:r w:rsidRPr="00220301">
        <w:rPr>
          <w:b/>
          <w:sz w:val="22"/>
          <w:szCs w:val="22"/>
        </w:rPr>
        <w:fldChar w:fldCharType="end"/>
      </w:r>
    </w:p>
    <w:p w14:paraId="60CA6F8A" w14:textId="77777777" w:rsidR="008B4A32" w:rsidRPr="007E3C50" w:rsidRDefault="008B4A32" w:rsidP="008B4A32">
      <w:pPr>
        <w:rPr>
          <w:sz w:val="22"/>
          <w:szCs w:val="22"/>
        </w:rPr>
      </w:pPr>
    </w:p>
    <w:p w14:paraId="5125FB7D" w14:textId="77777777" w:rsidR="00262BCC" w:rsidRPr="007E3C50" w:rsidRDefault="00262BCC" w:rsidP="00E520D8">
      <w:pPr>
        <w:numPr>
          <w:ilvl w:val="3"/>
          <w:numId w:val="5"/>
        </w:numPr>
        <w:ind w:left="567" w:hanging="567"/>
        <w:rPr>
          <w:b/>
          <w:sz w:val="22"/>
          <w:szCs w:val="22"/>
        </w:rPr>
      </w:pPr>
      <w:r w:rsidRPr="007E3C50">
        <w:rPr>
          <w:b/>
          <w:sz w:val="22"/>
          <w:szCs w:val="22"/>
        </w:rPr>
        <w:t>Legal status</w:t>
      </w:r>
    </w:p>
    <w:p w14:paraId="392DDC01" w14:textId="77777777" w:rsidR="00C155AE" w:rsidRDefault="00C155AE" w:rsidP="00262BCC">
      <w:pPr>
        <w:pStyle w:val="BodyText"/>
        <w:jc w:val="both"/>
        <w:rPr>
          <w:sz w:val="22"/>
          <w:szCs w:val="22"/>
        </w:rPr>
      </w:pPr>
    </w:p>
    <w:p w14:paraId="0BA36121" w14:textId="49F082A7" w:rsidR="00262BCC" w:rsidRPr="008B2290" w:rsidRDefault="008B2290" w:rsidP="008B2290">
      <w:pPr>
        <w:pStyle w:val="BodyText"/>
        <w:jc w:val="both"/>
        <w:rPr>
          <w:sz w:val="22"/>
          <w:szCs w:val="22"/>
        </w:rPr>
      </w:pPr>
      <w:r>
        <w:rPr>
          <w:sz w:val="22"/>
          <w:szCs w:val="22"/>
        </w:rPr>
        <w:t>Wheatley Homes South</w:t>
      </w:r>
      <w:r w:rsidR="00525140">
        <w:rPr>
          <w:sz w:val="22"/>
          <w:szCs w:val="22"/>
        </w:rPr>
        <w:t xml:space="preserve"> Limited (“</w:t>
      </w:r>
      <w:r>
        <w:rPr>
          <w:sz w:val="22"/>
          <w:szCs w:val="22"/>
        </w:rPr>
        <w:t>WHS</w:t>
      </w:r>
      <w:r w:rsidR="00262BCC" w:rsidRPr="007E3C50">
        <w:rPr>
          <w:sz w:val="22"/>
          <w:szCs w:val="22"/>
        </w:rPr>
        <w:t xml:space="preserve">” or “the Company”) is a </w:t>
      </w:r>
      <w:r w:rsidR="00495488">
        <w:rPr>
          <w:sz w:val="22"/>
          <w:szCs w:val="22"/>
        </w:rPr>
        <w:t>wholly owned subsidiary of The Wheatley Housing Group (“WHG</w:t>
      </w:r>
      <w:r w:rsidR="00495488" w:rsidRPr="00BF4582">
        <w:rPr>
          <w:sz w:val="22"/>
          <w:szCs w:val="22"/>
        </w:rPr>
        <w:t xml:space="preserve">”). </w:t>
      </w:r>
      <w:r w:rsidR="00525140" w:rsidRPr="00BF4582">
        <w:rPr>
          <w:sz w:val="22"/>
          <w:szCs w:val="22"/>
        </w:rPr>
        <w:t>The Company</w:t>
      </w:r>
      <w:r w:rsidR="00495488" w:rsidRPr="00BF4582">
        <w:rPr>
          <w:sz w:val="22"/>
          <w:szCs w:val="22"/>
        </w:rPr>
        <w:t xml:space="preserve"> is</w:t>
      </w:r>
      <w:r w:rsidR="00BF4582" w:rsidRPr="00BF4582">
        <w:rPr>
          <w:sz w:val="22"/>
          <w:szCs w:val="22"/>
        </w:rPr>
        <w:t xml:space="preserve"> limited by gu</w:t>
      </w:r>
      <w:r w:rsidR="00525140" w:rsidRPr="00BF4582">
        <w:rPr>
          <w:sz w:val="22"/>
          <w:szCs w:val="22"/>
        </w:rPr>
        <w:t>arantee and registered under the Companies Act,</w:t>
      </w:r>
      <w:r w:rsidR="00495488" w:rsidRPr="00BF4582">
        <w:rPr>
          <w:sz w:val="22"/>
          <w:szCs w:val="22"/>
        </w:rPr>
        <w:t xml:space="preserve"> is a regist</w:t>
      </w:r>
      <w:r w:rsidR="00525140" w:rsidRPr="00BF4582">
        <w:rPr>
          <w:sz w:val="22"/>
          <w:szCs w:val="22"/>
        </w:rPr>
        <w:t xml:space="preserve">ered Scottish Charity No.SC039896 and </w:t>
      </w:r>
      <w:r w:rsidR="001960C1">
        <w:rPr>
          <w:sz w:val="22"/>
          <w:szCs w:val="22"/>
        </w:rPr>
        <w:t>W</w:t>
      </w:r>
      <w:r w:rsidR="00F04F1D">
        <w:rPr>
          <w:sz w:val="22"/>
          <w:szCs w:val="22"/>
        </w:rPr>
        <w:t>HS</w:t>
      </w:r>
      <w:r w:rsidR="00495488">
        <w:rPr>
          <w:sz w:val="22"/>
          <w:szCs w:val="22"/>
        </w:rPr>
        <w:t xml:space="preserve"> is registered</w:t>
      </w:r>
      <w:r w:rsidR="00C155AE">
        <w:rPr>
          <w:sz w:val="22"/>
          <w:szCs w:val="22"/>
        </w:rPr>
        <w:t xml:space="preserve"> as a housing association with the Scottish Housing Regulator under the Housing (Scotland) Act 2014. </w:t>
      </w:r>
      <w:r w:rsidR="00F04F1D">
        <w:rPr>
          <w:sz w:val="22"/>
          <w:szCs w:val="22"/>
        </w:rPr>
        <w:t xml:space="preserve">                     </w:t>
      </w:r>
      <w:r w:rsidR="00C155AE">
        <w:rPr>
          <w:sz w:val="22"/>
          <w:szCs w:val="22"/>
        </w:rPr>
        <w:t>The princip</w:t>
      </w:r>
      <w:r w:rsidR="00DB574B">
        <w:rPr>
          <w:sz w:val="22"/>
          <w:szCs w:val="22"/>
        </w:rPr>
        <w:t>al</w:t>
      </w:r>
      <w:r w:rsidR="00C155AE">
        <w:rPr>
          <w:sz w:val="22"/>
          <w:szCs w:val="22"/>
        </w:rPr>
        <w:t xml:space="preserve"> activity of the </w:t>
      </w:r>
      <w:r w:rsidR="00F04F1D">
        <w:rPr>
          <w:sz w:val="22"/>
          <w:szCs w:val="22"/>
        </w:rPr>
        <w:t xml:space="preserve">Company </w:t>
      </w:r>
      <w:r w:rsidR="00C155AE">
        <w:rPr>
          <w:sz w:val="22"/>
          <w:szCs w:val="22"/>
        </w:rPr>
        <w:t xml:space="preserve">is the provision of social housing and </w:t>
      </w:r>
      <w:r w:rsidR="00C155AE" w:rsidRPr="007E3C50">
        <w:rPr>
          <w:sz w:val="22"/>
        </w:rPr>
        <w:t>as</w:t>
      </w:r>
      <w:r w:rsidR="00BF4582">
        <w:rPr>
          <w:sz w:val="22"/>
        </w:rPr>
        <w:t>sociated housing management services</w:t>
      </w:r>
      <w:r w:rsidR="00C155AE">
        <w:rPr>
          <w:sz w:val="22"/>
          <w:szCs w:val="22"/>
        </w:rPr>
        <w:t>.</w:t>
      </w:r>
      <w:r>
        <w:rPr>
          <w:sz w:val="22"/>
          <w:szCs w:val="22"/>
        </w:rPr>
        <w:t xml:space="preserve"> </w:t>
      </w:r>
      <w:r w:rsidR="00525140">
        <w:rPr>
          <w:sz w:val="22"/>
        </w:rPr>
        <w:t xml:space="preserve">The Company </w:t>
      </w:r>
      <w:r w:rsidR="00262BCC" w:rsidRPr="007E3C50">
        <w:rPr>
          <w:sz w:val="22"/>
        </w:rPr>
        <w:t xml:space="preserve">registered office is </w:t>
      </w:r>
      <w:r w:rsidR="009D601B">
        <w:rPr>
          <w:sz w:val="22"/>
        </w:rPr>
        <w:t xml:space="preserve">Wheatley House, 25 Cochrane Street, Glasgow G1 </w:t>
      </w:r>
      <w:r w:rsidR="00940690">
        <w:rPr>
          <w:sz w:val="22"/>
        </w:rPr>
        <w:t>1HL.</w:t>
      </w:r>
    </w:p>
    <w:p w14:paraId="15D1F6EC" w14:textId="77777777" w:rsidR="00CB1F0B" w:rsidRDefault="00CB1F0B" w:rsidP="00262BCC">
      <w:pPr>
        <w:pStyle w:val="BodyText"/>
        <w:jc w:val="both"/>
        <w:rPr>
          <w:sz w:val="22"/>
        </w:rPr>
      </w:pPr>
    </w:p>
    <w:p w14:paraId="32FA7D99" w14:textId="7317D473" w:rsidR="00CB1F0B" w:rsidRPr="007E3C50" w:rsidRDefault="008B2290" w:rsidP="00262BCC">
      <w:pPr>
        <w:pStyle w:val="BodyText"/>
        <w:jc w:val="both"/>
        <w:rPr>
          <w:sz w:val="22"/>
        </w:rPr>
      </w:pPr>
      <w:r>
        <w:rPr>
          <w:sz w:val="22"/>
          <w:szCs w:val="22"/>
        </w:rPr>
        <w:t xml:space="preserve">Wheatley Homes South Limited </w:t>
      </w:r>
      <w:r w:rsidR="00CB1F0B">
        <w:rPr>
          <w:sz w:val="22"/>
        </w:rPr>
        <w:t xml:space="preserve">is a </w:t>
      </w:r>
      <w:r w:rsidR="00CB1F0B" w:rsidRPr="00BF40E6">
        <w:rPr>
          <w:sz w:val="22"/>
        </w:rPr>
        <w:t>public benefit entity.</w:t>
      </w:r>
    </w:p>
    <w:p w14:paraId="4EB12375" w14:textId="77777777" w:rsidR="00262BCC" w:rsidRPr="007E3C50" w:rsidRDefault="00262BCC" w:rsidP="007B47A8">
      <w:pPr>
        <w:rPr>
          <w:b/>
          <w:sz w:val="22"/>
          <w:szCs w:val="22"/>
        </w:rPr>
      </w:pPr>
    </w:p>
    <w:p w14:paraId="7CAA2747" w14:textId="77777777" w:rsidR="008B4A32" w:rsidRPr="007E3C50" w:rsidRDefault="00262BCC" w:rsidP="0013314B">
      <w:pPr>
        <w:tabs>
          <w:tab w:val="left" w:pos="540"/>
        </w:tabs>
        <w:rPr>
          <w:b/>
          <w:sz w:val="22"/>
          <w:szCs w:val="22"/>
        </w:rPr>
      </w:pPr>
      <w:r w:rsidRPr="007E3C50">
        <w:rPr>
          <w:b/>
          <w:sz w:val="22"/>
          <w:szCs w:val="22"/>
        </w:rPr>
        <w:t>2</w:t>
      </w:r>
      <w:r w:rsidR="008B4A32" w:rsidRPr="007E3C50">
        <w:rPr>
          <w:b/>
          <w:sz w:val="22"/>
          <w:szCs w:val="22"/>
        </w:rPr>
        <w:t>.</w:t>
      </w:r>
      <w:r w:rsidR="008B4A32" w:rsidRPr="007E3C50">
        <w:rPr>
          <w:b/>
          <w:sz w:val="22"/>
          <w:szCs w:val="22"/>
        </w:rPr>
        <w:tab/>
        <w:t>Accounting policies</w:t>
      </w:r>
    </w:p>
    <w:p w14:paraId="26B1BE96" w14:textId="77777777" w:rsidR="00C155AE" w:rsidRDefault="00C155AE" w:rsidP="0013314B">
      <w:pPr>
        <w:jc w:val="both"/>
        <w:rPr>
          <w:sz w:val="22"/>
          <w:szCs w:val="22"/>
        </w:rPr>
      </w:pPr>
    </w:p>
    <w:p w14:paraId="0BE95AA2" w14:textId="77777777" w:rsidR="008B4A32" w:rsidRPr="006C4F4C" w:rsidRDefault="008B4A32" w:rsidP="0013314B">
      <w:pPr>
        <w:jc w:val="both"/>
        <w:rPr>
          <w:sz w:val="22"/>
          <w:szCs w:val="22"/>
        </w:rPr>
      </w:pPr>
      <w:r w:rsidRPr="007E3C50">
        <w:rPr>
          <w:sz w:val="22"/>
          <w:szCs w:val="22"/>
        </w:rPr>
        <w:t xml:space="preserve">The following accounting policies have been applied consistently in dealing with items which are </w:t>
      </w:r>
      <w:r w:rsidRPr="006C4F4C">
        <w:rPr>
          <w:sz w:val="22"/>
          <w:szCs w:val="22"/>
        </w:rPr>
        <w:t>considered material in relat</w:t>
      </w:r>
      <w:r w:rsidR="00BF4582">
        <w:rPr>
          <w:sz w:val="22"/>
          <w:szCs w:val="22"/>
        </w:rPr>
        <w:t xml:space="preserve">ion to the financial statements to all periods presented in these financial statements. </w:t>
      </w:r>
    </w:p>
    <w:p w14:paraId="1246C009" w14:textId="77777777" w:rsidR="008B4A32" w:rsidRPr="006C4F4C" w:rsidRDefault="008B4A32" w:rsidP="0013314B">
      <w:pPr>
        <w:jc w:val="both"/>
        <w:rPr>
          <w:sz w:val="22"/>
          <w:szCs w:val="22"/>
        </w:rPr>
      </w:pPr>
    </w:p>
    <w:p w14:paraId="3F41E22D" w14:textId="77777777" w:rsidR="008B4A32" w:rsidRDefault="00891135" w:rsidP="0013314B">
      <w:pPr>
        <w:jc w:val="both"/>
        <w:rPr>
          <w:b/>
          <w:sz w:val="22"/>
          <w:szCs w:val="22"/>
        </w:rPr>
      </w:pPr>
      <w:r>
        <w:rPr>
          <w:b/>
          <w:sz w:val="22"/>
          <w:szCs w:val="22"/>
        </w:rPr>
        <w:t>Basis of preparation</w:t>
      </w:r>
    </w:p>
    <w:p w14:paraId="5D8EA812" w14:textId="372733E8" w:rsidR="003903AE" w:rsidRDefault="008B4A32" w:rsidP="0013314B">
      <w:pPr>
        <w:jc w:val="both"/>
        <w:rPr>
          <w:sz w:val="22"/>
        </w:rPr>
      </w:pPr>
      <w:r w:rsidRPr="006C4F4C">
        <w:rPr>
          <w:sz w:val="22"/>
          <w:szCs w:val="22"/>
        </w:rPr>
        <w:t xml:space="preserve">The financial statements </w:t>
      </w:r>
      <w:r w:rsidR="00BF4582">
        <w:rPr>
          <w:sz w:val="22"/>
          <w:szCs w:val="22"/>
        </w:rPr>
        <w:t xml:space="preserve">of </w:t>
      </w:r>
      <w:r w:rsidR="003903AE">
        <w:rPr>
          <w:sz w:val="22"/>
          <w:szCs w:val="22"/>
        </w:rPr>
        <w:t xml:space="preserve">the Company </w:t>
      </w:r>
      <w:r w:rsidR="00CB1F0B">
        <w:rPr>
          <w:sz w:val="22"/>
          <w:szCs w:val="22"/>
        </w:rPr>
        <w:t>are</w:t>
      </w:r>
      <w:r w:rsidR="00C155AE">
        <w:rPr>
          <w:sz w:val="22"/>
          <w:szCs w:val="22"/>
        </w:rPr>
        <w:t xml:space="preserve"> prepared </w:t>
      </w:r>
      <w:r w:rsidR="003903AE" w:rsidRPr="00CB15E7">
        <w:rPr>
          <w:sz w:val="22"/>
        </w:rPr>
        <w:t>in accordance with applicable accounting standards and in accordance with the accounting requirements included with the Determination</w:t>
      </w:r>
      <w:r w:rsidR="00BF4582">
        <w:rPr>
          <w:sz w:val="22"/>
        </w:rPr>
        <w:t xml:space="preserve"> of Accounting Requirements 20</w:t>
      </w:r>
      <w:r w:rsidR="00D524D9">
        <w:rPr>
          <w:sz w:val="22"/>
        </w:rPr>
        <w:t>24</w:t>
      </w:r>
      <w:r w:rsidR="003903AE" w:rsidRPr="00CB15E7">
        <w:rPr>
          <w:sz w:val="22"/>
        </w:rPr>
        <w:t>, and under the historical cost accounting rules, modified to include the revaluation of properties held for lett</w:t>
      </w:r>
      <w:r w:rsidR="00CB1F0B">
        <w:rPr>
          <w:sz w:val="22"/>
        </w:rPr>
        <w:t xml:space="preserve">ing and commercial properties. </w:t>
      </w:r>
      <w:r w:rsidR="003903AE" w:rsidRPr="00CB15E7">
        <w:rPr>
          <w:sz w:val="22"/>
        </w:rPr>
        <w:t xml:space="preserve">The financial statements have also been prepared in accordance with the Statement of Recommended Practice for social housing providers 2014 (“SORP 2014”), issued by the National Housing Federation and under FRS 102. </w:t>
      </w:r>
      <w:r w:rsidR="00CB1F0B">
        <w:rPr>
          <w:sz w:val="22"/>
        </w:rPr>
        <w:t xml:space="preserve">The presentational currency of these financial statements is Sterling. All amounts in the financial statements have been rounded to the nearest £1,000. </w:t>
      </w:r>
    </w:p>
    <w:p w14:paraId="2DB2EA49" w14:textId="77777777" w:rsidR="00035EEE" w:rsidRDefault="00035EEE" w:rsidP="0013314B">
      <w:pPr>
        <w:jc w:val="both"/>
        <w:rPr>
          <w:sz w:val="22"/>
        </w:rPr>
      </w:pPr>
    </w:p>
    <w:p w14:paraId="5F1A0D52" w14:textId="77777777" w:rsidR="00891135" w:rsidRDefault="00891135" w:rsidP="00891135">
      <w:pPr>
        <w:jc w:val="both"/>
        <w:rPr>
          <w:sz w:val="22"/>
        </w:rPr>
      </w:pPr>
      <w:r w:rsidRPr="00891135">
        <w:rPr>
          <w:sz w:val="22"/>
        </w:rPr>
        <w:t>The financial statements have been prepared on a going concern basis which the Board considers to be appropriate for the following reasons.</w:t>
      </w:r>
    </w:p>
    <w:p w14:paraId="057DEB2B" w14:textId="77777777" w:rsidR="00891135" w:rsidRPr="00891135" w:rsidRDefault="00891135" w:rsidP="00891135">
      <w:pPr>
        <w:jc w:val="both"/>
        <w:rPr>
          <w:sz w:val="22"/>
        </w:rPr>
      </w:pPr>
    </w:p>
    <w:p w14:paraId="02618C05" w14:textId="6187B59F" w:rsidR="001C376B" w:rsidRPr="001C376B" w:rsidRDefault="0024004C" w:rsidP="001C376B">
      <w:pPr>
        <w:jc w:val="both"/>
        <w:rPr>
          <w:sz w:val="22"/>
          <w:szCs w:val="22"/>
        </w:rPr>
      </w:pPr>
      <w:r w:rsidRPr="007F6B97">
        <w:rPr>
          <w:sz w:val="22"/>
          <w:szCs w:val="22"/>
        </w:rPr>
        <w:t xml:space="preserve">The Group and </w:t>
      </w:r>
      <w:r w:rsidR="00426947">
        <w:rPr>
          <w:sz w:val="22"/>
          <w:szCs w:val="22"/>
        </w:rPr>
        <w:t>Company</w:t>
      </w:r>
      <w:r w:rsidRPr="007F6B97">
        <w:rPr>
          <w:sz w:val="22"/>
          <w:szCs w:val="22"/>
        </w:rPr>
        <w:t xml:space="preserve"> prepares a 30-year business plan which is updated and approved on an annual basis.  The most recent business plan was approved in February 202</w:t>
      </w:r>
      <w:r>
        <w:rPr>
          <w:sz w:val="22"/>
          <w:szCs w:val="22"/>
        </w:rPr>
        <w:t>4</w:t>
      </w:r>
      <w:r w:rsidRPr="007F6B97">
        <w:rPr>
          <w:sz w:val="22"/>
          <w:szCs w:val="22"/>
        </w:rPr>
        <w:t xml:space="preserve"> by the Board.  </w:t>
      </w:r>
      <w:r w:rsidR="001C376B" w:rsidRPr="001C376B">
        <w:rPr>
          <w:sz w:val="22"/>
          <w:szCs w:val="22"/>
        </w:rPr>
        <w:t xml:space="preserve">As well as considering the impact of a number of scenarios on the business plan the Board also adopted a stress testing framework against the base plan recognising that 2023/24 has been a year where challenging economic conditions prevailed including sustained high inflation rates. The stress testing impacts were measured against loan covenants and peak borrowing levels compared to agreed facilities, with potential mitigating actions identified to reduce expenditure.  </w:t>
      </w:r>
    </w:p>
    <w:p w14:paraId="73454493" w14:textId="77777777" w:rsidR="001C376B" w:rsidRPr="001C376B" w:rsidRDefault="001C376B" w:rsidP="001C376B">
      <w:pPr>
        <w:jc w:val="both"/>
        <w:rPr>
          <w:sz w:val="22"/>
          <w:szCs w:val="22"/>
        </w:rPr>
      </w:pPr>
    </w:p>
    <w:p w14:paraId="52AF6F51" w14:textId="118DF4EE" w:rsidR="0024004C" w:rsidRPr="00D55363" w:rsidRDefault="00D31F0A" w:rsidP="0024004C">
      <w:pPr>
        <w:jc w:val="both"/>
        <w:rPr>
          <w:sz w:val="22"/>
        </w:rPr>
      </w:pPr>
      <w:r w:rsidRPr="00891135">
        <w:rPr>
          <w:sz w:val="22"/>
        </w:rPr>
        <w:t xml:space="preserve">The Board, after reviewing the </w:t>
      </w:r>
      <w:r w:rsidR="001C376B" w:rsidRPr="001C376B">
        <w:rPr>
          <w:sz w:val="22"/>
          <w:szCs w:val="22"/>
        </w:rPr>
        <w:t xml:space="preserve">Group and </w:t>
      </w:r>
      <w:r w:rsidR="006E17AD">
        <w:rPr>
          <w:sz w:val="22"/>
          <w:szCs w:val="22"/>
        </w:rPr>
        <w:t>Company</w:t>
      </w:r>
      <w:r w:rsidR="001C376B" w:rsidRPr="001C376B">
        <w:rPr>
          <w:sz w:val="22"/>
          <w:szCs w:val="22"/>
        </w:rPr>
        <w:t xml:space="preserve"> budgets</w:t>
      </w:r>
      <w:r w:rsidRPr="00891135">
        <w:rPr>
          <w:sz w:val="22"/>
        </w:rPr>
        <w:t xml:space="preserve"> for 202</w:t>
      </w:r>
      <w:r w:rsidR="008C6FBB">
        <w:rPr>
          <w:sz w:val="22"/>
        </w:rPr>
        <w:t>4</w:t>
      </w:r>
      <w:r w:rsidRPr="00891135">
        <w:rPr>
          <w:sz w:val="22"/>
        </w:rPr>
        <w:t>/2</w:t>
      </w:r>
      <w:r w:rsidR="008C6FBB">
        <w:rPr>
          <w:sz w:val="22"/>
        </w:rPr>
        <w:t>5</w:t>
      </w:r>
      <w:r w:rsidRPr="00891135">
        <w:rPr>
          <w:sz w:val="22"/>
        </w:rPr>
        <w:t xml:space="preserve"> and the </w:t>
      </w:r>
      <w:r w:rsidR="001C376B" w:rsidRPr="001C376B">
        <w:rPr>
          <w:sz w:val="22"/>
          <w:szCs w:val="22"/>
        </w:rPr>
        <w:t xml:space="preserve">Group and </w:t>
      </w:r>
      <w:r w:rsidR="006E17AD">
        <w:rPr>
          <w:sz w:val="22"/>
          <w:szCs w:val="22"/>
        </w:rPr>
        <w:t>Company’s</w:t>
      </w:r>
      <w:r w:rsidRPr="00891135">
        <w:rPr>
          <w:sz w:val="22"/>
        </w:rPr>
        <w:t xml:space="preserve"> financial position as forecast in the 30-year business plan</w:t>
      </w:r>
      <w:r w:rsidR="001C376B" w:rsidRPr="001C376B">
        <w:rPr>
          <w:sz w:val="22"/>
          <w:szCs w:val="22"/>
        </w:rPr>
        <w:t>,</w:t>
      </w:r>
      <w:r w:rsidRPr="00891135">
        <w:rPr>
          <w:sz w:val="22"/>
        </w:rPr>
        <w:t xml:space="preserve"> is of the opinion that, taking account of severe but plausible downsides, the </w:t>
      </w:r>
      <w:r w:rsidR="001C376B" w:rsidRPr="001C376B">
        <w:rPr>
          <w:sz w:val="22"/>
          <w:szCs w:val="22"/>
        </w:rPr>
        <w:t xml:space="preserve">Group and </w:t>
      </w:r>
      <w:r w:rsidR="00253F3D">
        <w:rPr>
          <w:sz w:val="22"/>
          <w:szCs w:val="22"/>
        </w:rPr>
        <w:t>Company</w:t>
      </w:r>
      <w:r w:rsidR="001C376B" w:rsidRPr="001C376B">
        <w:rPr>
          <w:sz w:val="22"/>
          <w:szCs w:val="22"/>
        </w:rPr>
        <w:t xml:space="preserve"> have</w:t>
      </w:r>
      <w:r w:rsidRPr="00891135">
        <w:rPr>
          <w:sz w:val="22"/>
        </w:rPr>
        <w:t xml:space="preserve"> adequate resources to continue to meet their liabilities over the period of 12 months from the date of approval of</w:t>
      </w:r>
      <w:r>
        <w:rPr>
          <w:sz w:val="22"/>
        </w:rPr>
        <w:t xml:space="preserve"> the financial statements (the </w:t>
      </w:r>
      <w:r w:rsidRPr="00891135">
        <w:rPr>
          <w:sz w:val="22"/>
        </w:rPr>
        <w:t>going concern assessment period).</w:t>
      </w:r>
      <w:r w:rsidR="0024004C" w:rsidRPr="00D55363">
        <w:rPr>
          <w:sz w:val="22"/>
        </w:rPr>
        <w:t> </w:t>
      </w:r>
      <w:r w:rsidR="001C376B" w:rsidRPr="001C376B">
        <w:rPr>
          <w:sz w:val="22"/>
          <w:szCs w:val="22"/>
        </w:rPr>
        <w:t xml:space="preserve"> In reaching this conclusion, the Board has considered the following factors:</w:t>
      </w:r>
    </w:p>
    <w:p w14:paraId="5086A934" w14:textId="65BE4EED" w:rsidR="00953835" w:rsidRDefault="00953835" w:rsidP="001C376B">
      <w:pPr>
        <w:jc w:val="both"/>
        <w:rPr>
          <w:b/>
        </w:rPr>
      </w:pPr>
      <w:r>
        <w:rPr>
          <w:b/>
        </w:rPr>
        <w:br w:type="page"/>
      </w:r>
    </w:p>
    <w:p w14:paraId="0D8AC148" w14:textId="76D882B1" w:rsidR="00026659" w:rsidRPr="00CA42D3" w:rsidRDefault="00026659" w:rsidP="00026659">
      <w:pPr>
        <w:rPr>
          <w:sz w:val="22"/>
          <w:szCs w:val="22"/>
        </w:rPr>
      </w:pPr>
      <w:r w:rsidRPr="00CA42D3">
        <w:rPr>
          <w:b/>
          <w:sz w:val="22"/>
          <w:szCs w:val="22"/>
        </w:rPr>
        <w:lastRenderedPageBreak/>
        <w:t>NOTES TO THE FINANCIAL STATEMENTS FOR THE YEAR ENDED 31 MARCH 202</w:t>
      </w:r>
      <w:r w:rsidR="00561A1B">
        <w:rPr>
          <w:b/>
          <w:sz w:val="22"/>
          <w:szCs w:val="22"/>
        </w:rPr>
        <w:t>4</w:t>
      </w:r>
      <w:r w:rsidR="00FF7010" w:rsidRPr="00CA42D3">
        <w:rPr>
          <w:b/>
          <w:sz w:val="22"/>
          <w:szCs w:val="22"/>
        </w:rPr>
        <w:t xml:space="preserve"> </w:t>
      </w:r>
      <w:r w:rsidR="00FF7010" w:rsidRPr="00CA42D3">
        <w:rPr>
          <w:b/>
          <w:bCs/>
          <w:sz w:val="22"/>
          <w:szCs w:val="22"/>
        </w:rPr>
        <w:t>(continued)</w:t>
      </w:r>
      <w:r w:rsidRPr="00CA42D3">
        <w:rPr>
          <w:sz w:val="22"/>
          <w:szCs w:val="22"/>
        </w:rPr>
        <w:fldChar w:fldCharType="begin"/>
      </w:r>
      <w:r w:rsidRPr="00CA42D3">
        <w:rPr>
          <w:sz w:val="22"/>
          <w:szCs w:val="22"/>
        </w:rPr>
        <w:instrText xml:space="preserve"> TC "NOTES TO THE FINANCIAL STATEMENTS" \f C \l "1" </w:instrText>
      </w:r>
      <w:r w:rsidRPr="00CA42D3">
        <w:rPr>
          <w:sz w:val="22"/>
          <w:szCs w:val="22"/>
        </w:rPr>
        <w:fldChar w:fldCharType="end"/>
      </w:r>
    </w:p>
    <w:p w14:paraId="1F2593E4" w14:textId="77777777" w:rsidR="00026659" w:rsidRPr="006C4F4C" w:rsidRDefault="00026659" w:rsidP="00026659">
      <w:pPr>
        <w:rPr>
          <w:sz w:val="22"/>
          <w:szCs w:val="22"/>
        </w:rPr>
      </w:pPr>
    </w:p>
    <w:p w14:paraId="7FA75629" w14:textId="77777777" w:rsidR="00026659" w:rsidRPr="006C4F4C" w:rsidRDefault="00026659" w:rsidP="00026659">
      <w:pPr>
        <w:tabs>
          <w:tab w:val="left" w:pos="540"/>
        </w:tabs>
        <w:rPr>
          <w:b/>
          <w:sz w:val="22"/>
          <w:szCs w:val="22"/>
        </w:rPr>
      </w:pPr>
      <w:r w:rsidRPr="006C4F4C">
        <w:rPr>
          <w:b/>
          <w:sz w:val="22"/>
          <w:szCs w:val="22"/>
        </w:rPr>
        <w:t>2.</w:t>
      </w:r>
      <w:r w:rsidRPr="006C4F4C">
        <w:rPr>
          <w:b/>
          <w:sz w:val="22"/>
          <w:szCs w:val="22"/>
        </w:rPr>
        <w:tab/>
        <w:t>Accounting policies (continued)</w:t>
      </w:r>
    </w:p>
    <w:p w14:paraId="2B561D35" w14:textId="77777777" w:rsidR="00066650" w:rsidRDefault="00066650" w:rsidP="00026659">
      <w:pPr>
        <w:jc w:val="both"/>
        <w:rPr>
          <w:sz w:val="22"/>
        </w:rPr>
      </w:pPr>
    </w:p>
    <w:p w14:paraId="3521325A" w14:textId="559576A5" w:rsidR="00792B4E" w:rsidRDefault="00792B4E" w:rsidP="00891135">
      <w:pPr>
        <w:jc w:val="both"/>
        <w:rPr>
          <w:sz w:val="22"/>
        </w:rPr>
      </w:pPr>
      <w:r w:rsidRPr="00891135">
        <w:rPr>
          <w:sz w:val="22"/>
        </w:rPr>
        <w:t>In reaching this conclusion, the Board has considered the following factors:</w:t>
      </w:r>
    </w:p>
    <w:p w14:paraId="1F0403E0" w14:textId="77777777" w:rsidR="00792B4E" w:rsidRPr="00891135" w:rsidRDefault="00792B4E" w:rsidP="00891135">
      <w:pPr>
        <w:jc w:val="both"/>
        <w:rPr>
          <w:sz w:val="22"/>
        </w:rPr>
      </w:pPr>
    </w:p>
    <w:p w14:paraId="5A7589CE" w14:textId="104883FB" w:rsidR="002C202A" w:rsidRPr="00D55363" w:rsidRDefault="002C202A" w:rsidP="002C202A">
      <w:pPr>
        <w:numPr>
          <w:ilvl w:val="0"/>
          <w:numId w:val="18"/>
        </w:numPr>
        <w:spacing w:after="160" w:line="252" w:lineRule="auto"/>
        <w:jc w:val="both"/>
        <w:rPr>
          <w:sz w:val="22"/>
        </w:rPr>
      </w:pPr>
      <w:r w:rsidRPr="00D55363">
        <w:rPr>
          <w:sz w:val="22"/>
        </w:rPr>
        <w:t xml:space="preserve">Rent and service charge receivable – arrears and bad debt assumptions to allow for customer difficulties in making payments and budget and business plan scenarios to take account of potential future changes in rent increases; </w:t>
      </w:r>
    </w:p>
    <w:p w14:paraId="09CC4782" w14:textId="790919F8" w:rsidR="00EF0EF5" w:rsidRDefault="00EF0EF5" w:rsidP="00EF0EF5">
      <w:pPr>
        <w:numPr>
          <w:ilvl w:val="0"/>
          <w:numId w:val="18"/>
        </w:numPr>
        <w:spacing w:after="160" w:line="252" w:lineRule="auto"/>
        <w:jc w:val="both"/>
        <w:rPr>
          <w:sz w:val="22"/>
        </w:rPr>
      </w:pPr>
      <w:r w:rsidRPr="0069067F">
        <w:rPr>
          <w:sz w:val="22"/>
        </w:rPr>
        <w:t>Maintenance costs – budget and business plan</w:t>
      </w:r>
      <w:r>
        <w:rPr>
          <w:sz w:val="22"/>
        </w:rPr>
        <w:t xml:space="preserve"> </w:t>
      </w:r>
      <w:r w:rsidRPr="0069067F">
        <w:rPr>
          <w:sz w:val="22"/>
        </w:rPr>
        <w:t xml:space="preserve">scenarios have been modelled to take account of </w:t>
      </w:r>
      <w:r w:rsidR="00090FE7">
        <w:rPr>
          <w:sz w:val="22"/>
        </w:rPr>
        <w:t>the</w:t>
      </w:r>
      <w:r w:rsidRPr="0069067F">
        <w:rPr>
          <w:sz w:val="22"/>
        </w:rPr>
        <w:t xml:space="preserve"> profile of repairs and maintenance expenditure including the effect of inflation and increased demand;</w:t>
      </w:r>
    </w:p>
    <w:p w14:paraId="30388442" w14:textId="21CC3C19" w:rsidR="007A50D3" w:rsidRPr="007A50D3" w:rsidRDefault="007A50D3" w:rsidP="007A50D3">
      <w:pPr>
        <w:pStyle w:val="ListParagraph"/>
        <w:numPr>
          <w:ilvl w:val="0"/>
          <w:numId w:val="18"/>
        </w:numPr>
        <w:rPr>
          <w:sz w:val="22"/>
          <w:szCs w:val="24"/>
        </w:rPr>
      </w:pPr>
      <w:r w:rsidRPr="00D55363">
        <w:rPr>
          <w:sz w:val="22"/>
          <w:szCs w:val="24"/>
        </w:rPr>
        <w:t>Investment in existing homes– forecast expenditure has been remodelled to take account of additional investment spend;</w:t>
      </w:r>
      <w:r>
        <w:rPr>
          <w:sz w:val="22"/>
          <w:szCs w:val="24"/>
        </w:rPr>
        <w:br/>
      </w:r>
    </w:p>
    <w:p w14:paraId="0A67303F" w14:textId="77777777" w:rsidR="009B4C2C" w:rsidRPr="00D55363" w:rsidRDefault="009B4C2C" w:rsidP="009B4C2C">
      <w:pPr>
        <w:numPr>
          <w:ilvl w:val="0"/>
          <w:numId w:val="18"/>
        </w:numPr>
        <w:spacing w:after="160" w:line="252" w:lineRule="auto"/>
        <w:jc w:val="both"/>
        <w:rPr>
          <w:sz w:val="22"/>
          <w:szCs w:val="22"/>
          <w:shd w:val="clear" w:color="auto" w:fill="FFFFFF"/>
        </w:rPr>
      </w:pPr>
      <w:r w:rsidRPr="00D55363">
        <w:rPr>
          <w:sz w:val="22"/>
        </w:rPr>
        <w:t xml:space="preserve">Development activity – </w:t>
      </w:r>
      <w:r w:rsidRPr="00D55363">
        <w:rPr>
          <w:rStyle w:val="normaltextrun"/>
          <w:sz w:val="22"/>
          <w:szCs w:val="22"/>
          <w:shd w:val="clear" w:color="auto" w:fill="FFFFFF"/>
        </w:rPr>
        <w:t xml:space="preserve">budget and business plan scenarios have taken account of </w:t>
      </w:r>
      <w:r w:rsidRPr="00D55363">
        <w:rPr>
          <w:rStyle w:val="normaltextrun"/>
          <w:sz w:val="22"/>
          <w:szCs w:val="22"/>
        </w:rPr>
        <w:t xml:space="preserve">fluctuating labour costs, project delays, supply chain instability and availability of grant funding impacting </w:t>
      </w:r>
      <w:r w:rsidRPr="00D55363">
        <w:rPr>
          <w:rStyle w:val="normaltextrun"/>
          <w:sz w:val="22"/>
          <w:szCs w:val="22"/>
          <w:shd w:val="clear" w:color="auto" w:fill="FFFFFF"/>
        </w:rPr>
        <w:t>new build;</w:t>
      </w:r>
    </w:p>
    <w:p w14:paraId="7575C800" w14:textId="34F97652" w:rsidR="00755249" w:rsidRPr="003756C0" w:rsidRDefault="00755249" w:rsidP="003756C0">
      <w:pPr>
        <w:numPr>
          <w:ilvl w:val="0"/>
          <w:numId w:val="18"/>
        </w:numPr>
        <w:spacing w:after="160" w:line="252" w:lineRule="auto"/>
        <w:jc w:val="both"/>
        <w:rPr>
          <w:sz w:val="22"/>
          <w:szCs w:val="22"/>
        </w:rPr>
      </w:pPr>
      <w:r>
        <w:rPr>
          <w:sz w:val="22"/>
          <w:szCs w:val="22"/>
        </w:rPr>
        <w:t>Liquidity –</w:t>
      </w:r>
      <w:r w:rsidR="003756C0" w:rsidRPr="003756C0">
        <w:rPr>
          <w:sz w:val="22"/>
        </w:rPr>
        <w:t xml:space="preserve"> </w:t>
      </w:r>
      <w:r w:rsidR="003756C0" w:rsidRPr="00147B5D">
        <w:rPr>
          <w:sz w:val="22"/>
        </w:rPr>
        <w:t xml:space="preserve">current available cash of </w:t>
      </w:r>
      <w:r w:rsidR="003756C0" w:rsidRPr="00E65FDC">
        <w:rPr>
          <w:sz w:val="22"/>
        </w:rPr>
        <w:t>£</w:t>
      </w:r>
      <w:r w:rsidR="003756C0">
        <w:rPr>
          <w:sz w:val="22"/>
        </w:rPr>
        <w:t>5.2</w:t>
      </w:r>
      <w:r w:rsidR="003756C0" w:rsidRPr="003756C0">
        <w:rPr>
          <w:sz w:val="22"/>
        </w:rPr>
        <w:t xml:space="preserve">m and </w:t>
      </w:r>
      <w:r w:rsidRPr="003756C0">
        <w:rPr>
          <w:sz w:val="22"/>
          <w:szCs w:val="22"/>
        </w:rPr>
        <w:t>access to undrawn loan facilities arranged through WFL1 of £</w:t>
      </w:r>
      <w:r w:rsidR="00674D87" w:rsidRPr="003756C0">
        <w:rPr>
          <w:sz w:val="22"/>
          <w:szCs w:val="22"/>
        </w:rPr>
        <w:t>234.8m</w:t>
      </w:r>
      <w:r w:rsidRPr="003756C0">
        <w:rPr>
          <w:sz w:val="22"/>
          <w:szCs w:val="22"/>
        </w:rPr>
        <w:t>, which are available to Wheatley Homes South and other Group RSLs, gives significant headroom for committed expenditure and other forecast cash flows over the going concern assessment period;</w:t>
      </w:r>
    </w:p>
    <w:p w14:paraId="3EDB8B24" w14:textId="19E58D5D" w:rsidR="00891135" w:rsidRPr="00891135" w:rsidRDefault="00296CE3" w:rsidP="009F69C5">
      <w:pPr>
        <w:numPr>
          <w:ilvl w:val="0"/>
          <w:numId w:val="18"/>
        </w:numPr>
        <w:spacing w:after="160" w:line="252" w:lineRule="auto"/>
        <w:jc w:val="both"/>
        <w:rPr>
          <w:sz w:val="22"/>
        </w:rPr>
      </w:pPr>
      <w:r>
        <w:rPr>
          <w:sz w:val="22"/>
        </w:rPr>
        <w:t xml:space="preserve">The </w:t>
      </w:r>
      <w:r w:rsidR="00C67668">
        <w:rPr>
          <w:sz w:val="22"/>
        </w:rPr>
        <w:t>Company</w:t>
      </w:r>
      <w:r w:rsidR="00A566D6">
        <w:rPr>
          <w:sz w:val="22"/>
        </w:rPr>
        <w:t xml:space="preserve">’s </w:t>
      </w:r>
      <w:r w:rsidR="00891135" w:rsidRPr="00891135">
        <w:rPr>
          <w:sz w:val="22"/>
        </w:rPr>
        <w:t>ability to withstand other adverse scenarios such as higher interest rates and increases in the number of void properties.</w:t>
      </w:r>
    </w:p>
    <w:p w14:paraId="4A7F77FE" w14:textId="7B7DA6C2" w:rsidR="00F92DD3" w:rsidRDefault="00891135" w:rsidP="00891135">
      <w:pPr>
        <w:jc w:val="both"/>
        <w:rPr>
          <w:sz w:val="22"/>
        </w:rPr>
      </w:pPr>
      <w:r w:rsidRPr="00891135">
        <w:rPr>
          <w:sz w:val="22"/>
        </w:rPr>
        <w:t xml:space="preserve">The Board believe the </w:t>
      </w:r>
      <w:r w:rsidR="001504F0">
        <w:rPr>
          <w:sz w:val="22"/>
        </w:rPr>
        <w:t xml:space="preserve">Group and </w:t>
      </w:r>
      <w:r w:rsidR="00296CE3">
        <w:rPr>
          <w:sz w:val="22"/>
        </w:rPr>
        <w:t>Company</w:t>
      </w:r>
      <w:r w:rsidRPr="00891135">
        <w:rPr>
          <w:sz w:val="22"/>
        </w:rPr>
        <w:t xml:space="preserve"> ha</w:t>
      </w:r>
      <w:r w:rsidR="00247A57">
        <w:rPr>
          <w:sz w:val="22"/>
        </w:rPr>
        <w:t>s</w:t>
      </w:r>
      <w:r w:rsidRPr="00891135">
        <w:rPr>
          <w:sz w:val="22"/>
        </w:rPr>
        <w:t xml:space="preserve"> sufficient funding in place and expect the</w:t>
      </w:r>
      <w:r w:rsidR="00734246">
        <w:rPr>
          <w:sz w:val="22"/>
        </w:rPr>
        <w:t xml:space="preserve"> Group and</w:t>
      </w:r>
      <w:r w:rsidRPr="00891135">
        <w:rPr>
          <w:sz w:val="22"/>
        </w:rPr>
        <w:t xml:space="preserve"> Company</w:t>
      </w:r>
      <w:r w:rsidR="000068B7">
        <w:rPr>
          <w:sz w:val="22"/>
        </w:rPr>
        <w:t xml:space="preserve"> </w:t>
      </w:r>
      <w:r w:rsidRPr="00891135">
        <w:rPr>
          <w:sz w:val="22"/>
        </w:rPr>
        <w:t xml:space="preserve">to be in compliance with its debt covenants even in severe but plausible downside scenarios. </w:t>
      </w:r>
    </w:p>
    <w:p w14:paraId="30465A0F" w14:textId="77777777" w:rsidR="005A73AF" w:rsidRPr="00891135" w:rsidRDefault="005A73AF" w:rsidP="00891135">
      <w:pPr>
        <w:jc w:val="both"/>
        <w:rPr>
          <w:sz w:val="22"/>
        </w:rPr>
      </w:pPr>
    </w:p>
    <w:p w14:paraId="172B226B" w14:textId="6BD8C678" w:rsidR="00891135" w:rsidRDefault="00891135" w:rsidP="00891135">
      <w:pPr>
        <w:jc w:val="both"/>
        <w:rPr>
          <w:sz w:val="22"/>
        </w:rPr>
      </w:pPr>
      <w:r w:rsidRPr="00891135">
        <w:rPr>
          <w:sz w:val="22"/>
        </w:rPr>
        <w:t>Consequently, the Board is confident that the</w:t>
      </w:r>
      <w:r w:rsidR="000943F8">
        <w:rPr>
          <w:sz w:val="22"/>
        </w:rPr>
        <w:t xml:space="preserve"> Group and</w:t>
      </w:r>
      <w:r w:rsidRPr="00891135">
        <w:rPr>
          <w:sz w:val="22"/>
        </w:rPr>
        <w:t xml:space="preserve"> </w:t>
      </w:r>
      <w:r w:rsidR="000068B7">
        <w:rPr>
          <w:sz w:val="22"/>
        </w:rPr>
        <w:t>Company</w:t>
      </w:r>
      <w:r w:rsidRPr="00891135">
        <w:rPr>
          <w:sz w:val="22"/>
        </w:rPr>
        <w:t xml:space="preserve"> will have sufficient funds to continue to meet </w:t>
      </w:r>
      <w:r w:rsidR="006F0EE3">
        <w:rPr>
          <w:sz w:val="22"/>
        </w:rPr>
        <w:t>its</w:t>
      </w:r>
      <w:r w:rsidRPr="00891135">
        <w:rPr>
          <w:sz w:val="22"/>
        </w:rPr>
        <w:t xml:space="preserve"> liabilities as they fall due for at least 12 months from the date of approval of the financial statements and therefore </w:t>
      </w:r>
      <w:r w:rsidR="00247A57">
        <w:rPr>
          <w:sz w:val="22"/>
        </w:rPr>
        <w:t>has</w:t>
      </w:r>
      <w:r w:rsidRPr="00891135">
        <w:rPr>
          <w:sz w:val="22"/>
        </w:rPr>
        <w:t xml:space="preserve"> prepared the financial statements on a going concern basis. </w:t>
      </w:r>
    </w:p>
    <w:p w14:paraId="6CD41FDC" w14:textId="77777777" w:rsidR="00FB29C1" w:rsidRDefault="00FB29C1" w:rsidP="00891135">
      <w:pPr>
        <w:jc w:val="both"/>
        <w:rPr>
          <w:sz w:val="22"/>
        </w:rPr>
      </w:pPr>
    </w:p>
    <w:p w14:paraId="20D73595" w14:textId="77777777" w:rsidR="00FB29C1" w:rsidRPr="00891135" w:rsidRDefault="00FB29C1" w:rsidP="00891135">
      <w:pPr>
        <w:jc w:val="both"/>
        <w:rPr>
          <w:sz w:val="22"/>
        </w:rPr>
      </w:pPr>
      <w:r>
        <w:rPr>
          <w:rStyle w:val="normaltextrun"/>
          <w:color w:val="000000"/>
          <w:sz w:val="22"/>
          <w:szCs w:val="22"/>
          <w:shd w:val="clear" w:color="auto" w:fill="FFFFFF"/>
        </w:rPr>
        <w:t>Discount rates have been used in the valuation of housing properties and in the assessment of the fair value of financial instruments. The rates used are subject to change and are influenced by wider economic factors over time.</w:t>
      </w:r>
      <w:r>
        <w:rPr>
          <w:rStyle w:val="eop"/>
          <w:color w:val="000000"/>
          <w:sz w:val="22"/>
          <w:szCs w:val="22"/>
          <w:shd w:val="clear" w:color="auto" w:fill="FFFFFF"/>
        </w:rPr>
        <w:t> </w:t>
      </w:r>
    </w:p>
    <w:p w14:paraId="7B2F55F0" w14:textId="77777777" w:rsidR="000068B7" w:rsidRDefault="000068B7" w:rsidP="0013314B">
      <w:pPr>
        <w:jc w:val="both"/>
        <w:rPr>
          <w:sz w:val="22"/>
        </w:rPr>
      </w:pPr>
    </w:p>
    <w:p w14:paraId="6200DCF5" w14:textId="77777777" w:rsidR="0013314B" w:rsidRPr="006C4F4C" w:rsidRDefault="0023706B" w:rsidP="0013314B">
      <w:pPr>
        <w:jc w:val="both"/>
        <w:rPr>
          <w:b/>
          <w:sz w:val="22"/>
          <w:szCs w:val="22"/>
        </w:rPr>
      </w:pPr>
      <w:r w:rsidRPr="006C4F4C">
        <w:rPr>
          <w:b/>
          <w:sz w:val="22"/>
          <w:szCs w:val="22"/>
        </w:rPr>
        <w:t>Accounting judgements and estimations</w:t>
      </w:r>
    </w:p>
    <w:p w14:paraId="56299E1C" w14:textId="77777777" w:rsidR="0023706B" w:rsidRPr="006C4F4C" w:rsidRDefault="0023706B" w:rsidP="0013314B">
      <w:pPr>
        <w:jc w:val="both"/>
        <w:rPr>
          <w:sz w:val="22"/>
          <w:szCs w:val="22"/>
        </w:rPr>
      </w:pPr>
      <w:r w:rsidRPr="006C4F4C">
        <w:rPr>
          <w:sz w:val="22"/>
          <w:szCs w:val="22"/>
        </w:rPr>
        <w:t>Estimates and judgements are continually evaluated and are based on historical experience, advice from qualified experts and other factors.</w:t>
      </w:r>
    </w:p>
    <w:p w14:paraId="15A382B9" w14:textId="77777777" w:rsidR="0013314B" w:rsidRPr="006C4F4C" w:rsidRDefault="0013314B" w:rsidP="0013314B">
      <w:pPr>
        <w:jc w:val="both"/>
        <w:rPr>
          <w:sz w:val="22"/>
          <w:szCs w:val="22"/>
        </w:rPr>
      </w:pPr>
    </w:p>
    <w:p w14:paraId="3CDAB1EC" w14:textId="77777777" w:rsidR="00CB1F0B" w:rsidRDefault="0023706B" w:rsidP="0013314B">
      <w:pPr>
        <w:jc w:val="both"/>
        <w:rPr>
          <w:sz w:val="22"/>
          <w:szCs w:val="22"/>
        </w:rPr>
      </w:pPr>
      <w:r w:rsidRPr="006C4F4C">
        <w:rPr>
          <w:sz w:val="22"/>
          <w:szCs w:val="22"/>
        </w:rPr>
        <w:t>Judgements have been made in</w:t>
      </w:r>
      <w:r w:rsidR="00CB1F0B">
        <w:rPr>
          <w:sz w:val="22"/>
          <w:szCs w:val="22"/>
        </w:rPr>
        <w:t>:</w:t>
      </w:r>
    </w:p>
    <w:p w14:paraId="2CE885D9" w14:textId="2BE5C936" w:rsidR="00CB1F0B" w:rsidRDefault="00CB1F0B" w:rsidP="00007D61">
      <w:pPr>
        <w:numPr>
          <w:ilvl w:val="0"/>
          <w:numId w:val="11"/>
        </w:numPr>
        <w:jc w:val="both"/>
        <w:rPr>
          <w:sz w:val="22"/>
          <w:szCs w:val="22"/>
        </w:rPr>
      </w:pPr>
      <w:r>
        <w:rPr>
          <w:sz w:val="22"/>
          <w:szCs w:val="22"/>
        </w:rPr>
        <w:t>D</w:t>
      </w:r>
      <w:r w:rsidR="0023706B" w:rsidRPr="006C4F4C">
        <w:rPr>
          <w:sz w:val="22"/>
          <w:szCs w:val="22"/>
        </w:rPr>
        <w:t>etermining the appropriate discount rates used in the v</w:t>
      </w:r>
      <w:r>
        <w:rPr>
          <w:sz w:val="22"/>
          <w:szCs w:val="22"/>
        </w:rPr>
        <w:t>aluation of housing properties</w:t>
      </w:r>
      <w:r w:rsidR="00185234">
        <w:rPr>
          <w:sz w:val="22"/>
          <w:szCs w:val="22"/>
        </w:rPr>
        <w:t>.</w:t>
      </w:r>
    </w:p>
    <w:p w14:paraId="6F63AAE0" w14:textId="77777777" w:rsidR="00CB1F0B" w:rsidRDefault="00CB1F0B" w:rsidP="00007D61">
      <w:pPr>
        <w:numPr>
          <w:ilvl w:val="0"/>
          <w:numId w:val="11"/>
        </w:numPr>
        <w:jc w:val="both"/>
        <w:rPr>
          <w:sz w:val="22"/>
          <w:szCs w:val="22"/>
        </w:rPr>
      </w:pPr>
      <w:r>
        <w:rPr>
          <w:sz w:val="22"/>
          <w:szCs w:val="22"/>
        </w:rPr>
        <w:t>Component accounting and</w:t>
      </w:r>
      <w:r w:rsidR="00C03B56">
        <w:rPr>
          <w:sz w:val="22"/>
          <w:szCs w:val="22"/>
        </w:rPr>
        <w:t xml:space="preserve"> the assessment of useful lives.</w:t>
      </w:r>
    </w:p>
    <w:p w14:paraId="5D9F336E" w14:textId="2175167F" w:rsidR="00C3127B" w:rsidRDefault="00CB1F0B" w:rsidP="00007D61">
      <w:pPr>
        <w:numPr>
          <w:ilvl w:val="0"/>
          <w:numId w:val="11"/>
        </w:numPr>
        <w:jc w:val="both"/>
        <w:rPr>
          <w:sz w:val="22"/>
          <w:szCs w:val="22"/>
        </w:rPr>
      </w:pPr>
      <w:r>
        <w:rPr>
          <w:sz w:val="22"/>
          <w:szCs w:val="22"/>
        </w:rPr>
        <w:t>T</w:t>
      </w:r>
      <w:r w:rsidR="0023706B" w:rsidRPr="006C4F4C">
        <w:rPr>
          <w:sz w:val="22"/>
          <w:szCs w:val="22"/>
        </w:rPr>
        <w:t>he assessment of the fair v</w:t>
      </w:r>
      <w:r w:rsidR="00C3127B">
        <w:rPr>
          <w:sz w:val="22"/>
          <w:szCs w:val="22"/>
        </w:rPr>
        <w:t>alue of financial instruments</w:t>
      </w:r>
      <w:r w:rsidR="00185234">
        <w:rPr>
          <w:sz w:val="22"/>
          <w:szCs w:val="22"/>
        </w:rPr>
        <w:t>.</w:t>
      </w:r>
    </w:p>
    <w:p w14:paraId="4792C304" w14:textId="2FB0CCE8" w:rsidR="00026659" w:rsidRPr="00724738" w:rsidRDefault="002A5482">
      <w:pPr>
        <w:numPr>
          <w:ilvl w:val="0"/>
          <w:numId w:val="11"/>
        </w:numPr>
        <w:jc w:val="both"/>
        <w:rPr>
          <w:b/>
        </w:rPr>
      </w:pPr>
      <w:r w:rsidRPr="00724738">
        <w:rPr>
          <w:sz w:val="22"/>
          <w:szCs w:val="22"/>
        </w:rPr>
        <w:t>Determining the value of the Company’s share of defined benefit pension scheme assets and obligations prior to the transfer of the obligations in Dumfries and Galloway Council Pension Fund to Wheatley Homes Glasgow Limited. The valuation prepared by the Scheme actuary includes estimates of life expectancy, salary growth, inflation and the discount rate on corporate bonds.</w:t>
      </w:r>
      <w:r w:rsidR="00026659" w:rsidRPr="00724738">
        <w:rPr>
          <w:b/>
        </w:rPr>
        <w:br w:type="page"/>
      </w:r>
    </w:p>
    <w:p w14:paraId="5D7B5F23" w14:textId="7B581231" w:rsidR="00B7511E" w:rsidRPr="00D227E4" w:rsidRDefault="00B7511E" w:rsidP="00B7511E">
      <w:pPr>
        <w:rPr>
          <w:b/>
          <w:sz w:val="22"/>
          <w:szCs w:val="22"/>
        </w:rPr>
      </w:pPr>
      <w:r w:rsidRPr="00D227E4">
        <w:rPr>
          <w:b/>
          <w:sz w:val="22"/>
          <w:szCs w:val="22"/>
        </w:rPr>
        <w:lastRenderedPageBreak/>
        <w:t>NOTES TO THE FINANCIAL STATEMENTS FOR</w:t>
      </w:r>
      <w:r w:rsidR="00366538" w:rsidRPr="00D227E4">
        <w:rPr>
          <w:b/>
          <w:sz w:val="22"/>
          <w:szCs w:val="22"/>
        </w:rPr>
        <w:t xml:space="preserve"> THE YEAR ENDED 31 MARCH 202</w:t>
      </w:r>
      <w:r w:rsidR="00561A1B">
        <w:rPr>
          <w:b/>
          <w:sz w:val="22"/>
          <w:szCs w:val="22"/>
        </w:rPr>
        <w:t>4</w:t>
      </w:r>
      <w:r w:rsidR="00FF7010" w:rsidRPr="00D227E4">
        <w:rPr>
          <w:b/>
          <w:sz w:val="22"/>
          <w:szCs w:val="22"/>
        </w:rPr>
        <w:t xml:space="preserve"> </w:t>
      </w:r>
      <w:r w:rsidR="00FF7010" w:rsidRPr="00D227E4">
        <w:rPr>
          <w:b/>
          <w:bCs/>
          <w:sz w:val="22"/>
          <w:szCs w:val="22"/>
        </w:rPr>
        <w:t>(continued)</w:t>
      </w:r>
      <w:r w:rsidRPr="00D227E4">
        <w:rPr>
          <w:b/>
          <w:sz w:val="22"/>
          <w:szCs w:val="22"/>
        </w:rPr>
        <w:fldChar w:fldCharType="begin"/>
      </w:r>
      <w:r w:rsidRPr="00D227E4">
        <w:rPr>
          <w:b/>
          <w:sz w:val="22"/>
          <w:szCs w:val="22"/>
        </w:rPr>
        <w:instrText xml:space="preserve"> TC "NOTES TO THE FINANCIAL STATEMENTS" \f C \l "1" </w:instrText>
      </w:r>
      <w:r w:rsidRPr="00D227E4">
        <w:rPr>
          <w:b/>
          <w:sz w:val="22"/>
          <w:szCs w:val="22"/>
        </w:rPr>
        <w:fldChar w:fldCharType="end"/>
      </w:r>
    </w:p>
    <w:p w14:paraId="60FDBD0C" w14:textId="77777777" w:rsidR="00C3127B" w:rsidRPr="006C4F4C" w:rsidRDefault="00C3127B" w:rsidP="00C3127B">
      <w:pPr>
        <w:rPr>
          <w:sz w:val="22"/>
          <w:szCs w:val="22"/>
        </w:rPr>
      </w:pPr>
    </w:p>
    <w:p w14:paraId="014A4E74" w14:textId="77777777" w:rsidR="00C3127B" w:rsidRPr="006C4F4C" w:rsidRDefault="00C3127B" w:rsidP="00C3127B">
      <w:pPr>
        <w:tabs>
          <w:tab w:val="left" w:pos="540"/>
        </w:tabs>
        <w:rPr>
          <w:b/>
          <w:sz w:val="22"/>
          <w:szCs w:val="22"/>
        </w:rPr>
      </w:pPr>
      <w:r w:rsidRPr="006C4F4C">
        <w:rPr>
          <w:b/>
          <w:sz w:val="22"/>
          <w:szCs w:val="22"/>
        </w:rPr>
        <w:t>2.</w:t>
      </w:r>
      <w:r w:rsidRPr="006C4F4C">
        <w:rPr>
          <w:b/>
          <w:sz w:val="22"/>
          <w:szCs w:val="22"/>
        </w:rPr>
        <w:tab/>
        <w:t>Accounting policies (continued)</w:t>
      </w:r>
    </w:p>
    <w:p w14:paraId="1AB06A7F" w14:textId="77777777" w:rsidR="00C3127B" w:rsidRDefault="00C3127B" w:rsidP="00C3127B">
      <w:pPr>
        <w:jc w:val="both"/>
        <w:rPr>
          <w:sz w:val="22"/>
          <w:szCs w:val="22"/>
        </w:rPr>
      </w:pPr>
    </w:p>
    <w:p w14:paraId="22A17B8C" w14:textId="77777777" w:rsidR="00262BCC" w:rsidRPr="006C4F4C" w:rsidRDefault="00262BCC" w:rsidP="00C3127B">
      <w:pPr>
        <w:jc w:val="both"/>
        <w:rPr>
          <w:b/>
          <w:sz w:val="22"/>
          <w:szCs w:val="22"/>
        </w:rPr>
      </w:pPr>
      <w:r w:rsidRPr="006C4F4C">
        <w:rPr>
          <w:b/>
          <w:sz w:val="22"/>
          <w:szCs w:val="22"/>
        </w:rPr>
        <w:t>Related party disclosures</w:t>
      </w:r>
    </w:p>
    <w:p w14:paraId="280D7C5B" w14:textId="18B0F3CB" w:rsidR="00262BCC" w:rsidRPr="006C4F4C" w:rsidRDefault="00C3127B" w:rsidP="00C3127B">
      <w:pPr>
        <w:jc w:val="both"/>
        <w:rPr>
          <w:sz w:val="22"/>
          <w:szCs w:val="22"/>
        </w:rPr>
      </w:pPr>
      <w:r>
        <w:rPr>
          <w:sz w:val="22"/>
          <w:szCs w:val="22"/>
        </w:rPr>
        <w:t>The</w:t>
      </w:r>
      <w:r w:rsidR="00953ADD">
        <w:rPr>
          <w:sz w:val="22"/>
          <w:szCs w:val="22"/>
        </w:rPr>
        <w:t xml:space="preserve"> Company</w:t>
      </w:r>
      <w:r w:rsidR="008120CA" w:rsidRPr="006C4F4C">
        <w:rPr>
          <w:sz w:val="22"/>
          <w:szCs w:val="22"/>
        </w:rPr>
        <w:t xml:space="preserve"> </w:t>
      </w:r>
      <w:r w:rsidR="00262BCC" w:rsidRPr="006C4F4C">
        <w:rPr>
          <w:sz w:val="22"/>
          <w:szCs w:val="22"/>
        </w:rPr>
        <w:t>is a wholly owned subsidiary of Wheatley Housing Group Limited and is include</w:t>
      </w:r>
      <w:r w:rsidR="008120CA" w:rsidRPr="006C4F4C">
        <w:rPr>
          <w:sz w:val="22"/>
          <w:szCs w:val="22"/>
        </w:rPr>
        <w:t>d</w:t>
      </w:r>
      <w:r w:rsidR="00262BCC" w:rsidRPr="006C4F4C">
        <w:rPr>
          <w:sz w:val="22"/>
          <w:szCs w:val="22"/>
        </w:rPr>
        <w:t xml:space="preserve"> within the consolidated financial statements of Wheatley Housing Group Limited which are publicly availabl</w:t>
      </w:r>
      <w:r w:rsidR="00953ADD">
        <w:rPr>
          <w:sz w:val="22"/>
          <w:szCs w:val="22"/>
        </w:rPr>
        <w:t>e. Consequently, the Company</w:t>
      </w:r>
      <w:r w:rsidR="00262BCC" w:rsidRPr="006C4F4C">
        <w:rPr>
          <w:sz w:val="22"/>
          <w:szCs w:val="22"/>
        </w:rPr>
        <w:t xml:space="preserve"> ha</w:t>
      </w:r>
      <w:r w:rsidR="00152C1E">
        <w:rPr>
          <w:sz w:val="22"/>
          <w:szCs w:val="22"/>
        </w:rPr>
        <w:t>s</w:t>
      </w:r>
      <w:r w:rsidR="00262BCC" w:rsidRPr="006C4F4C">
        <w:rPr>
          <w:sz w:val="22"/>
          <w:szCs w:val="22"/>
        </w:rPr>
        <w:t xml:space="preserve"> taken advantage of the exemption</w:t>
      </w:r>
      <w:r>
        <w:rPr>
          <w:sz w:val="22"/>
          <w:szCs w:val="22"/>
        </w:rPr>
        <w:t>, under the terms of</w:t>
      </w:r>
      <w:r w:rsidR="00262BCC" w:rsidRPr="006C4F4C">
        <w:rPr>
          <w:sz w:val="22"/>
          <w:szCs w:val="22"/>
        </w:rPr>
        <w:t xml:space="preserve"> </w:t>
      </w:r>
      <w:r w:rsidR="0023706B" w:rsidRPr="006C4F4C">
        <w:rPr>
          <w:sz w:val="22"/>
          <w:szCs w:val="22"/>
        </w:rPr>
        <w:t>FRS</w:t>
      </w:r>
      <w:r w:rsidR="00262BCC" w:rsidRPr="006C4F4C">
        <w:rPr>
          <w:sz w:val="22"/>
          <w:szCs w:val="22"/>
        </w:rPr>
        <w:t xml:space="preserve"> 102</w:t>
      </w:r>
      <w:r>
        <w:rPr>
          <w:sz w:val="22"/>
          <w:szCs w:val="22"/>
        </w:rPr>
        <w:t>, from disclosing</w:t>
      </w:r>
      <w:r w:rsidR="00262BCC" w:rsidRPr="006C4F4C">
        <w:rPr>
          <w:sz w:val="22"/>
          <w:szCs w:val="22"/>
        </w:rPr>
        <w:t xml:space="preserve"> </w:t>
      </w:r>
      <w:r>
        <w:rPr>
          <w:sz w:val="22"/>
          <w:szCs w:val="22"/>
        </w:rPr>
        <w:t>related-party</w:t>
      </w:r>
      <w:r w:rsidR="00262BCC" w:rsidRPr="006C4F4C">
        <w:rPr>
          <w:sz w:val="22"/>
          <w:szCs w:val="22"/>
        </w:rPr>
        <w:t xml:space="preserve"> transactions with wholly owned entities </w:t>
      </w:r>
      <w:r>
        <w:rPr>
          <w:sz w:val="22"/>
          <w:szCs w:val="22"/>
        </w:rPr>
        <w:t>that are part</w:t>
      </w:r>
      <w:r w:rsidR="00262BCC" w:rsidRPr="006C4F4C">
        <w:rPr>
          <w:sz w:val="22"/>
          <w:szCs w:val="22"/>
        </w:rPr>
        <w:t xml:space="preserve"> of th</w:t>
      </w:r>
      <w:r>
        <w:rPr>
          <w:sz w:val="22"/>
          <w:szCs w:val="22"/>
        </w:rPr>
        <w:t>e Wheatley Housing Group</w:t>
      </w:r>
      <w:r w:rsidR="00262BCC" w:rsidRPr="006C4F4C">
        <w:rPr>
          <w:sz w:val="22"/>
          <w:szCs w:val="22"/>
        </w:rPr>
        <w:t>.</w:t>
      </w:r>
    </w:p>
    <w:p w14:paraId="28688860" w14:textId="77777777" w:rsidR="006406E5" w:rsidRPr="006C4F4C" w:rsidRDefault="006406E5" w:rsidP="00C3127B">
      <w:pPr>
        <w:tabs>
          <w:tab w:val="left" w:pos="540"/>
        </w:tabs>
        <w:jc w:val="both"/>
        <w:rPr>
          <w:b/>
          <w:sz w:val="22"/>
          <w:szCs w:val="22"/>
        </w:rPr>
      </w:pPr>
    </w:p>
    <w:p w14:paraId="4D449222" w14:textId="77777777" w:rsidR="008B4A32" w:rsidRPr="006C4F4C" w:rsidRDefault="008B4A32" w:rsidP="00C3127B">
      <w:pPr>
        <w:jc w:val="both"/>
        <w:rPr>
          <w:b/>
          <w:sz w:val="22"/>
          <w:szCs w:val="22"/>
        </w:rPr>
      </w:pPr>
      <w:r w:rsidRPr="006C4F4C">
        <w:rPr>
          <w:b/>
          <w:sz w:val="22"/>
          <w:szCs w:val="22"/>
        </w:rPr>
        <w:t>Turnover</w:t>
      </w:r>
    </w:p>
    <w:p w14:paraId="5AA6F239" w14:textId="77777777" w:rsidR="008B4A32" w:rsidRPr="006C4F4C" w:rsidRDefault="008B4A32" w:rsidP="00C3127B">
      <w:pPr>
        <w:jc w:val="both"/>
        <w:rPr>
          <w:sz w:val="22"/>
          <w:szCs w:val="22"/>
        </w:rPr>
      </w:pPr>
      <w:r w:rsidRPr="006C4F4C">
        <w:rPr>
          <w:sz w:val="22"/>
          <w:szCs w:val="22"/>
        </w:rPr>
        <w:t>Turnover, which is stated net of value added tax, represents income receivable from lettings and service charges, fees receivable, revenue grants and other</w:t>
      </w:r>
      <w:r w:rsidR="00E85CD3">
        <w:rPr>
          <w:sz w:val="22"/>
          <w:szCs w:val="22"/>
        </w:rPr>
        <w:t xml:space="preserve"> income. Turnover is recognised</w:t>
      </w:r>
      <w:r w:rsidR="00E85CD3" w:rsidRPr="00E85CD3">
        <w:rPr>
          <w:sz w:val="22"/>
          <w:szCs w:val="22"/>
        </w:rPr>
        <w:t xml:space="preserve"> when there is entitlement, any performance conditions attached have been met, it is probable income will be received and the amount can be realised reliability. </w:t>
      </w:r>
      <w:r w:rsidR="00E85CD3">
        <w:rPr>
          <w:sz w:val="22"/>
          <w:szCs w:val="22"/>
        </w:rPr>
        <w:t>I</w:t>
      </w:r>
      <w:r w:rsidRPr="006C4F4C">
        <w:rPr>
          <w:sz w:val="22"/>
          <w:szCs w:val="22"/>
        </w:rPr>
        <w:t>ncome received in advance is treated as deferred income.</w:t>
      </w:r>
    </w:p>
    <w:p w14:paraId="51A766AC" w14:textId="77777777" w:rsidR="008F4757" w:rsidRPr="006C4F4C" w:rsidRDefault="008F4757" w:rsidP="00C3127B">
      <w:pPr>
        <w:tabs>
          <w:tab w:val="left" w:pos="540"/>
        </w:tabs>
        <w:jc w:val="both"/>
        <w:rPr>
          <w:b/>
          <w:sz w:val="22"/>
          <w:szCs w:val="22"/>
        </w:rPr>
      </w:pPr>
    </w:p>
    <w:p w14:paraId="1E1AB8E4" w14:textId="77777777" w:rsidR="00BC4E09" w:rsidRPr="006C4F4C" w:rsidRDefault="00BC4E09" w:rsidP="00BC4E09">
      <w:pPr>
        <w:jc w:val="both"/>
        <w:rPr>
          <w:b/>
          <w:bCs/>
          <w:sz w:val="22"/>
          <w:szCs w:val="22"/>
        </w:rPr>
      </w:pPr>
      <w:r w:rsidRPr="006C4F4C">
        <w:rPr>
          <w:b/>
          <w:bCs/>
          <w:sz w:val="22"/>
          <w:szCs w:val="22"/>
        </w:rPr>
        <w:t>Grant income</w:t>
      </w:r>
    </w:p>
    <w:p w14:paraId="0233C598" w14:textId="7405D603" w:rsidR="00BC4E09" w:rsidRPr="006C4F4C" w:rsidRDefault="00BC4E09" w:rsidP="00C3127B">
      <w:pPr>
        <w:jc w:val="both"/>
        <w:rPr>
          <w:sz w:val="22"/>
          <w:szCs w:val="22"/>
        </w:rPr>
      </w:pPr>
      <w:r w:rsidRPr="006C4F4C">
        <w:rPr>
          <w:sz w:val="22"/>
          <w:szCs w:val="22"/>
        </w:rPr>
        <w:t xml:space="preserve">Where a grant is paid as a contribution towards revenue expenditure, it is included in turnover. Where a grant is received from government and other bodies as a contribution towards the capital cost of housing schemes, </w:t>
      </w:r>
      <w:r w:rsidR="00C3127B">
        <w:rPr>
          <w:sz w:val="22"/>
          <w:szCs w:val="22"/>
        </w:rPr>
        <w:t>it</w:t>
      </w:r>
      <w:r w:rsidRPr="006C4F4C">
        <w:rPr>
          <w:sz w:val="22"/>
          <w:szCs w:val="22"/>
        </w:rPr>
        <w:t xml:space="preserve"> is recognised as income using the performance model in accordance with the Stateme</w:t>
      </w:r>
      <w:r w:rsidR="00C3127B">
        <w:rPr>
          <w:sz w:val="22"/>
          <w:szCs w:val="22"/>
        </w:rPr>
        <w:t>nt of Recommended Practice for social housing p</w:t>
      </w:r>
      <w:r w:rsidRPr="006C4F4C">
        <w:rPr>
          <w:sz w:val="22"/>
          <w:szCs w:val="22"/>
        </w:rPr>
        <w:t>roviders 2014 (“SORP 2014”). Prior to satisfying the performance conditions, capital grant</w:t>
      </w:r>
      <w:r w:rsidR="008F4757" w:rsidRPr="006C4F4C">
        <w:rPr>
          <w:sz w:val="22"/>
          <w:szCs w:val="22"/>
        </w:rPr>
        <w:t>s</w:t>
      </w:r>
      <w:r w:rsidRPr="006C4F4C">
        <w:rPr>
          <w:sz w:val="22"/>
          <w:szCs w:val="22"/>
        </w:rPr>
        <w:t xml:space="preserve"> </w:t>
      </w:r>
      <w:r w:rsidR="008F4757" w:rsidRPr="006C4F4C">
        <w:rPr>
          <w:sz w:val="22"/>
          <w:szCs w:val="22"/>
        </w:rPr>
        <w:t>are</w:t>
      </w:r>
      <w:r w:rsidRPr="006C4F4C">
        <w:rPr>
          <w:sz w:val="22"/>
          <w:szCs w:val="22"/>
        </w:rPr>
        <w:t xml:space="preserve"> held as deferred income on the statement of financial position. </w:t>
      </w:r>
    </w:p>
    <w:p w14:paraId="173005A1" w14:textId="77777777" w:rsidR="00BC4E09" w:rsidRPr="006C4F4C" w:rsidRDefault="00BC4E09" w:rsidP="00C3127B">
      <w:pPr>
        <w:jc w:val="both"/>
        <w:rPr>
          <w:b/>
          <w:sz w:val="22"/>
          <w:szCs w:val="22"/>
        </w:rPr>
      </w:pPr>
    </w:p>
    <w:p w14:paraId="2854A7D1" w14:textId="77777777" w:rsidR="00BC4E09" w:rsidRPr="006C4F4C" w:rsidRDefault="00BC4E09" w:rsidP="00C3127B">
      <w:pPr>
        <w:jc w:val="both"/>
        <w:rPr>
          <w:b/>
          <w:sz w:val="22"/>
          <w:szCs w:val="22"/>
        </w:rPr>
      </w:pPr>
      <w:r w:rsidRPr="006C4F4C">
        <w:rPr>
          <w:b/>
          <w:sz w:val="22"/>
          <w:szCs w:val="22"/>
        </w:rPr>
        <w:t>Bad and doubtful debts</w:t>
      </w:r>
    </w:p>
    <w:p w14:paraId="52B6BB7D" w14:textId="77777777" w:rsidR="008F4757" w:rsidRPr="006C4F4C" w:rsidRDefault="00BC4E09" w:rsidP="00C3127B">
      <w:pPr>
        <w:jc w:val="both"/>
        <w:rPr>
          <w:sz w:val="22"/>
          <w:szCs w:val="22"/>
        </w:rPr>
      </w:pPr>
      <w:r w:rsidRPr="006C4F4C">
        <w:rPr>
          <w:sz w:val="22"/>
          <w:szCs w:val="22"/>
        </w:rPr>
        <w:t>Provision is made against rent arrears of current and former tenants as well as other miscellaneous debts to the extent that they are considered potentially irrecoverable.</w:t>
      </w:r>
      <w:r w:rsidR="008F4757" w:rsidRPr="006C4F4C">
        <w:rPr>
          <w:sz w:val="22"/>
          <w:szCs w:val="22"/>
        </w:rPr>
        <w:t xml:space="preserve"> Debts are classed as uncollectable after an assessment of the legislative options available to recover and consideration of specific circumstances. </w:t>
      </w:r>
    </w:p>
    <w:p w14:paraId="47439DF3" w14:textId="77777777" w:rsidR="00BC4E09" w:rsidRPr="006C4F4C" w:rsidRDefault="00BC4E09" w:rsidP="00C3127B">
      <w:pPr>
        <w:pStyle w:val="BodyText"/>
        <w:jc w:val="both"/>
        <w:rPr>
          <w:b/>
          <w:sz w:val="22"/>
          <w:szCs w:val="22"/>
        </w:rPr>
      </w:pPr>
    </w:p>
    <w:p w14:paraId="080F5091" w14:textId="77777777" w:rsidR="00BC4E09" w:rsidRPr="006C4F4C" w:rsidRDefault="00BC4E09" w:rsidP="00C3127B">
      <w:pPr>
        <w:pStyle w:val="BodyText"/>
        <w:jc w:val="both"/>
        <w:rPr>
          <w:sz w:val="22"/>
          <w:szCs w:val="22"/>
        </w:rPr>
      </w:pPr>
      <w:r w:rsidRPr="006C4F4C">
        <w:rPr>
          <w:b/>
          <w:sz w:val="22"/>
          <w:szCs w:val="22"/>
        </w:rPr>
        <w:t>Supported housing</w:t>
      </w:r>
    </w:p>
    <w:p w14:paraId="3D44315E" w14:textId="59BBEFFE" w:rsidR="00333E14" w:rsidRDefault="00BC4E09" w:rsidP="00D25823">
      <w:pPr>
        <w:jc w:val="both"/>
        <w:rPr>
          <w:sz w:val="22"/>
          <w:szCs w:val="22"/>
        </w:rPr>
      </w:pPr>
      <w:r w:rsidRPr="00DC3BF7">
        <w:rPr>
          <w:sz w:val="22"/>
          <w:szCs w:val="22"/>
        </w:rPr>
        <w:t>Expenditure on housing accommodation and supported housing is allocated on the basis of the number of units for each type of accommodation</w:t>
      </w:r>
      <w:r w:rsidR="00C3127B" w:rsidRPr="00DC3BF7">
        <w:rPr>
          <w:sz w:val="22"/>
          <w:szCs w:val="22"/>
        </w:rPr>
        <w:t>.</w:t>
      </w:r>
    </w:p>
    <w:p w14:paraId="02299684" w14:textId="77777777" w:rsidR="00366538" w:rsidRDefault="00366538" w:rsidP="00366538">
      <w:pPr>
        <w:jc w:val="both"/>
        <w:rPr>
          <w:b/>
          <w:sz w:val="22"/>
          <w:szCs w:val="22"/>
        </w:rPr>
      </w:pPr>
    </w:p>
    <w:p w14:paraId="794BDB7F" w14:textId="00C39174" w:rsidR="008F4757" w:rsidRPr="006C4F4C" w:rsidRDefault="008F4757" w:rsidP="00D25823">
      <w:pPr>
        <w:rPr>
          <w:b/>
          <w:sz w:val="22"/>
          <w:szCs w:val="22"/>
        </w:rPr>
      </w:pPr>
      <w:r w:rsidRPr="006C4F4C">
        <w:rPr>
          <w:b/>
          <w:sz w:val="22"/>
          <w:szCs w:val="22"/>
        </w:rPr>
        <w:t xml:space="preserve">Financial </w:t>
      </w:r>
      <w:r w:rsidR="00152165">
        <w:rPr>
          <w:b/>
          <w:sz w:val="22"/>
          <w:szCs w:val="22"/>
        </w:rPr>
        <w:t>i</w:t>
      </w:r>
      <w:r w:rsidRPr="006C4F4C">
        <w:rPr>
          <w:b/>
          <w:sz w:val="22"/>
          <w:szCs w:val="22"/>
        </w:rPr>
        <w:t>nstruments</w:t>
      </w:r>
    </w:p>
    <w:p w14:paraId="3AC82A73" w14:textId="77777777" w:rsidR="007A7276" w:rsidRPr="00E86101" w:rsidRDefault="007A7276" w:rsidP="007A7276">
      <w:pPr>
        <w:jc w:val="both"/>
        <w:rPr>
          <w:sz w:val="22"/>
          <w:szCs w:val="22"/>
        </w:rPr>
      </w:pPr>
      <w:r w:rsidRPr="00E86101">
        <w:rPr>
          <w:sz w:val="22"/>
          <w:szCs w:val="22"/>
        </w:rPr>
        <w:t xml:space="preserve">Loans provided by Wheatley Funding Number 1 Limited (“WFL1”) are classed as basic financial instruments under the requirements of FRS 102 and are measured at amortised cost.  In the case of payment arrangements that exist with customers, these are deemed to constitute financing transactions and are measured at the present value of the future payments discounted at a market rate of interest applicable to similar debt instruments.  </w:t>
      </w:r>
    </w:p>
    <w:p w14:paraId="2C114423" w14:textId="77777777" w:rsidR="007A7276" w:rsidRPr="00E86101" w:rsidRDefault="007A7276" w:rsidP="007A7276">
      <w:pPr>
        <w:jc w:val="both"/>
        <w:rPr>
          <w:sz w:val="22"/>
          <w:szCs w:val="22"/>
        </w:rPr>
      </w:pPr>
    </w:p>
    <w:p w14:paraId="2D6FBBB2" w14:textId="77777777" w:rsidR="007A7276" w:rsidRPr="00E86101" w:rsidRDefault="007A7276" w:rsidP="007A7276">
      <w:pPr>
        <w:jc w:val="both"/>
        <w:rPr>
          <w:sz w:val="22"/>
          <w:szCs w:val="22"/>
        </w:rPr>
      </w:pPr>
      <w:r w:rsidRPr="00E86101">
        <w:rPr>
          <w:sz w:val="22"/>
          <w:szCs w:val="22"/>
        </w:rPr>
        <w:t xml:space="preserve">Any movement in the value of financial instruments recognised in the Statement of Comprehensive Income relates to any in-year adjustments for changes in the value of payment arrangement in place with customers, and the Scottish Government loan.   </w:t>
      </w:r>
    </w:p>
    <w:p w14:paraId="6EF41ACE" w14:textId="77777777" w:rsidR="008F4757" w:rsidRPr="006C4F4C" w:rsidRDefault="008F4757" w:rsidP="008F4757">
      <w:pPr>
        <w:jc w:val="both"/>
        <w:rPr>
          <w:sz w:val="22"/>
          <w:szCs w:val="22"/>
        </w:rPr>
      </w:pPr>
    </w:p>
    <w:p w14:paraId="6D4BFED0" w14:textId="77777777" w:rsidR="000202B4" w:rsidRPr="006C4F4C" w:rsidRDefault="000202B4" w:rsidP="000202B4">
      <w:pPr>
        <w:rPr>
          <w:b/>
          <w:sz w:val="22"/>
          <w:szCs w:val="22"/>
        </w:rPr>
      </w:pPr>
      <w:r w:rsidRPr="006C4F4C">
        <w:rPr>
          <w:b/>
          <w:sz w:val="22"/>
          <w:szCs w:val="22"/>
        </w:rPr>
        <w:t>Deposits and liquid resources</w:t>
      </w:r>
    </w:p>
    <w:p w14:paraId="177B6E19" w14:textId="77777777" w:rsidR="000202B4" w:rsidRPr="006C4F4C" w:rsidRDefault="000202B4" w:rsidP="000202B4">
      <w:pPr>
        <w:jc w:val="both"/>
        <w:rPr>
          <w:sz w:val="22"/>
          <w:szCs w:val="22"/>
        </w:rPr>
      </w:pPr>
      <w:r w:rsidRPr="006C4F4C">
        <w:rPr>
          <w:sz w:val="22"/>
          <w:szCs w:val="22"/>
        </w:rPr>
        <w:t>Cash, for the purpose of the cash flow statement, comprises cash in hand and deposits repayable on demand, less overdrafts repayable on demand.  Liquid resources are current asset investments that are disposable without curtailing or disrupting the business and are readily convertible into known amounts of cash at or close to their carrying values.</w:t>
      </w:r>
    </w:p>
    <w:p w14:paraId="3ACEAED4" w14:textId="77777777" w:rsidR="00D25823" w:rsidRDefault="00D25823">
      <w:pPr>
        <w:rPr>
          <w:b/>
          <w:sz w:val="22"/>
          <w:szCs w:val="22"/>
        </w:rPr>
      </w:pPr>
      <w:r>
        <w:rPr>
          <w:b/>
          <w:sz w:val="22"/>
          <w:szCs w:val="22"/>
        </w:rPr>
        <w:br w:type="page"/>
      </w:r>
    </w:p>
    <w:p w14:paraId="151FC59F" w14:textId="5670FB83" w:rsidR="00D25823" w:rsidRPr="008349BD" w:rsidRDefault="00D25823" w:rsidP="00D25823">
      <w:pPr>
        <w:jc w:val="both"/>
        <w:rPr>
          <w:b/>
          <w:sz w:val="22"/>
          <w:szCs w:val="22"/>
        </w:rPr>
      </w:pPr>
      <w:r w:rsidRPr="008349BD">
        <w:rPr>
          <w:b/>
          <w:sz w:val="22"/>
          <w:szCs w:val="22"/>
        </w:rPr>
        <w:lastRenderedPageBreak/>
        <w:t>NOTES TO THE FINANCIAL STATEMENTS FOR THE YEAR ENDED 31 MARCH 202</w:t>
      </w:r>
      <w:r w:rsidR="00C9757C">
        <w:rPr>
          <w:b/>
          <w:sz w:val="22"/>
          <w:szCs w:val="22"/>
        </w:rPr>
        <w:t>4</w:t>
      </w:r>
      <w:r w:rsidRPr="008349BD">
        <w:rPr>
          <w:b/>
          <w:sz w:val="22"/>
          <w:szCs w:val="22"/>
        </w:rPr>
        <w:t xml:space="preserve"> </w:t>
      </w:r>
      <w:r w:rsidRPr="008349BD">
        <w:rPr>
          <w:b/>
          <w:bCs/>
          <w:sz w:val="22"/>
          <w:szCs w:val="22"/>
        </w:rPr>
        <w:t>(continued)</w:t>
      </w:r>
    </w:p>
    <w:p w14:paraId="7EED1D08" w14:textId="77777777" w:rsidR="00D25823" w:rsidRPr="006C4F4C" w:rsidRDefault="00D25823" w:rsidP="00D25823">
      <w:pPr>
        <w:jc w:val="both"/>
        <w:rPr>
          <w:sz w:val="22"/>
          <w:szCs w:val="22"/>
        </w:rPr>
      </w:pPr>
    </w:p>
    <w:p w14:paraId="697FA58E" w14:textId="77777777" w:rsidR="00D25823" w:rsidRDefault="00D25823" w:rsidP="00D25823">
      <w:pPr>
        <w:tabs>
          <w:tab w:val="left" w:pos="540"/>
        </w:tabs>
        <w:rPr>
          <w:b/>
          <w:sz w:val="22"/>
          <w:szCs w:val="22"/>
        </w:rPr>
      </w:pPr>
      <w:r w:rsidRPr="006C4F4C">
        <w:rPr>
          <w:b/>
          <w:sz w:val="22"/>
          <w:szCs w:val="22"/>
        </w:rPr>
        <w:t>2.</w:t>
      </w:r>
      <w:r w:rsidRPr="006C4F4C">
        <w:rPr>
          <w:b/>
          <w:sz w:val="22"/>
          <w:szCs w:val="22"/>
        </w:rPr>
        <w:tab/>
        <w:t>Accounting policies (continued)</w:t>
      </w:r>
    </w:p>
    <w:p w14:paraId="6E4D7DC7" w14:textId="693519F9" w:rsidR="00256399" w:rsidRPr="006C4F4C" w:rsidRDefault="0023706B" w:rsidP="00703294">
      <w:pPr>
        <w:pStyle w:val="NormalWeb"/>
        <w:rPr>
          <w:sz w:val="22"/>
          <w:szCs w:val="22"/>
        </w:rPr>
      </w:pPr>
      <w:r w:rsidRPr="006C4F4C">
        <w:rPr>
          <w:b/>
          <w:sz w:val="22"/>
          <w:szCs w:val="22"/>
        </w:rPr>
        <w:t>Fixed assets</w:t>
      </w:r>
      <w:r w:rsidR="00256399" w:rsidRPr="006C4F4C">
        <w:rPr>
          <w:b/>
          <w:sz w:val="22"/>
          <w:szCs w:val="22"/>
        </w:rPr>
        <w:t xml:space="preserve"> -</w:t>
      </w:r>
      <w:r w:rsidRPr="006C4F4C">
        <w:rPr>
          <w:b/>
          <w:sz w:val="22"/>
          <w:szCs w:val="22"/>
        </w:rPr>
        <w:t xml:space="preserve"> </w:t>
      </w:r>
      <w:r w:rsidR="00256399" w:rsidRPr="006C4F4C">
        <w:rPr>
          <w:b/>
          <w:sz w:val="22"/>
          <w:szCs w:val="22"/>
        </w:rPr>
        <w:t>housing properties</w:t>
      </w:r>
      <w:r w:rsidR="00703294">
        <w:rPr>
          <w:b/>
          <w:sz w:val="22"/>
          <w:szCs w:val="22"/>
        </w:rPr>
        <w:br/>
      </w:r>
      <w:r w:rsidRPr="006C4F4C">
        <w:rPr>
          <w:sz w:val="22"/>
          <w:szCs w:val="22"/>
        </w:rPr>
        <w:t>In accordance with SORP 2014, t</w:t>
      </w:r>
      <w:r w:rsidR="00256399" w:rsidRPr="006C4F4C">
        <w:rPr>
          <w:sz w:val="22"/>
          <w:szCs w:val="22"/>
        </w:rPr>
        <w:t>he</w:t>
      </w:r>
      <w:r w:rsidR="00953ADD">
        <w:rPr>
          <w:sz w:val="22"/>
          <w:szCs w:val="22"/>
        </w:rPr>
        <w:t xml:space="preserve"> </w:t>
      </w:r>
      <w:r w:rsidR="00333E14">
        <w:rPr>
          <w:sz w:val="22"/>
          <w:szCs w:val="22"/>
        </w:rPr>
        <w:t>WHS</w:t>
      </w:r>
      <w:r w:rsidR="00256399" w:rsidRPr="006C4F4C">
        <w:rPr>
          <w:sz w:val="22"/>
          <w:szCs w:val="22"/>
        </w:rPr>
        <w:t xml:space="preserve"> operates a full component accounting policy in relation to the capitalisation and depreciation of i</w:t>
      </w:r>
      <w:r w:rsidRPr="006C4F4C">
        <w:rPr>
          <w:sz w:val="22"/>
          <w:szCs w:val="22"/>
        </w:rPr>
        <w:t>ts</w:t>
      </w:r>
      <w:r w:rsidR="00256399" w:rsidRPr="006C4F4C">
        <w:rPr>
          <w:sz w:val="22"/>
          <w:szCs w:val="22"/>
        </w:rPr>
        <w:t xml:space="preserve"> completed housing stock. </w:t>
      </w:r>
    </w:p>
    <w:p w14:paraId="65B882F3" w14:textId="5360B769" w:rsidR="00256399" w:rsidRPr="006C4F4C" w:rsidRDefault="00256399"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C4F4C">
        <w:rPr>
          <w:b/>
          <w:sz w:val="22"/>
          <w:szCs w:val="22"/>
        </w:rPr>
        <w:t xml:space="preserve">Valuation of </w:t>
      </w:r>
      <w:r w:rsidR="006478BE">
        <w:rPr>
          <w:b/>
          <w:sz w:val="22"/>
          <w:szCs w:val="22"/>
        </w:rPr>
        <w:t xml:space="preserve">social </w:t>
      </w:r>
      <w:r w:rsidRPr="006C4F4C">
        <w:rPr>
          <w:b/>
          <w:sz w:val="22"/>
          <w:szCs w:val="22"/>
        </w:rPr>
        <w:t>housing of properties</w:t>
      </w:r>
    </w:p>
    <w:p w14:paraId="6553781B" w14:textId="04D2B797" w:rsidR="008C0069" w:rsidRPr="006C4F4C" w:rsidRDefault="00C3127B" w:rsidP="00256399">
      <w:pPr>
        <w:tabs>
          <w:tab w:val="left" w:pos="0"/>
        </w:tabs>
        <w:suppressAutoHyphens/>
        <w:overflowPunct w:val="0"/>
        <w:autoSpaceDE w:val="0"/>
        <w:autoSpaceDN w:val="0"/>
        <w:adjustRightInd w:val="0"/>
        <w:jc w:val="both"/>
        <w:rPr>
          <w:sz w:val="22"/>
          <w:szCs w:val="22"/>
        </w:rPr>
      </w:pPr>
      <w:r>
        <w:rPr>
          <w:sz w:val="22"/>
          <w:szCs w:val="22"/>
        </w:rPr>
        <w:t>H</w:t>
      </w:r>
      <w:r w:rsidR="00256399" w:rsidRPr="006C4F4C">
        <w:rPr>
          <w:sz w:val="22"/>
          <w:szCs w:val="22"/>
        </w:rPr>
        <w:t>ousing properties are valued</w:t>
      </w:r>
      <w:r w:rsidR="008C0069" w:rsidRPr="006C4F4C">
        <w:rPr>
          <w:sz w:val="22"/>
          <w:szCs w:val="22"/>
        </w:rPr>
        <w:t xml:space="preserve"> annually</w:t>
      </w:r>
      <w:r w:rsidR="00256399" w:rsidRPr="006C4F4C">
        <w:rPr>
          <w:sz w:val="22"/>
          <w:szCs w:val="22"/>
        </w:rPr>
        <w:t xml:space="preserve"> on an Existing Use Value for Social Housing (</w:t>
      </w:r>
      <w:r>
        <w:rPr>
          <w:sz w:val="22"/>
          <w:szCs w:val="22"/>
        </w:rPr>
        <w:t>“</w:t>
      </w:r>
      <w:r w:rsidR="00256399" w:rsidRPr="006C4F4C">
        <w:rPr>
          <w:sz w:val="22"/>
          <w:szCs w:val="22"/>
        </w:rPr>
        <w:t>EUV-SH</w:t>
      </w:r>
      <w:r>
        <w:rPr>
          <w:sz w:val="22"/>
          <w:szCs w:val="22"/>
        </w:rPr>
        <w:t>”</w:t>
      </w:r>
      <w:r w:rsidR="00256399" w:rsidRPr="006C4F4C">
        <w:rPr>
          <w:sz w:val="22"/>
          <w:szCs w:val="22"/>
        </w:rPr>
        <w:t>) basis by an independent professional adviser qualified by the Royal Institution of Chartered Surveyors to undertake valuation.</w:t>
      </w:r>
    </w:p>
    <w:p w14:paraId="42092EF5" w14:textId="56DCD631" w:rsidR="00034271" w:rsidRDefault="00034271" w:rsidP="00CE6186">
      <w:pPr>
        <w:rPr>
          <w:b/>
          <w:sz w:val="22"/>
          <w:szCs w:val="22"/>
        </w:rPr>
      </w:pPr>
      <w:r w:rsidRPr="008349BD">
        <w:rPr>
          <w:b/>
          <w:sz w:val="22"/>
          <w:szCs w:val="22"/>
        </w:rPr>
        <w:fldChar w:fldCharType="begin"/>
      </w:r>
      <w:r w:rsidRPr="008349BD">
        <w:rPr>
          <w:b/>
          <w:sz w:val="22"/>
          <w:szCs w:val="22"/>
        </w:rPr>
        <w:instrText xml:space="preserve"> TC "NOTES TO THE FINANCIAL STATEMENTS" \f C \l "1" </w:instrText>
      </w:r>
      <w:r w:rsidRPr="008349BD">
        <w:rPr>
          <w:b/>
          <w:sz w:val="22"/>
          <w:szCs w:val="22"/>
        </w:rPr>
        <w:fldChar w:fldCharType="end"/>
      </w:r>
    </w:p>
    <w:p w14:paraId="6CD6D046" w14:textId="176428FC" w:rsidR="00580C5E" w:rsidRPr="00034271" w:rsidRDefault="008C0069" w:rsidP="00034271">
      <w:pPr>
        <w:jc w:val="both"/>
        <w:rPr>
          <w:sz w:val="22"/>
          <w:szCs w:val="22"/>
        </w:rPr>
      </w:pPr>
      <w:r w:rsidRPr="006C4F4C">
        <w:rPr>
          <w:sz w:val="22"/>
          <w:szCs w:val="22"/>
        </w:rPr>
        <w:t xml:space="preserve">The cost of properties is their purchase price together with the cost of capitalised improvement works </w:t>
      </w:r>
      <w:r w:rsidR="00C3127B">
        <w:rPr>
          <w:sz w:val="22"/>
          <w:szCs w:val="22"/>
        </w:rPr>
        <w:t xml:space="preserve">and repairs </w:t>
      </w:r>
      <w:r w:rsidRPr="006C4F4C">
        <w:rPr>
          <w:sz w:val="22"/>
          <w:szCs w:val="22"/>
        </w:rPr>
        <w:t xml:space="preserve">that result in </w:t>
      </w:r>
      <w:r w:rsidR="00C3127B">
        <w:rPr>
          <w:sz w:val="22"/>
          <w:szCs w:val="22"/>
        </w:rPr>
        <w:t xml:space="preserve">enhancement of the economic benefits of the asset. </w:t>
      </w:r>
      <w:r w:rsidRPr="006C4F4C">
        <w:rPr>
          <w:sz w:val="22"/>
          <w:szCs w:val="22"/>
        </w:rPr>
        <w:t xml:space="preserve">Included in the cost of capitalised improvement works are the direct costs of staff engaged in the investment programme. </w:t>
      </w:r>
    </w:p>
    <w:p w14:paraId="03F35937" w14:textId="77777777" w:rsidR="008B4A32" w:rsidRPr="006C4F4C" w:rsidRDefault="008B4A32" w:rsidP="008B4A32">
      <w:pPr>
        <w:tabs>
          <w:tab w:val="left" w:pos="0"/>
        </w:tabs>
        <w:suppressAutoHyphens/>
        <w:overflowPunct w:val="0"/>
        <w:autoSpaceDE w:val="0"/>
        <w:autoSpaceDN w:val="0"/>
        <w:adjustRightInd w:val="0"/>
        <w:jc w:val="both"/>
        <w:rPr>
          <w:sz w:val="22"/>
          <w:szCs w:val="22"/>
        </w:rPr>
      </w:pPr>
    </w:p>
    <w:p w14:paraId="29B2531F" w14:textId="77777777" w:rsidR="00080FBA" w:rsidRPr="006C4F4C" w:rsidRDefault="00080FBA"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C4F4C">
        <w:rPr>
          <w:b/>
          <w:sz w:val="22"/>
          <w:szCs w:val="22"/>
        </w:rPr>
        <w:t>Depreciation and Impairment</w:t>
      </w:r>
    </w:p>
    <w:p w14:paraId="392B9252" w14:textId="7E1984A1" w:rsidR="00080FBA" w:rsidRPr="006C4F4C" w:rsidRDefault="00080FBA" w:rsidP="00AB73AE">
      <w:pPr>
        <w:jc w:val="both"/>
        <w:rPr>
          <w:sz w:val="22"/>
          <w:szCs w:val="22"/>
        </w:rPr>
      </w:pPr>
      <w:r w:rsidRPr="006C4F4C">
        <w:rPr>
          <w:sz w:val="22"/>
          <w:szCs w:val="22"/>
        </w:rPr>
        <w:t xml:space="preserve">Housing properties are split between land, structure and major components which require periodic replacement. Replacement or refurbishment of such major components is capitalised and depreciated over the estimated useful life which has been set taking into account professional advice, the </w:t>
      </w:r>
      <w:r w:rsidR="00CC6E4C">
        <w:rPr>
          <w:sz w:val="22"/>
          <w:szCs w:val="22"/>
        </w:rPr>
        <w:t>Company</w:t>
      </w:r>
      <w:r w:rsidRPr="006C4F4C">
        <w:rPr>
          <w:sz w:val="22"/>
          <w:szCs w:val="22"/>
        </w:rPr>
        <w:t>’s asset management strategy and the requirement of Scottish Housing Quality Standard.</w:t>
      </w:r>
      <w:r w:rsidR="0071737B">
        <w:rPr>
          <w:sz w:val="22"/>
          <w:szCs w:val="22"/>
        </w:rPr>
        <w:t xml:space="preserve">  </w:t>
      </w:r>
      <w:r w:rsidRPr="006C4F4C">
        <w:rPr>
          <w:sz w:val="22"/>
          <w:szCs w:val="22"/>
        </w:rPr>
        <w:t xml:space="preserve"> In determining the remaining useful lives for the housing st</w:t>
      </w:r>
      <w:r w:rsidR="00586DE2" w:rsidRPr="006C4F4C">
        <w:rPr>
          <w:sz w:val="22"/>
          <w:szCs w:val="22"/>
        </w:rPr>
        <w:t>ock, the</w:t>
      </w:r>
      <w:r w:rsidR="00953ADD">
        <w:rPr>
          <w:sz w:val="22"/>
          <w:szCs w:val="22"/>
        </w:rPr>
        <w:t xml:space="preserve"> </w:t>
      </w:r>
      <w:r w:rsidR="0071737B">
        <w:rPr>
          <w:sz w:val="22"/>
          <w:szCs w:val="22"/>
        </w:rPr>
        <w:t>Company</w:t>
      </w:r>
      <w:r w:rsidR="00586DE2" w:rsidRPr="006C4F4C">
        <w:rPr>
          <w:sz w:val="22"/>
          <w:szCs w:val="22"/>
        </w:rPr>
        <w:t xml:space="preserve"> </w:t>
      </w:r>
      <w:r w:rsidRPr="006C4F4C">
        <w:rPr>
          <w:sz w:val="22"/>
          <w:szCs w:val="22"/>
        </w:rPr>
        <w:t xml:space="preserve">has taken account of views provided by both internal and external professional sources. </w:t>
      </w:r>
      <w:r w:rsidR="008C0069" w:rsidRPr="006C4F4C">
        <w:rPr>
          <w:sz w:val="22"/>
          <w:szCs w:val="22"/>
        </w:rPr>
        <w:t>Freehold land is not subject to depreciation.</w:t>
      </w:r>
    </w:p>
    <w:p w14:paraId="57992742" w14:textId="77777777" w:rsidR="005E3570" w:rsidRDefault="005E3570" w:rsidP="008B4A32">
      <w:pPr>
        <w:tabs>
          <w:tab w:val="left" w:pos="0"/>
        </w:tabs>
        <w:suppressAutoHyphens/>
        <w:overflowPunct w:val="0"/>
        <w:autoSpaceDE w:val="0"/>
        <w:autoSpaceDN w:val="0"/>
        <w:adjustRightInd w:val="0"/>
        <w:jc w:val="both"/>
        <w:rPr>
          <w:sz w:val="22"/>
          <w:szCs w:val="22"/>
        </w:rPr>
      </w:pPr>
    </w:p>
    <w:p w14:paraId="30C6E6F6"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sidRPr="006C4F4C">
        <w:rPr>
          <w:sz w:val="22"/>
          <w:szCs w:val="22"/>
        </w:rPr>
        <w:t xml:space="preserve">Major components are treated as separable assets and depreciated over their expected useful economic lives or the lives of the structure to which they relate, if shorter at the following annual rates. </w:t>
      </w:r>
    </w:p>
    <w:p w14:paraId="599731CC"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p>
    <w:tbl>
      <w:tblPr>
        <w:tblW w:w="0" w:type="auto"/>
        <w:tblLook w:val="04A0" w:firstRow="1" w:lastRow="0" w:firstColumn="1" w:lastColumn="0" w:noHBand="0" w:noVBand="1"/>
      </w:tblPr>
      <w:tblGrid>
        <w:gridCol w:w="3551"/>
        <w:gridCol w:w="1760"/>
        <w:gridCol w:w="1791"/>
        <w:gridCol w:w="1760"/>
      </w:tblGrid>
      <w:tr w:rsidR="0060474D" w:rsidRPr="006C4F4C" w14:paraId="24CD2240" w14:textId="77777777" w:rsidTr="00FE5983">
        <w:tc>
          <w:tcPr>
            <w:tcW w:w="3630" w:type="dxa"/>
            <w:shd w:val="clear" w:color="auto" w:fill="auto"/>
          </w:tcPr>
          <w:p w14:paraId="185E556D"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p>
        </w:tc>
        <w:tc>
          <w:tcPr>
            <w:tcW w:w="1816" w:type="dxa"/>
            <w:shd w:val="clear" w:color="auto" w:fill="auto"/>
            <w:vAlign w:val="bottom"/>
          </w:tcPr>
          <w:p w14:paraId="75FFE2C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74ACD91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Economic life</w:t>
            </w:r>
          </w:p>
        </w:tc>
        <w:tc>
          <w:tcPr>
            <w:tcW w:w="1816" w:type="dxa"/>
            <w:shd w:val="clear" w:color="auto" w:fill="auto"/>
            <w:vAlign w:val="bottom"/>
          </w:tcPr>
          <w:p w14:paraId="26123D79"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35A93CCF" w14:textId="77777777" w:rsidTr="00FE5983">
        <w:tc>
          <w:tcPr>
            <w:tcW w:w="3630" w:type="dxa"/>
            <w:shd w:val="clear" w:color="auto" w:fill="auto"/>
          </w:tcPr>
          <w:p w14:paraId="6CA7BC2D"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Bathrooms</w:t>
            </w:r>
          </w:p>
        </w:tc>
        <w:tc>
          <w:tcPr>
            <w:tcW w:w="1816" w:type="dxa"/>
            <w:shd w:val="clear" w:color="auto" w:fill="auto"/>
            <w:vAlign w:val="bottom"/>
          </w:tcPr>
          <w:p w14:paraId="79EAFCC3" w14:textId="77777777" w:rsidR="0060474D" w:rsidRPr="006C4F4C" w:rsidRDefault="0060474D" w:rsidP="00FE5983">
            <w:pPr>
              <w:tabs>
                <w:tab w:val="left" w:pos="0"/>
              </w:tabs>
              <w:suppressAutoHyphens/>
              <w:overflowPunct w:val="0"/>
              <w:autoSpaceDE w:val="0"/>
              <w:autoSpaceDN w:val="0"/>
              <w:adjustRightInd w:val="0"/>
              <w:rPr>
                <w:sz w:val="22"/>
                <w:szCs w:val="22"/>
              </w:rPr>
            </w:pPr>
          </w:p>
        </w:tc>
        <w:tc>
          <w:tcPr>
            <w:tcW w:w="1816" w:type="dxa"/>
            <w:shd w:val="clear" w:color="auto" w:fill="auto"/>
            <w:vAlign w:val="bottom"/>
          </w:tcPr>
          <w:p w14:paraId="46EFACC4"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25</w:t>
            </w:r>
          </w:p>
        </w:tc>
        <w:tc>
          <w:tcPr>
            <w:tcW w:w="1816" w:type="dxa"/>
            <w:shd w:val="clear" w:color="auto" w:fill="auto"/>
            <w:vAlign w:val="bottom"/>
          </w:tcPr>
          <w:p w14:paraId="73C3B2A4"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7A69501D" w14:textId="77777777" w:rsidTr="00FE5983">
        <w:tc>
          <w:tcPr>
            <w:tcW w:w="3630" w:type="dxa"/>
            <w:shd w:val="clear" w:color="auto" w:fill="auto"/>
          </w:tcPr>
          <w:p w14:paraId="388E9529"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External environment</w:t>
            </w:r>
          </w:p>
        </w:tc>
        <w:tc>
          <w:tcPr>
            <w:tcW w:w="1816" w:type="dxa"/>
            <w:shd w:val="clear" w:color="auto" w:fill="auto"/>
            <w:vAlign w:val="bottom"/>
          </w:tcPr>
          <w:p w14:paraId="50FD1611"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184471A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20</w:t>
            </w:r>
          </w:p>
        </w:tc>
        <w:tc>
          <w:tcPr>
            <w:tcW w:w="1816" w:type="dxa"/>
            <w:shd w:val="clear" w:color="auto" w:fill="auto"/>
            <w:vAlign w:val="bottom"/>
          </w:tcPr>
          <w:p w14:paraId="14C8E797"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7C272E24" w14:textId="77777777" w:rsidTr="00FE5983">
        <w:tc>
          <w:tcPr>
            <w:tcW w:w="3630" w:type="dxa"/>
            <w:shd w:val="clear" w:color="auto" w:fill="auto"/>
          </w:tcPr>
          <w:p w14:paraId="35335495"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External wall finishes</w:t>
            </w:r>
          </w:p>
        </w:tc>
        <w:tc>
          <w:tcPr>
            <w:tcW w:w="1816" w:type="dxa"/>
            <w:shd w:val="clear" w:color="auto" w:fill="auto"/>
            <w:vAlign w:val="bottom"/>
          </w:tcPr>
          <w:p w14:paraId="0D40AF46"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0590CD6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35</w:t>
            </w:r>
          </w:p>
        </w:tc>
        <w:tc>
          <w:tcPr>
            <w:tcW w:w="1816" w:type="dxa"/>
            <w:shd w:val="clear" w:color="auto" w:fill="auto"/>
            <w:vAlign w:val="bottom"/>
          </w:tcPr>
          <w:p w14:paraId="1F257C8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5757F0DF" w14:textId="77777777" w:rsidTr="00FE5983">
        <w:tc>
          <w:tcPr>
            <w:tcW w:w="3630" w:type="dxa"/>
            <w:shd w:val="clear" w:color="auto" w:fill="auto"/>
          </w:tcPr>
          <w:p w14:paraId="062218E3"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Heating system boiler</w:t>
            </w:r>
          </w:p>
        </w:tc>
        <w:tc>
          <w:tcPr>
            <w:tcW w:w="1816" w:type="dxa"/>
            <w:shd w:val="clear" w:color="auto" w:fill="auto"/>
            <w:vAlign w:val="bottom"/>
          </w:tcPr>
          <w:p w14:paraId="65216F0A"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4EADC3C6"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12</w:t>
            </w:r>
          </w:p>
        </w:tc>
        <w:tc>
          <w:tcPr>
            <w:tcW w:w="1816" w:type="dxa"/>
            <w:shd w:val="clear" w:color="auto" w:fill="auto"/>
            <w:vAlign w:val="bottom"/>
          </w:tcPr>
          <w:p w14:paraId="7B3C676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33F69D4A" w14:textId="77777777" w:rsidTr="00FE5983">
        <w:tc>
          <w:tcPr>
            <w:tcW w:w="3630" w:type="dxa"/>
            <w:shd w:val="clear" w:color="auto" w:fill="auto"/>
          </w:tcPr>
          <w:p w14:paraId="63C09106"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Internal works and common areas</w:t>
            </w:r>
          </w:p>
        </w:tc>
        <w:tc>
          <w:tcPr>
            <w:tcW w:w="1816" w:type="dxa"/>
            <w:shd w:val="clear" w:color="auto" w:fill="auto"/>
            <w:vAlign w:val="bottom"/>
          </w:tcPr>
          <w:p w14:paraId="6D88703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2646C4E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20</w:t>
            </w:r>
          </w:p>
        </w:tc>
        <w:tc>
          <w:tcPr>
            <w:tcW w:w="1816" w:type="dxa"/>
            <w:shd w:val="clear" w:color="auto" w:fill="auto"/>
            <w:vAlign w:val="bottom"/>
          </w:tcPr>
          <w:p w14:paraId="03FDA02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0142C5E8" w14:textId="77777777" w:rsidTr="00FE5983">
        <w:tc>
          <w:tcPr>
            <w:tcW w:w="3630" w:type="dxa"/>
            <w:shd w:val="clear" w:color="auto" w:fill="auto"/>
          </w:tcPr>
          <w:p w14:paraId="16FCE98A"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Kitchens</w:t>
            </w:r>
          </w:p>
        </w:tc>
        <w:tc>
          <w:tcPr>
            <w:tcW w:w="1816" w:type="dxa"/>
            <w:shd w:val="clear" w:color="auto" w:fill="auto"/>
            <w:vAlign w:val="bottom"/>
          </w:tcPr>
          <w:p w14:paraId="7F981BCF"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096FDBC0"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20</w:t>
            </w:r>
          </w:p>
        </w:tc>
        <w:tc>
          <w:tcPr>
            <w:tcW w:w="1816" w:type="dxa"/>
            <w:shd w:val="clear" w:color="auto" w:fill="auto"/>
            <w:vAlign w:val="bottom"/>
          </w:tcPr>
          <w:p w14:paraId="234DF87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629908C9" w14:textId="77777777" w:rsidTr="00FE5983">
        <w:tc>
          <w:tcPr>
            <w:tcW w:w="3630" w:type="dxa"/>
            <w:shd w:val="clear" w:color="auto" w:fill="auto"/>
          </w:tcPr>
          <w:p w14:paraId="79AEF75F"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Mechanical, electrical and plumbing</w:t>
            </w:r>
          </w:p>
        </w:tc>
        <w:tc>
          <w:tcPr>
            <w:tcW w:w="1816" w:type="dxa"/>
            <w:shd w:val="clear" w:color="auto" w:fill="auto"/>
            <w:vAlign w:val="bottom"/>
          </w:tcPr>
          <w:p w14:paraId="4854EA27"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7CA7BC19"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25</w:t>
            </w:r>
          </w:p>
        </w:tc>
        <w:tc>
          <w:tcPr>
            <w:tcW w:w="1816" w:type="dxa"/>
            <w:shd w:val="clear" w:color="auto" w:fill="auto"/>
            <w:vAlign w:val="bottom"/>
          </w:tcPr>
          <w:p w14:paraId="49E7F46E"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62A80913" w14:textId="77777777" w:rsidTr="00FE5983">
        <w:tc>
          <w:tcPr>
            <w:tcW w:w="3630" w:type="dxa"/>
            <w:shd w:val="clear" w:color="auto" w:fill="auto"/>
          </w:tcPr>
          <w:p w14:paraId="23F2E548"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Structure and roofs</w:t>
            </w:r>
          </w:p>
        </w:tc>
        <w:tc>
          <w:tcPr>
            <w:tcW w:w="1816" w:type="dxa"/>
            <w:shd w:val="clear" w:color="auto" w:fill="auto"/>
            <w:vAlign w:val="bottom"/>
          </w:tcPr>
          <w:p w14:paraId="3852C1F7"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c>
          <w:tcPr>
            <w:tcW w:w="1816" w:type="dxa"/>
            <w:shd w:val="clear" w:color="auto" w:fill="auto"/>
            <w:vAlign w:val="bottom"/>
          </w:tcPr>
          <w:p w14:paraId="59E7ED28"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50</w:t>
            </w:r>
          </w:p>
        </w:tc>
        <w:tc>
          <w:tcPr>
            <w:tcW w:w="1816" w:type="dxa"/>
            <w:shd w:val="clear" w:color="auto" w:fill="auto"/>
            <w:vAlign w:val="bottom"/>
          </w:tcPr>
          <w:p w14:paraId="3181FBDD"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r w:rsidR="0060474D" w:rsidRPr="006C4F4C" w14:paraId="7F54E025" w14:textId="77777777" w:rsidTr="00FE5983">
        <w:tc>
          <w:tcPr>
            <w:tcW w:w="3630" w:type="dxa"/>
            <w:shd w:val="clear" w:color="auto" w:fill="auto"/>
          </w:tcPr>
          <w:p w14:paraId="63711C28" w14:textId="77777777" w:rsidR="0060474D" w:rsidRPr="006C4F4C" w:rsidRDefault="0060474D" w:rsidP="00FE5983">
            <w:pPr>
              <w:tabs>
                <w:tab w:val="left" w:pos="0"/>
              </w:tabs>
              <w:suppressAutoHyphens/>
              <w:overflowPunct w:val="0"/>
              <w:autoSpaceDE w:val="0"/>
              <w:autoSpaceDN w:val="0"/>
              <w:adjustRightInd w:val="0"/>
              <w:jc w:val="both"/>
              <w:rPr>
                <w:sz w:val="22"/>
                <w:szCs w:val="22"/>
              </w:rPr>
            </w:pPr>
            <w:r w:rsidRPr="006C4F4C">
              <w:rPr>
                <w:sz w:val="22"/>
                <w:szCs w:val="22"/>
              </w:rPr>
              <w:t>Windows and doors</w:t>
            </w:r>
          </w:p>
        </w:tc>
        <w:tc>
          <w:tcPr>
            <w:tcW w:w="1816" w:type="dxa"/>
            <w:shd w:val="clear" w:color="auto" w:fill="auto"/>
            <w:vAlign w:val="bottom"/>
          </w:tcPr>
          <w:p w14:paraId="055206D9" w14:textId="77777777" w:rsidR="0060474D" w:rsidRPr="006C4F4C" w:rsidRDefault="0060474D" w:rsidP="00FE5983">
            <w:pPr>
              <w:tabs>
                <w:tab w:val="left" w:pos="0"/>
              </w:tabs>
              <w:suppressAutoHyphens/>
              <w:overflowPunct w:val="0"/>
              <w:autoSpaceDE w:val="0"/>
              <w:autoSpaceDN w:val="0"/>
              <w:adjustRightInd w:val="0"/>
              <w:rPr>
                <w:sz w:val="22"/>
                <w:szCs w:val="22"/>
              </w:rPr>
            </w:pPr>
          </w:p>
        </w:tc>
        <w:tc>
          <w:tcPr>
            <w:tcW w:w="1816" w:type="dxa"/>
            <w:shd w:val="clear" w:color="auto" w:fill="auto"/>
            <w:vAlign w:val="bottom"/>
          </w:tcPr>
          <w:p w14:paraId="36DD5DEB"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r w:rsidRPr="006C4F4C">
              <w:rPr>
                <w:sz w:val="22"/>
                <w:szCs w:val="22"/>
              </w:rPr>
              <w:t>30</w:t>
            </w:r>
          </w:p>
        </w:tc>
        <w:tc>
          <w:tcPr>
            <w:tcW w:w="1816" w:type="dxa"/>
            <w:shd w:val="clear" w:color="auto" w:fill="auto"/>
            <w:vAlign w:val="bottom"/>
          </w:tcPr>
          <w:p w14:paraId="6568C4DB" w14:textId="77777777" w:rsidR="0060474D" w:rsidRPr="006C4F4C" w:rsidRDefault="0060474D" w:rsidP="00FE5983">
            <w:pPr>
              <w:tabs>
                <w:tab w:val="left" w:pos="0"/>
              </w:tabs>
              <w:suppressAutoHyphens/>
              <w:overflowPunct w:val="0"/>
              <w:autoSpaceDE w:val="0"/>
              <w:autoSpaceDN w:val="0"/>
              <w:adjustRightInd w:val="0"/>
              <w:jc w:val="center"/>
              <w:rPr>
                <w:sz w:val="22"/>
                <w:szCs w:val="22"/>
              </w:rPr>
            </w:pPr>
          </w:p>
        </w:tc>
      </w:tr>
    </w:tbl>
    <w:p w14:paraId="07AB70CD" w14:textId="77777777" w:rsidR="00810BFC" w:rsidRDefault="00810BFC" w:rsidP="008B4A32">
      <w:pPr>
        <w:tabs>
          <w:tab w:val="left" w:pos="0"/>
        </w:tabs>
        <w:suppressAutoHyphens/>
        <w:overflowPunct w:val="0"/>
        <w:autoSpaceDE w:val="0"/>
        <w:autoSpaceDN w:val="0"/>
        <w:adjustRightInd w:val="0"/>
        <w:jc w:val="both"/>
        <w:rPr>
          <w:sz w:val="22"/>
          <w:szCs w:val="22"/>
        </w:rPr>
      </w:pPr>
    </w:p>
    <w:p w14:paraId="2C3071B6"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sidRPr="006C4F4C">
        <w:rPr>
          <w:sz w:val="22"/>
          <w:szCs w:val="22"/>
        </w:rPr>
        <w:t>Housing assets are depreciated in the month of acquisition, or in the case of a larger project, from the month of completion.</w:t>
      </w:r>
    </w:p>
    <w:p w14:paraId="59316C18" w14:textId="77777777" w:rsidR="00CE6186" w:rsidRDefault="00CE6186">
      <w:pPr>
        <w:rPr>
          <w:b/>
          <w:sz w:val="22"/>
          <w:szCs w:val="22"/>
        </w:rPr>
      </w:pPr>
      <w:r>
        <w:rPr>
          <w:b/>
          <w:sz w:val="22"/>
          <w:szCs w:val="22"/>
        </w:rPr>
        <w:br w:type="page"/>
      </w:r>
    </w:p>
    <w:p w14:paraId="720D1EBA" w14:textId="6901270F" w:rsidR="00D93BA6" w:rsidRDefault="00D93BA6" w:rsidP="008B4A32">
      <w:pPr>
        <w:tabs>
          <w:tab w:val="left" w:pos="0"/>
        </w:tabs>
        <w:suppressAutoHyphens/>
        <w:overflowPunct w:val="0"/>
        <w:autoSpaceDE w:val="0"/>
        <w:autoSpaceDN w:val="0"/>
        <w:adjustRightInd w:val="0"/>
        <w:jc w:val="both"/>
        <w:rPr>
          <w:b/>
          <w:bCs/>
          <w:sz w:val="22"/>
          <w:szCs w:val="22"/>
        </w:rPr>
      </w:pPr>
      <w:r w:rsidRPr="008349BD">
        <w:rPr>
          <w:b/>
          <w:sz w:val="22"/>
          <w:szCs w:val="22"/>
        </w:rPr>
        <w:lastRenderedPageBreak/>
        <w:t>NOTES TO THE FINANCIAL STATEMENTS FOR THE YEAR ENDED 31 MARCH 202</w:t>
      </w:r>
      <w:r w:rsidR="003336EE">
        <w:rPr>
          <w:b/>
          <w:sz w:val="22"/>
          <w:szCs w:val="22"/>
        </w:rPr>
        <w:t>4</w:t>
      </w:r>
      <w:r w:rsidRPr="008349BD">
        <w:rPr>
          <w:b/>
          <w:sz w:val="22"/>
          <w:szCs w:val="22"/>
        </w:rPr>
        <w:t xml:space="preserve"> </w:t>
      </w:r>
      <w:r w:rsidRPr="008349BD">
        <w:rPr>
          <w:b/>
          <w:bCs/>
          <w:sz w:val="22"/>
          <w:szCs w:val="22"/>
        </w:rPr>
        <w:t>(continued)</w:t>
      </w:r>
    </w:p>
    <w:p w14:paraId="234E9F9E" w14:textId="77777777" w:rsidR="00D93BA6" w:rsidRDefault="00D93BA6" w:rsidP="008B4A32">
      <w:pPr>
        <w:tabs>
          <w:tab w:val="left" w:pos="0"/>
        </w:tabs>
        <w:suppressAutoHyphens/>
        <w:overflowPunct w:val="0"/>
        <w:autoSpaceDE w:val="0"/>
        <w:autoSpaceDN w:val="0"/>
        <w:adjustRightInd w:val="0"/>
        <w:jc w:val="both"/>
        <w:rPr>
          <w:b/>
          <w:bCs/>
          <w:sz w:val="22"/>
          <w:szCs w:val="22"/>
        </w:rPr>
      </w:pPr>
    </w:p>
    <w:p w14:paraId="2B1E1DA7" w14:textId="77777777" w:rsidR="00CE6186" w:rsidRPr="006C4F4C" w:rsidRDefault="00CE6186" w:rsidP="00CE6186">
      <w:pPr>
        <w:tabs>
          <w:tab w:val="left" w:pos="540"/>
        </w:tabs>
        <w:rPr>
          <w:b/>
          <w:sz w:val="22"/>
          <w:szCs w:val="22"/>
        </w:rPr>
      </w:pPr>
      <w:r w:rsidRPr="006C4F4C">
        <w:rPr>
          <w:b/>
          <w:sz w:val="22"/>
          <w:szCs w:val="22"/>
        </w:rPr>
        <w:t>2.</w:t>
      </w:r>
      <w:r w:rsidRPr="006C4F4C">
        <w:rPr>
          <w:b/>
          <w:sz w:val="22"/>
          <w:szCs w:val="22"/>
        </w:rPr>
        <w:tab/>
        <w:t>Accounting policies (continued)</w:t>
      </w:r>
    </w:p>
    <w:p w14:paraId="0FA895BF" w14:textId="77777777" w:rsidR="008B4A32" w:rsidRPr="006C4F4C" w:rsidRDefault="008B4A32" w:rsidP="008B4A32">
      <w:pPr>
        <w:tabs>
          <w:tab w:val="left" w:pos="0"/>
        </w:tabs>
        <w:suppressAutoHyphens/>
        <w:overflowPunct w:val="0"/>
        <w:autoSpaceDE w:val="0"/>
        <w:autoSpaceDN w:val="0"/>
        <w:adjustRightInd w:val="0"/>
        <w:jc w:val="both"/>
        <w:rPr>
          <w:sz w:val="22"/>
          <w:szCs w:val="22"/>
        </w:rPr>
      </w:pPr>
    </w:p>
    <w:p w14:paraId="51857968" w14:textId="77777777" w:rsidR="008B4A32" w:rsidRPr="006C4F4C" w:rsidRDefault="008B4A32" w:rsidP="008B4A32">
      <w:pPr>
        <w:tabs>
          <w:tab w:val="left" w:pos="0"/>
        </w:tabs>
        <w:suppressAutoHyphens/>
        <w:overflowPunct w:val="0"/>
        <w:autoSpaceDE w:val="0"/>
        <w:autoSpaceDN w:val="0"/>
        <w:adjustRightInd w:val="0"/>
        <w:jc w:val="both"/>
        <w:rPr>
          <w:sz w:val="22"/>
          <w:szCs w:val="22"/>
        </w:rPr>
      </w:pPr>
      <w:r w:rsidRPr="006C4F4C">
        <w:rPr>
          <w:sz w:val="22"/>
          <w:szCs w:val="22"/>
        </w:rPr>
        <w:t>Where there is evidence of impairment, the fixed assets are written down to the recoverable amount and any write down would be charged to</w:t>
      </w:r>
      <w:r w:rsidR="006406E5" w:rsidRPr="006C4F4C">
        <w:rPr>
          <w:sz w:val="22"/>
          <w:szCs w:val="22"/>
        </w:rPr>
        <w:t xml:space="preserve"> operating surplus. </w:t>
      </w:r>
    </w:p>
    <w:p w14:paraId="088F6D64" w14:textId="77777777" w:rsidR="00256399" w:rsidRPr="006C4F4C" w:rsidRDefault="00256399" w:rsidP="00256399">
      <w:pPr>
        <w:tabs>
          <w:tab w:val="left" w:pos="0"/>
        </w:tabs>
        <w:suppressAutoHyphens/>
        <w:overflowPunct w:val="0"/>
        <w:autoSpaceDE w:val="0"/>
        <w:autoSpaceDN w:val="0"/>
        <w:adjustRightInd w:val="0"/>
        <w:jc w:val="both"/>
        <w:rPr>
          <w:sz w:val="22"/>
          <w:szCs w:val="22"/>
        </w:rPr>
      </w:pPr>
    </w:p>
    <w:p w14:paraId="01644A4E" w14:textId="77777777" w:rsidR="008B4A32" w:rsidRPr="006C4F4C" w:rsidRDefault="008B4A32" w:rsidP="00E520D8">
      <w:pPr>
        <w:numPr>
          <w:ilvl w:val="0"/>
          <w:numId w:val="7"/>
        </w:numPr>
        <w:tabs>
          <w:tab w:val="left" w:pos="0"/>
        </w:tabs>
        <w:suppressAutoHyphens/>
        <w:overflowPunct w:val="0"/>
        <w:autoSpaceDE w:val="0"/>
        <w:autoSpaceDN w:val="0"/>
        <w:adjustRightInd w:val="0"/>
        <w:ind w:hanging="720"/>
        <w:jc w:val="both"/>
        <w:rPr>
          <w:b/>
          <w:sz w:val="22"/>
          <w:szCs w:val="22"/>
        </w:rPr>
      </w:pPr>
      <w:r w:rsidRPr="006C4F4C">
        <w:rPr>
          <w:b/>
          <w:sz w:val="22"/>
          <w:szCs w:val="22"/>
        </w:rPr>
        <w:t>New Build</w:t>
      </w:r>
    </w:p>
    <w:p w14:paraId="7F8355EB" w14:textId="77777777" w:rsidR="00256399" w:rsidRPr="006C4F4C" w:rsidRDefault="008B4A32" w:rsidP="008B4A32">
      <w:pPr>
        <w:tabs>
          <w:tab w:val="left" w:pos="0"/>
        </w:tabs>
        <w:suppressAutoHyphens/>
        <w:overflowPunct w:val="0"/>
        <w:autoSpaceDE w:val="0"/>
        <w:autoSpaceDN w:val="0"/>
        <w:adjustRightInd w:val="0"/>
        <w:jc w:val="both"/>
        <w:rPr>
          <w:sz w:val="22"/>
          <w:szCs w:val="22"/>
        </w:rPr>
      </w:pPr>
      <w:r w:rsidRPr="006C4F4C">
        <w:rPr>
          <w:sz w:val="22"/>
          <w:szCs w:val="22"/>
        </w:rPr>
        <w:t>Housing properties in the course of construction are held at cost and are not depreciated. They are transferred to completed properties when ready for letting or sale.</w:t>
      </w:r>
      <w:r w:rsidR="00256399" w:rsidRPr="006C4F4C">
        <w:rPr>
          <w:sz w:val="22"/>
          <w:szCs w:val="22"/>
        </w:rPr>
        <w:t xml:space="preserve"> </w:t>
      </w:r>
    </w:p>
    <w:p w14:paraId="6C84126E" w14:textId="77777777" w:rsidR="00256399" w:rsidRPr="006C4F4C" w:rsidRDefault="00256399" w:rsidP="008B4A32">
      <w:pPr>
        <w:tabs>
          <w:tab w:val="left" w:pos="0"/>
        </w:tabs>
        <w:suppressAutoHyphens/>
        <w:overflowPunct w:val="0"/>
        <w:autoSpaceDE w:val="0"/>
        <w:autoSpaceDN w:val="0"/>
        <w:adjustRightInd w:val="0"/>
        <w:jc w:val="both"/>
        <w:rPr>
          <w:sz w:val="22"/>
          <w:szCs w:val="22"/>
        </w:rPr>
      </w:pPr>
    </w:p>
    <w:p w14:paraId="21C3E74C" w14:textId="11B9BB6D" w:rsidR="006B2832" w:rsidRDefault="00256399" w:rsidP="006B2832">
      <w:pPr>
        <w:tabs>
          <w:tab w:val="left" w:pos="0"/>
        </w:tabs>
        <w:suppressAutoHyphens/>
        <w:overflowPunct w:val="0"/>
        <w:autoSpaceDE w:val="0"/>
        <w:autoSpaceDN w:val="0"/>
        <w:adjustRightInd w:val="0"/>
        <w:jc w:val="both"/>
        <w:rPr>
          <w:sz w:val="22"/>
          <w:szCs w:val="22"/>
        </w:rPr>
      </w:pPr>
      <w:r w:rsidRPr="006C4F4C">
        <w:rPr>
          <w:sz w:val="22"/>
          <w:szCs w:val="22"/>
        </w:rPr>
        <w:t xml:space="preserve">The </w:t>
      </w:r>
      <w:r w:rsidR="00E90F13">
        <w:rPr>
          <w:sz w:val="22"/>
          <w:szCs w:val="22"/>
        </w:rPr>
        <w:t>Company</w:t>
      </w:r>
      <w:r w:rsidRPr="006C4F4C">
        <w:rPr>
          <w:sz w:val="22"/>
          <w:szCs w:val="22"/>
        </w:rPr>
        <w:t>’s policy is to capitalise the following:</w:t>
      </w:r>
    </w:p>
    <w:p w14:paraId="738D0049" w14:textId="77777777" w:rsidR="006B2832" w:rsidRDefault="006B2832" w:rsidP="006B2832">
      <w:pPr>
        <w:tabs>
          <w:tab w:val="left" w:pos="0"/>
        </w:tabs>
        <w:suppressAutoHyphens/>
        <w:overflowPunct w:val="0"/>
        <w:autoSpaceDE w:val="0"/>
        <w:autoSpaceDN w:val="0"/>
        <w:adjustRightInd w:val="0"/>
        <w:jc w:val="both"/>
        <w:rPr>
          <w:sz w:val="22"/>
          <w:szCs w:val="22"/>
        </w:rPr>
      </w:pPr>
    </w:p>
    <w:p w14:paraId="0350DAC6" w14:textId="04FB74AE" w:rsidR="00256399" w:rsidRPr="006C4F4C" w:rsidRDefault="00256399" w:rsidP="006B2832">
      <w:pPr>
        <w:numPr>
          <w:ilvl w:val="0"/>
          <w:numId w:val="7"/>
        </w:numPr>
        <w:tabs>
          <w:tab w:val="left" w:pos="0"/>
        </w:tabs>
        <w:suppressAutoHyphens/>
        <w:overflowPunct w:val="0"/>
        <w:autoSpaceDE w:val="0"/>
        <w:autoSpaceDN w:val="0"/>
        <w:adjustRightInd w:val="0"/>
        <w:jc w:val="both"/>
        <w:rPr>
          <w:sz w:val="22"/>
          <w:szCs w:val="22"/>
        </w:rPr>
      </w:pPr>
      <w:r w:rsidRPr="006C4F4C">
        <w:rPr>
          <w:sz w:val="22"/>
          <w:szCs w:val="22"/>
        </w:rPr>
        <w:t>Cost of acquiring land and buildings</w:t>
      </w:r>
      <w:r w:rsidR="00B87DBA">
        <w:rPr>
          <w:sz w:val="22"/>
          <w:szCs w:val="22"/>
        </w:rPr>
        <w:t>;</w:t>
      </w:r>
    </w:p>
    <w:p w14:paraId="4FE580EC" w14:textId="77777777" w:rsidR="000C18A7" w:rsidRPr="006C4F4C" w:rsidRDefault="000C18A7" w:rsidP="00E520D8">
      <w:pPr>
        <w:numPr>
          <w:ilvl w:val="0"/>
          <w:numId w:val="6"/>
        </w:numPr>
        <w:tabs>
          <w:tab w:val="left" w:pos="0"/>
        </w:tabs>
        <w:suppressAutoHyphens/>
        <w:overflowPunct w:val="0"/>
        <w:autoSpaceDE w:val="0"/>
        <w:autoSpaceDN w:val="0"/>
        <w:adjustRightInd w:val="0"/>
        <w:jc w:val="both"/>
        <w:rPr>
          <w:sz w:val="22"/>
          <w:szCs w:val="22"/>
        </w:rPr>
      </w:pPr>
      <w:r w:rsidRPr="006C4F4C">
        <w:rPr>
          <w:sz w:val="22"/>
          <w:szCs w:val="22"/>
        </w:rPr>
        <w:t>Interest costs directly attributable;</w:t>
      </w:r>
    </w:p>
    <w:p w14:paraId="328FB0E9" w14:textId="77777777" w:rsidR="00D02DAE"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C4F4C">
        <w:rPr>
          <w:sz w:val="22"/>
          <w:szCs w:val="22"/>
        </w:rPr>
        <w:t xml:space="preserve">Development expenditure, including </w:t>
      </w:r>
      <w:r w:rsidR="006B2832">
        <w:rPr>
          <w:sz w:val="22"/>
          <w:szCs w:val="22"/>
        </w:rPr>
        <w:t xml:space="preserve">staff costs attributable to the delivery of the capital investment programme; </w:t>
      </w:r>
    </w:p>
    <w:p w14:paraId="4D829696" w14:textId="77777777" w:rsidR="00D02DAE" w:rsidRDefault="00D02DAE" w:rsidP="00E520D8">
      <w:pPr>
        <w:numPr>
          <w:ilvl w:val="0"/>
          <w:numId w:val="6"/>
        </w:numPr>
        <w:tabs>
          <w:tab w:val="left" w:pos="0"/>
        </w:tabs>
        <w:suppressAutoHyphens/>
        <w:overflowPunct w:val="0"/>
        <w:autoSpaceDE w:val="0"/>
        <w:autoSpaceDN w:val="0"/>
        <w:adjustRightInd w:val="0"/>
        <w:jc w:val="both"/>
        <w:rPr>
          <w:sz w:val="22"/>
          <w:szCs w:val="22"/>
        </w:rPr>
      </w:pPr>
      <w:r>
        <w:rPr>
          <w:sz w:val="22"/>
          <w:szCs w:val="22"/>
        </w:rPr>
        <w:t>The cost of packages of work completed on void properties;</w:t>
      </w:r>
      <w:r w:rsidR="006B2832">
        <w:rPr>
          <w:sz w:val="22"/>
          <w:szCs w:val="22"/>
        </w:rPr>
        <w:t xml:space="preserve"> and</w:t>
      </w:r>
    </w:p>
    <w:p w14:paraId="25D7DE52" w14:textId="77777777" w:rsidR="00256399" w:rsidRPr="006C4F4C" w:rsidRDefault="00256399" w:rsidP="00E520D8">
      <w:pPr>
        <w:numPr>
          <w:ilvl w:val="0"/>
          <w:numId w:val="6"/>
        </w:numPr>
        <w:tabs>
          <w:tab w:val="left" w:pos="0"/>
        </w:tabs>
        <w:suppressAutoHyphens/>
        <w:overflowPunct w:val="0"/>
        <w:autoSpaceDE w:val="0"/>
        <w:autoSpaceDN w:val="0"/>
        <w:adjustRightInd w:val="0"/>
        <w:jc w:val="both"/>
        <w:rPr>
          <w:sz w:val="22"/>
          <w:szCs w:val="22"/>
        </w:rPr>
      </w:pPr>
      <w:r w:rsidRPr="006C4F4C">
        <w:rPr>
          <w:sz w:val="22"/>
          <w:szCs w:val="22"/>
        </w:rPr>
        <w:t>Other directly attributable internal and external costs.</w:t>
      </w:r>
    </w:p>
    <w:p w14:paraId="6578C3DB" w14:textId="77777777" w:rsidR="008B4A32" w:rsidRPr="006C4F4C" w:rsidRDefault="008B4A32" w:rsidP="008B4A32">
      <w:pPr>
        <w:tabs>
          <w:tab w:val="left" w:pos="540"/>
        </w:tabs>
        <w:rPr>
          <w:b/>
          <w:sz w:val="22"/>
          <w:szCs w:val="22"/>
        </w:rPr>
      </w:pPr>
    </w:p>
    <w:p w14:paraId="487128CE" w14:textId="034F85A4" w:rsidR="00CE6186" w:rsidRPr="003B3C19" w:rsidRDefault="00080FBA" w:rsidP="003B3C19">
      <w:pPr>
        <w:tabs>
          <w:tab w:val="left" w:pos="0"/>
        </w:tabs>
        <w:suppressAutoHyphens/>
        <w:overflowPunct w:val="0"/>
        <w:autoSpaceDE w:val="0"/>
        <w:autoSpaceDN w:val="0"/>
        <w:adjustRightInd w:val="0"/>
        <w:jc w:val="both"/>
        <w:rPr>
          <w:sz w:val="22"/>
          <w:szCs w:val="22"/>
        </w:rPr>
      </w:pPr>
      <w:r w:rsidRPr="006C4F4C">
        <w:rPr>
          <w:sz w:val="22"/>
          <w:szCs w:val="22"/>
        </w:rPr>
        <w:t>Expenditure on schemes which are subsequently aborted will be written off in the year in which it is recognised that the schemes will not be developed to completion</w:t>
      </w:r>
      <w:r w:rsidR="00990D14">
        <w:rPr>
          <w:sz w:val="22"/>
          <w:szCs w:val="22"/>
        </w:rPr>
        <w:t>.</w:t>
      </w:r>
    </w:p>
    <w:p w14:paraId="054352FA" w14:textId="77777777" w:rsidR="0060474D" w:rsidRDefault="0060474D">
      <w:pPr>
        <w:rPr>
          <w:b/>
          <w:bCs/>
          <w:sz w:val="22"/>
          <w:szCs w:val="22"/>
        </w:rPr>
      </w:pPr>
    </w:p>
    <w:p w14:paraId="28051BAF" w14:textId="77777777" w:rsidR="0060474D" w:rsidRPr="0068777C" w:rsidRDefault="0060474D" w:rsidP="0060474D">
      <w:pPr>
        <w:tabs>
          <w:tab w:val="left" w:pos="0"/>
        </w:tabs>
        <w:suppressAutoHyphens/>
        <w:overflowPunct w:val="0"/>
        <w:autoSpaceDE w:val="0"/>
        <w:autoSpaceDN w:val="0"/>
        <w:adjustRightInd w:val="0"/>
        <w:jc w:val="both"/>
        <w:rPr>
          <w:b/>
          <w:sz w:val="22"/>
          <w:szCs w:val="22"/>
        </w:rPr>
      </w:pPr>
      <w:r w:rsidRPr="0068777C">
        <w:rPr>
          <w:b/>
          <w:sz w:val="22"/>
          <w:szCs w:val="22"/>
        </w:rPr>
        <w:t>Non-social housing properties</w:t>
      </w:r>
    </w:p>
    <w:p w14:paraId="6703C6D6" w14:textId="77777777" w:rsidR="0060474D" w:rsidRPr="00670268" w:rsidRDefault="0060474D" w:rsidP="0060474D">
      <w:pPr>
        <w:jc w:val="both"/>
        <w:rPr>
          <w:b/>
          <w:sz w:val="22"/>
          <w:szCs w:val="22"/>
        </w:rPr>
      </w:pPr>
      <w:r w:rsidRPr="00670268">
        <w:rPr>
          <w:sz w:val="22"/>
        </w:rPr>
        <w:t>Housing for Mid-Market Rent is valued on an open market value subject to tenancies basis at the date of the Statement of Financial Position by an independent professional advisor qualified by the Royal Institution of Chartered Surveyors to undertake valuation and are held as investment properties and not subject to depreciation. Where it is considered that there has been any impairment in value this is provided for accordingly. The cost of properties is their purchase price together with capitalised improvement works.</w:t>
      </w:r>
      <w:r w:rsidRPr="00670268">
        <w:rPr>
          <w:b/>
          <w:sz w:val="22"/>
          <w:szCs w:val="22"/>
        </w:rPr>
        <w:t xml:space="preserve"> </w:t>
      </w:r>
    </w:p>
    <w:p w14:paraId="16EFFDC6" w14:textId="77777777" w:rsidR="0060474D" w:rsidRPr="00670268" w:rsidRDefault="0060474D" w:rsidP="0060474D">
      <w:pPr>
        <w:tabs>
          <w:tab w:val="left" w:pos="0"/>
        </w:tabs>
        <w:suppressAutoHyphens/>
        <w:overflowPunct w:val="0"/>
        <w:autoSpaceDE w:val="0"/>
        <w:autoSpaceDN w:val="0"/>
        <w:adjustRightInd w:val="0"/>
        <w:jc w:val="both"/>
        <w:rPr>
          <w:b/>
          <w:sz w:val="22"/>
          <w:szCs w:val="22"/>
        </w:rPr>
      </w:pPr>
    </w:p>
    <w:p w14:paraId="0FE75C57" w14:textId="77777777" w:rsidR="0060474D" w:rsidRDefault="0060474D" w:rsidP="0060474D">
      <w:pPr>
        <w:jc w:val="both"/>
        <w:rPr>
          <w:sz w:val="22"/>
        </w:rPr>
      </w:pPr>
      <w:r w:rsidRPr="00670268">
        <w:rPr>
          <w:sz w:val="22"/>
        </w:rPr>
        <w:t>Commercial properties are held as investment properties and not subject to depreciation, they are held at existing use value and are subject to revaluation by an independent professional advisor qualified by the Royal Institute of Chartered Surveyors to undertake valuation. Commercial properties are revalued at each reporting date.</w:t>
      </w:r>
    </w:p>
    <w:p w14:paraId="7204F039" w14:textId="77777777" w:rsidR="0060474D" w:rsidRDefault="0060474D">
      <w:pPr>
        <w:rPr>
          <w:b/>
          <w:bCs/>
          <w:sz w:val="22"/>
          <w:szCs w:val="22"/>
        </w:rPr>
      </w:pPr>
    </w:p>
    <w:p w14:paraId="045C78A6" w14:textId="77777777" w:rsidR="0060474D" w:rsidRPr="006C4F4C" w:rsidRDefault="0060474D" w:rsidP="0060474D">
      <w:pPr>
        <w:tabs>
          <w:tab w:val="left" w:pos="0"/>
        </w:tabs>
        <w:suppressAutoHyphens/>
        <w:overflowPunct w:val="0"/>
        <w:autoSpaceDE w:val="0"/>
        <w:autoSpaceDN w:val="0"/>
        <w:adjustRightInd w:val="0"/>
        <w:jc w:val="both"/>
        <w:rPr>
          <w:b/>
          <w:sz w:val="22"/>
          <w:szCs w:val="22"/>
        </w:rPr>
      </w:pPr>
      <w:r>
        <w:rPr>
          <w:b/>
          <w:sz w:val="22"/>
          <w:szCs w:val="22"/>
        </w:rPr>
        <w:t>New Build</w:t>
      </w:r>
      <w:r w:rsidRPr="006C4F4C">
        <w:rPr>
          <w:b/>
          <w:sz w:val="22"/>
          <w:szCs w:val="22"/>
        </w:rPr>
        <w:t xml:space="preserve"> Grant and other capital grants</w:t>
      </w:r>
    </w:p>
    <w:p w14:paraId="6A8D32D2"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Pr>
          <w:sz w:val="22"/>
          <w:szCs w:val="22"/>
        </w:rPr>
        <w:t>New Build</w:t>
      </w:r>
      <w:r w:rsidRPr="006C4F4C">
        <w:rPr>
          <w:sz w:val="22"/>
          <w:szCs w:val="22"/>
        </w:rPr>
        <w:t xml:space="preserve"> Grant is received from central government and local authorities and contributes to the costs of housing properties.</w:t>
      </w:r>
    </w:p>
    <w:p w14:paraId="45E39D2C"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p>
    <w:p w14:paraId="481176A1" w14:textId="77777777" w:rsidR="0060474D" w:rsidRPr="006C4F4C" w:rsidRDefault="0060474D" w:rsidP="0060474D">
      <w:pPr>
        <w:tabs>
          <w:tab w:val="left" w:pos="0"/>
        </w:tabs>
        <w:suppressAutoHyphens/>
        <w:overflowPunct w:val="0"/>
        <w:autoSpaceDE w:val="0"/>
        <w:autoSpaceDN w:val="0"/>
        <w:adjustRightInd w:val="0"/>
        <w:jc w:val="both"/>
        <w:rPr>
          <w:sz w:val="22"/>
          <w:szCs w:val="22"/>
        </w:rPr>
      </w:pPr>
      <w:r>
        <w:rPr>
          <w:sz w:val="22"/>
          <w:szCs w:val="22"/>
        </w:rPr>
        <w:t>New Build Grant</w:t>
      </w:r>
      <w:r w:rsidRPr="006C4F4C">
        <w:rPr>
          <w:sz w:val="22"/>
          <w:szCs w:val="22"/>
        </w:rPr>
        <w:t xml:space="preserve"> received is recognised as income in the Statement of Comprehensive Income when new build properties are completed, or t</w:t>
      </w:r>
      <w:r>
        <w:rPr>
          <w:sz w:val="22"/>
          <w:szCs w:val="22"/>
        </w:rPr>
        <w:t>he capital work is carried out.</w:t>
      </w:r>
      <w:r w:rsidRPr="006C4F4C">
        <w:rPr>
          <w:sz w:val="22"/>
          <w:szCs w:val="22"/>
        </w:rPr>
        <w:t xml:space="preserve"> </w:t>
      </w:r>
      <w:r>
        <w:rPr>
          <w:sz w:val="22"/>
          <w:szCs w:val="22"/>
        </w:rPr>
        <w:t>New Build Grant</w:t>
      </w:r>
      <w:r w:rsidRPr="006C4F4C">
        <w:rPr>
          <w:sz w:val="22"/>
          <w:szCs w:val="22"/>
        </w:rPr>
        <w:t xml:space="preserve"> due or received is held as deferred income until the performance conditions are satisfied, at which point it is recognised as income in the Statement of Comprehensive Income within turnover. Grant received in respect of revenue expenditure is recognised as income in the same period to which it relates. </w:t>
      </w:r>
    </w:p>
    <w:p w14:paraId="7532D9A2" w14:textId="77777777" w:rsidR="0060474D" w:rsidRDefault="0060474D">
      <w:pPr>
        <w:rPr>
          <w:b/>
          <w:bCs/>
          <w:sz w:val="22"/>
          <w:szCs w:val="22"/>
        </w:rPr>
      </w:pPr>
    </w:p>
    <w:p w14:paraId="3AD40C2B" w14:textId="77777777" w:rsidR="0060474D" w:rsidRPr="00805998" w:rsidRDefault="0060474D" w:rsidP="0060474D">
      <w:pPr>
        <w:jc w:val="both"/>
        <w:rPr>
          <w:sz w:val="22"/>
          <w:szCs w:val="22"/>
        </w:rPr>
      </w:pPr>
      <w:r w:rsidRPr="006C4F4C">
        <w:rPr>
          <w:sz w:val="22"/>
          <w:szCs w:val="22"/>
        </w:rPr>
        <w:t xml:space="preserve">Properties are disposed of under the </w:t>
      </w:r>
      <w:r>
        <w:rPr>
          <w:sz w:val="22"/>
          <w:szCs w:val="22"/>
        </w:rPr>
        <w:t>appropriate legislation and guidance</w:t>
      </w:r>
      <w:r w:rsidRPr="006C4F4C">
        <w:rPr>
          <w:sz w:val="22"/>
          <w:szCs w:val="22"/>
        </w:rPr>
        <w:t xml:space="preserve">. Any grant that is repayable is accounted for as a liability on disposal of the property. Grant which is repayable but cannot be repaid from the proceeds of sale is abated and the grant is </w:t>
      </w:r>
      <w:r>
        <w:rPr>
          <w:sz w:val="22"/>
          <w:szCs w:val="22"/>
        </w:rPr>
        <w:t>removed from the financial statements</w:t>
      </w:r>
      <w:r w:rsidRPr="006C4F4C">
        <w:rPr>
          <w:sz w:val="22"/>
          <w:szCs w:val="22"/>
        </w:rPr>
        <w:t xml:space="preserve">. Where a disposal is deemed to have taken place for accounting purposes, but the </w:t>
      </w:r>
      <w:r w:rsidRPr="00805998">
        <w:rPr>
          <w:sz w:val="22"/>
          <w:szCs w:val="22"/>
        </w:rPr>
        <w:t xml:space="preserve">repayment conditions have not been met in relation to the grant funding, the potential future obligation to repay is disclosed as a contingent liability. </w:t>
      </w:r>
    </w:p>
    <w:p w14:paraId="0B4DF10C" w14:textId="649CFA15" w:rsidR="003B3C19" w:rsidRDefault="003B3C19">
      <w:pPr>
        <w:rPr>
          <w:b/>
          <w:bCs/>
          <w:sz w:val="22"/>
          <w:szCs w:val="22"/>
        </w:rPr>
      </w:pPr>
      <w:r>
        <w:rPr>
          <w:b/>
          <w:bCs/>
          <w:sz w:val="22"/>
          <w:szCs w:val="22"/>
        </w:rPr>
        <w:br w:type="page"/>
      </w:r>
    </w:p>
    <w:p w14:paraId="3FDE7CD1" w14:textId="2D381B5A" w:rsidR="00366538" w:rsidRPr="006F7B5F" w:rsidRDefault="00CE6186" w:rsidP="00366538">
      <w:pPr>
        <w:pStyle w:val="BodyText"/>
        <w:rPr>
          <w:b/>
          <w:bCs/>
          <w:sz w:val="22"/>
          <w:szCs w:val="22"/>
        </w:rPr>
      </w:pPr>
      <w:r w:rsidRPr="006F7B5F">
        <w:rPr>
          <w:b/>
          <w:bCs/>
          <w:sz w:val="22"/>
          <w:szCs w:val="22"/>
        </w:rPr>
        <w:lastRenderedPageBreak/>
        <w:t>NOTES TO THE FINANCIAL STATEMENTS FOR THE YEAR ENDED 31 MARCH 202</w:t>
      </w:r>
      <w:r w:rsidR="00B27DD8">
        <w:rPr>
          <w:b/>
          <w:bCs/>
          <w:sz w:val="22"/>
          <w:szCs w:val="22"/>
        </w:rPr>
        <w:t>4</w:t>
      </w:r>
      <w:r w:rsidRPr="006F7B5F">
        <w:rPr>
          <w:b/>
          <w:bCs/>
          <w:sz w:val="22"/>
          <w:szCs w:val="22"/>
        </w:rPr>
        <w:t xml:space="preserve"> (continued)</w:t>
      </w:r>
      <w:r w:rsidR="00366538" w:rsidRPr="006F7B5F">
        <w:rPr>
          <w:sz w:val="22"/>
          <w:szCs w:val="22"/>
        </w:rPr>
        <w:fldChar w:fldCharType="begin"/>
      </w:r>
      <w:r w:rsidR="00366538" w:rsidRPr="006F7B5F">
        <w:rPr>
          <w:sz w:val="22"/>
          <w:szCs w:val="22"/>
        </w:rPr>
        <w:instrText xml:space="preserve"> TC "</w:instrText>
      </w:r>
      <w:r w:rsidR="00366538" w:rsidRPr="006F7B5F">
        <w:rPr>
          <w:b/>
          <w:sz w:val="22"/>
          <w:szCs w:val="22"/>
        </w:rPr>
        <w:instrText>NOTES TO THE FINANCIAL STATEMENTS</w:instrText>
      </w:r>
      <w:r w:rsidR="00366538" w:rsidRPr="006F7B5F">
        <w:rPr>
          <w:sz w:val="22"/>
          <w:szCs w:val="22"/>
        </w:rPr>
        <w:instrText xml:space="preserve">" \f C \l "1" </w:instrText>
      </w:r>
      <w:r w:rsidR="00366538" w:rsidRPr="006F7B5F">
        <w:rPr>
          <w:sz w:val="22"/>
          <w:szCs w:val="22"/>
        </w:rPr>
        <w:fldChar w:fldCharType="end"/>
      </w:r>
    </w:p>
    <w:p w14:paraId="55673750" w14:textId="77777777" w:rsidR="00366538" w:rsidRPr="006C4F4C" w:rsidRDefault="00366538" w:rsidP="00366538">
      <w:pPr>
        <w:rPr>
          <w:sz w:val="22"/>
          <w:szCs w:val="22"/>
        </w:rPr>
      </w:pPr>
    </w:p>
    <w:p w14:paraId="73C1ECA6" w14:textId="77777777" w:rsidR="00366538" w:rsidRPr="006C4F4C" w:rsidRDefault="00366538" w:rsidP="00366538">
      <w:pPr>
        <w:tabs>
          <w:tab w:val="left" w:pos="540"/>
        </w:tabs>
        <w:rPr>
          <w:b/>
          <w:sz w:val="22"/>
          <w:szCs w:val="22"/>
        </w:rPr>
      </w:pPr>
      <w:r w:rsidRPr="006C4F4C">
        <w:rPr>
          <w:b/>
          <w:sz w:val="22"/>
          <w:szCs w:val="22"/>
        </w:rPr>
        <w:t>2.</w:t>
      </w:r>
      <w:r w:rsidRPr="006C4F4C">
        <w:rPr>
          <w:b/>
          <w:sz w:val="22"/>
          <w:szCs w:val="22"/>
        </w:rPr>
        <w:tab/>
        <w:t>Accounting policies (continued)</w:t>
      </w:r>
    </w:p>
    <w:p w14:paraId="4AF8766A" w14:textId="77777777" w:rsidR="008B4A32" w:rsidRPr="00805998" w:rsidRDefault="008B4A32" w:rsidP="008B4A32">
      <w:pPr>
        <w:jc w:val="both"/>
        <w:rPr>
          <w:sz w:val="22"/>
          <w:szCs w:val="22"/>
        </w:rPr>
      </w:pPr>
    </w:p>
    <w:p w14:paraId="38E39FD1" w14:textId="77777777" w:rsidR="008B4A32" w:rsidRPr="00805998" w:rsidRDefault="008B4A32" w:rsidP="008B4A32">
      <w:pPr>
        <w:tabs>
          <w:tab w:val="left" w:pos="0"/>
        </w:tabs>
        <w:suppressAutoHyphens/>
        <w:overflowPunct w:val="0"/>
        <w:autoSpaceDE w:val="0"/>
        <w:autoSpaceDN w:val="0"/>
        <w:adjustRightInd w:val="0"/>
        <w:jc w:val="both"/>
        <w:rPr>
          <w:b/>
          <w:sz w:val="22"/>
          <w:szCs w:val="22"/>
        </w:rPr>
      </w:pPr>
      <w:r w:rsidRPr="00805998">
        <w:rPr>
          <w:b/>
          <w:sz w:val="22"/>
          <w:szCs w:val="22"/>
        </w:rPr>
        <w:t>Other tangible fixed assets</w:t>
      </w:r>
    </w:p>
    <w:p w14:paraId="0F76F091" w14:textId="77777777" w:rsidR="008B4A32" w:rsidRPr="00805998" w:rsidRDefault="00256399" w:rsidP="006B2832">
      <w:pPr>
        <w:jc w:val="both"/>
        <w:rPr>
          <w:sz w:val="22"/>
          <w:szCs w:val="22"/>
        </w:rPr>
      </w:pPr>
      <w:r w:rsidRPr="00805998">
        <w:rPr>
          <w:sz w:val="22"/>
          <w:szCs w:val="22"/>
        </w:rPr>
        <w:t>For other tangible assets</w:t>
      </w:r>
      <w:r w:rsidR="00847FAE">
        <w:rPr>
          <w:sz w:val="22"/>
          <w:szCs w:val="22"/>
        </w:rPr>
        <w:t xml:space="preserve"> with the exception of office premises</w:t>
      </w:r>
      <w:r w:rsidRPr="00805998">
        <w:rPr>
          <w:sz w:val="22"/>
          <w:szCs w:val="22"/>
        </w:rPr>
        <w:t>, d</w:t>
      </w:r>
      <w:r w:rsidR="008B4A32" w:rsidRPr="00805998">
        <w:rPr>
          <w:sz w:val="22"/>
          <w:szCs w:val="22"/>
        </w:rPr>
        <w:t>epreciation is charged on a straight-line basis over the expected useful economic lives of fixed assets to</w:t>
      </w:r>
      <w:r w:rsidR="00847FAE">
        <w:rPr>
          <w:sz w:val="22"/>
          <w:szCs w:val="22"/>
        </w:rPr>
        <w:t xml:space="preserve"> write off the cost</w:t>
      </w:r>
      <w:r w:rsidR="008B4A32" w:rsidRPr="00805998">
        <w:rPr>
          <w:sz w:val="22"/>
          <w:szCs w:val="22"/>
        </w:rPr>
        <w:t>, less estimated residual values over the following expected lives. Assets are depreciated in the month of acquisition, or in the case of a larger project, from the month of completion, at the following rates:</w:t>
      </w:r>
    </w:p>
    <w:p w14:paraId="60F7A3C5" w14:textId="77777777" w:rsidR="00256399" w:rsidRPr="004D388B" w:rsidRDefault="00256399" w:rsidP="008B4A32">
      <w:pPr>
        <w:jc w:val="both"/>
        <w:rPr>
          <w:sz w:val="22"/>
          <w:szCs w:val="22"/>
          <w:highlight w:val="yellow"/>
        </w:rPr>
      </w:pPr>
    </w:p>
    <w:p w14:paraId="1752A625" w14:textId="77777777" w:rsidR="006B2832" w:rsidRDefault="008B4A32" w:rsidP="008B4A32">
      <w:pPr>
        <w:tabs>
          <w:tab w:val="left" w:pos="0"/>
        </w:tabs>
        <w:suppressAutoHyphens/>
        <w:overflowPunct w:val="0"/>
        <w:autoSpaceDE w:val="0"/>
        <w:autoSpaceDN w:val="0"/>
        <w:adjustRightInd w:val="0"/>
        <w:jc w:val="both"/>
        <w:rPr>
          <w:sz w:val="22"/>
          <w:szCs w:val="22"/>
        </w:rPr>
      </w:pPr>
      <w:r w:rsidRPr="00847FAE">
        <w:rPr>
          <w:sz w:val="22"/>
          <w:szCs w:val="22"/>
        </w:rPr>
        <w:tab/>
      </w:r>
      <w:r w:rsidRPr="00847FAE">
        <w:rPr>
          <w:sz w:val="22"/>
          <w:szCs w:val="22"/>
        </w:rPr>
        <w:tab/>
      </w:r>
      <w:r w:rsidRPr="00847FAE">
        <w:rPr>
          <w:sz w:val="22"/>
          <w:szCs w:val="22"/>
        </w:rPr>
        <w:tab/>
      </w:r>
      <w:r w:rsidRPr="00847FAE">
        <w:rPr>
          <w:sz w:val="22"/>
          <w:szCs w:val="22"/>
        </w:rPr>
        <w:tab/>
      </w:r>
      <w:r w:rsidRPr="00847FAE">
        <w:rPr>
          <w:sz w:val="22"/>
          <w:szCs w:val="22"/>
        </w:rPr>
        <w:tab/>
      </w:r>
      <w:r w:rsidRPr="00847FAE">
        <w:rPr>
          <w:sz w:val="22"/>
          <w:szCs w:val="22"/>
        </w:rPr>
        <w:tab/>
      </w:r>
      <w:r w:rsidRPr="00847FAE">
        <w:rPr>
          <w:sz w:val="22"/>
          <w:szCs w:val="22"/>
        </w:rPr>
        <w:tab/>
      </w:r>
      <w:r w:rsidR="00040E72" w:rsidRPr="00847FAE">
        <w:rPr>
          <w:sz w:val="22"/>
          <w:szCs w:val="22"/>
        </w:rPr>
        <w:tab/>
      </w:r>
      <w:r w:rsidRPr="00847FAE">
        <w:rPr>
          <w:sz w:val="22"/>
          <w:szCs w:val="22"/>
        </w:rPr>
        <w:t>Economic Life</w:t>
      </w:r>
    </w:p>
    <w:p w14:paraId="58BC8A4B" w14:textId="77777777" w:rsidR="006B2832" w:rsidRDefault="006B2832" w:rsidP="006B2832">
      <w:pPr>
        <w:pStyle w:val="BodyText"/>
        <w:ind w:firstLine="720"/>
        <w:jc w:val="both"/>
        <w:rPr>
          <w:sz w:val="22"/>
          <w:szCs w:val="22"/>
        </w:rPr>
      </w:pPr>
      <w:r w:rsidRPr="00847FAE">
        <w:rPr>
          <w:sz w:val="22"/>
          <w:szCs w:val="22"/>
        </w:rPr>
        <w:t>Furniture, fittings and office equipment (cost)</w:t>
      </w:r>
      <w:r w:rsidR="001D338D">
        <w:rPr>
          <w:sz w:val="22"/>
          <w:szCs w:val="22"/>
        </w:rPr>
        <w:tab/>
      </w:r>
      <w:r w:rsidR="001D338D">
        <w:rPr>
          <w:sz w:val="22"/>
          <w:szCs w:val="22"/>
        </w:rPr>
        <w:tab/>
      </w:r>
      <w:r>
        <w:rPr>
          <w:sz w:val="22"/>
          <w:szCs w:val="22"/>
        </w:rPr>
        <w:t>5</w:t>
      </w:r>
      <w:r w:rsidRPr="00847FAE">
        <w:rPr>
          <w:sz w:val="22"/>
          <w:szCs w:val="22"/>
        </w:rPr>
        <w:t xml:space="preserve"> y</w:t>
      </w:r>
      <w:r w:rsidR="001D338D">
        <w:rPr>
          <w:sz w:val="22"/>
          <w:szCs w:val="22"/>
        </w:rPr>
        <w:t>ea</w:t>
      </w:r>
      <w:r w:rsidRPr="00847FAE">
        <w:rPr>
          <w:sz w:val="22"/>
          <w:szCs w:val="22"/>
        </w:rPr>
        <w:t>rs</w:t>
      </w:r>
    </w:p>
    <w:p w14:paraId="54124992" w14:textId="77777777" w:rsidR="008B4A32" w:rsidRPr="00847FAE" w:rsidRDefault="006B2832" w:rsidP="008B4A32">
      <w:pPr>
        <w:tabs>
          <w:tab w:val="left" w:pos="0"/>
        </w:tabs>
        <w:suppressAutoHyphens/>
        <w:overflowPunct w:val="0"/>
        <w:autoSpaceDE w:val="0"/>
        <w:autoSpaceDN w:val="0"/>
        <w:adjustRightInd w:val="0"/>
        <w:jc w:val="both"/>
        <w:rPr>
          <w:sz w:val="22"/>
          <w:szCs w:val="22"/>
        </w:rPr>
      </w:pPr>
      <w:r>
        <w:rPr>
          <w:sz w:val="22"/>
          <w:szCs w:val="22"/>
        </w:rPr>
        <w:tab/>
      </w:r>
      <w:r w:rsidR="008B4A32" w:rsidRPr="00847FAE">
        <w:rPr>
          <w:sz w:val="22"/>
          <w:szCs w:val="22"/>
        </w:rPr>
        <w:t>Computer equipment</w:t>
      </w:r>
      <w:r w:rsidR="00256399" w:rsidRPr="00847FAE">
        <w:rPr>
          <w:sz w:val="22"/>
          <w:szCs w:val="22"/>
        </w:rPr>
        <w:t xml:space="preserve"> (cost)</w:t>
      </w:r>
      <w:r w:rsidR="0010748C" w:rsidRPr="00847FAE">
        <w:rPr>
          <w:sz w:val="22"/>
          <w:szCs w:val="22"/>
        </w:rPr>
        <w:t xml:space="preserve"> </w:t>
      </w:r>
      <w:r w:rsidR="00256399" w:rsidRPr="00847FAE">
        <w:rPr>
          <w:sz w:val="22"/>
          <w:szCs w:val="22"/>
        </w:rPr>
        <w:tab/>
      </w:r>
      <w:r w:rsidR="00256399" w:rsidRPr="00847FAE">
        <w:rPr>
          <w:sz w:val="22"/>
          <w:szCs w:val="22"/>
        </w:rPr>
        <w:tab/>
      </w:r>
      <w:r>
        <w:rPr>
          <w:sz w:val="22"/>
          <w:szCs w:val="22"/>
        </w:rPr>
        <w:tab/>
      </w:r>
      <w:r w:rsidR="001D338D">
        <w:rPr>
          <w:sz w:val="22"/>
          <w:szCs w:val="22"/>
        </w:rPr>
        <w:t xml:space="preserve">            </w:t>
      </w:r>
      <w:r w:rsidR="00B46DF0">
        <w:rPr>
          <w:sz w:val="22"/>
          <w:szCs w:val="22"/>
        </w:rPr>
        <w:tab/>
      </w:r>
      <w:r w:rsidR="001D338D">
        <w:rPr>
          <w:sz w:val="22"/>
          <w:szCs w:val="22"/>
        </w:rPr>
        <w:t>3</w:t>
      </w:r>
      <w:r w:rsidR="00040E72" w:rsidRPr="00847FAE">
        <w:rPr>
          <w:sz w:val="22"/>
          <w:szCs w:val="22"/>
        </w:rPr>
        <w:t xml:space="preserve"> y</w:t>
      </w:r>
      <w:r w:rsidR="001D338D">
        <w:rPr>
          <w:sz w:val="22"/>
          <w:szCs w:val="22"/>
        </w:rPr>
        <w:t>ea</w:t>
      </w:r>
      <w:r w:rsidR="00040E72" w:rsidRPr="00847FAE">
        <w:rPr>
          <w:sz w:val="22"/>
          <w:szCs w:val="22"/>
        </w:rPr>
        <w:t>rs</w:t>
      </w:r>
    </w:p>
    <w:p w14:paraId="5C9D3636" w14:textId="77777777" w:rsidR="00040E72" w:rsidRPr="00847FAE" w:rsidRDefault="00040E72" w:rsidP="006B2832">
      <w:pPr>
        <w:pStyle w:val="BodyText"/>
        <w:ind w:firstLine="720"/>
        <w:jc w:val="both"/>
        <w:rPr>
          <w:sz w:val="22"/>
          <w:szCs w:val="22"/>
        </w:rPr>
      </w:pPr>
      <w:r w:rsidRPr="00847FAE">
        <w:rPr>
          <w:sz w:val="22"/>
          <w:szCs w:val="22"/>
        </w:rPr>
        <w:t xml:space="preserve">Office </w:t>
      </w:r>
      <w:r w:rsidR="006B2832">
        <w:rPr>
          <w:sz w:val="22"/>
          <w:szCs w:val="22"/>
        </w:rPr>
        <w:t>Improvements (cost)</w:t>
      </w:r>
      <w:r w:rsidR="006B2832">
        <w:rPr>
          <w:sz w:val="22"/>
          <w:szCs w:val="22"/>
        </w:rPr>
        <w:tab/>
      </w:r>
      <w:r w:rsidR="006B2832">
        <w:rPr>
          <w:sz w:val="22"/>
          <w:szCs w:val="22"/>
        </w:rPr>
        <w:tab/>
      </w:r>
      <w:r w:rsidR="006B2832">
        <w:rPr>
          <w:sz w:val="22"/>
          <w:szCs w:val="22"/>
        </w:rPr>
        <w:tab/>
      </w:r>
      <w:r w:rsidR="001D338D">
        <w:rPr>
          <w:sz w:val="22"/>
          <w:szCs w:val="22"/>
        </w:rPr>
        <w:tab/>
      </w:r>
      <w:r w:rsidR="00847FAE" w:rsidRPr="00847FAE">
        <w:rPr>
          <w:sz w:val="22"/>
          <w:szCs w:val="22"/>
        </w:rPr>
        <w:t>10</w:t>
      </w:r>
      <w:r w:rsidRPr="00847FAE">
        <w:rPr>
          <w:sz w:val="22"/>
          <w:szCs w:val="22"/>
        </w:rPr>
        <w:t xml:space="preserve"> y</w:t>
      </w:r>
      <w:r w:rsidR="001D338D">
        <w:rPr>
          <w:sz w:val="22"/>
          <w:szCs w:val="22"/>
        </w:rPr>
        <w:t>ea</w:t>
      </w:r>
      <w:r w:rsidRPr="00847FAE">
        <w:rPr>
          <w:sz w:val="22"/>
          <w:szCs w:val="22"/>
        </w:rPr>
        <w:t>rs</w:t>
      </w:r>
    </w:p>
    <w:p w14:paraId="16359D19" w14:textId="77777777" w:rsidR="001D338D" w:rsidRDefault="001D338D" w:rsidP="001D338D">
      <w:pPr>
        <w:tabs>
          <w:tab w:val="left" w:pos="0"/>
        </w:tabs>
        <w:suppressAutoHyphens/>
        <w:overflowPunct w:val="0"/>
        <w:autoSpaceDE w:val="0"/>
        <w:autoSpaceDN w:val="0"/>
        <w:adjustRightInd w:val="0"/>
        <w:jc w:val="both"/>
        <w:rPr>
          <w:sz w:val="22"/>
          <w:szCs w:val="22"/>
        </w:rPr>
      </w:pPr>
      <w:r>
        <w:rPr>
          <w:sz w:val="22"/>
          <w:szCs w:val="22"/>
        </w:rPr>
        <w:tab/>
        <w:t>Community infrastructure (cost)</w:t>
      </w:r>
      <w:r>
        <w:rPr>
          <w:sz w:val="22"/>
          <w:szCs w:val="22"/>
        </w:rPr>
        <w:tab/>
      </w:r>
      <w:r>
        <w:rPr>
          <w:sz w:val="22"/>
          <w:szCs w:val="22"/>
        </w:rPr>
        <w:tab/>
      </w:r>
      <w:r>
        <w:rPr>
          <w:sz w:val="22"/>
          <w:szCs w:val="22"/>
        </w:rPr>
        <w:tab/>
      </w:r>
      <w:r>
        <w:rPr>
          <w:sz w:val="22"/>
          <w:szCs w:val="22"/>
        </w:rPr>
        <w:tab/>
        <w:t>20 years</w:t>
      </w:r>
    </w:p>
    <w:p w14:paraId="21D875A4" w14:textId="77777777" w:rsidR="00847FAE" w:rsidRDefault="00847FAE" w:rsidP="00847FAE">
      <w:pPr>
        <w:rPr>
          <w:sz w:val="22"/>
          <w:szCs w:val="22"/>
        </w:rPr>
      </w:pPr>
    </w:p>
    <w:p w14:paraId="2EFC75CA" w14:textId="7791DC87" w:rsidR="00847FAE" w:rsidRDefault="00847FAE" w:rsidP="006B2832">
      <w:pPr>
        <w:jc w:val="both"/>
        <w:rPr>
          <w:sz w:val="22"/>
          <w:szCs w:val="22"/>
        </w:rPr>
      </w:pPr>
      <w:r>
        <w:rPr>
          <w:sz w:val="22"/>
          <w:szCs w:val="22"/>
        </w:rPr>
        <w:t xml:space="preserve">Office premises are held at valuation, and are depreciated, on a </w:t>
      </w:r>
      <w:r w:rsidR="00802095">
        <w:rPr>
          <w:sz w:val="22"/>
          <w:szCs w:val="22"/>
        </w:rPr>
        <w:t>straight-line</w:t>
      </w:r>
      <w:r>
        <w:rPr>
          <w:sz w:val="22"/>
          <w:szCs w:val="22"/>
        </w:rPr>
        <w:t xml:space="preserve"> basis, over a useful life of 40 years. Valuations are made on a regular basi</w:t>
      </w:r>
      <w:r w:rsidR="006B2832">
        <w:rPr>
          <w:sz w:val="22"/>
          <w:szCs w:val="22"/>
        </w:rPr>
        <w:t>s to ensure the carrying amount</w:t>
      </w:r>
      <w:r>
        <w:rPr>
          <w:sz w:val="22"/>
          <w:szCs w:val="22"/>
        </w:rPr>
        <w:t xml:space="preserve"> does not differ materially from the fair value at the end of the reporting period. Valuations are carried out at</w:t>
      </w:r>
      <w:r w:rsidR="001306E3">
        <w:rPr>
          <w:sz w:val="22"/>
          <w:szCs w:val="22"/>
        </w:rPr>
        <w:t xml:space="preserve"> each reporting date.</w:t>
      </w:r>
      <w:r>
        <w:rPr>
          <w:sz w:val="22"/>
          <w:szCs w:val="22"/>
        </w:rPr>
        <w:t xml:space="preserve"> </w:t>
      </w:r>
    </w:p>
    <w:p w14:paraId="263F9D60" w14:textId="77777777" w:rsidR="008B4A32" w:rsidRPr="006C4F4C" w:rsidRDefault="008B4A32" w:rsidP="008B4A32">
      <w:pPr>
        <w:rPr>
          <w:b/>
          <w:sz w:val="22"/>
          <w:szCs w:val="22"/>
        </w:rPr>
      </w:pPr>
    </w:p>
    <w:p w14:paraId="020CC839" w14:textId="77777777" w:rsidR="008B4A32" w:rsidRPr="006C4F4C" w:rsidRDefault="008B4A32" w:rsidP="008B4A32">
      <w:pPr>
        <w:rPr>
          <w:b/>
          <w:sz w:val="22"/>
          <w:szCs w:val="22"/>
        </w:rPr>
      </w:pPr>
      <w:r w:rsidRPr="006C4F4C">
        <w:rPr>
          <w:b/>
          <w:sz w:val="22"/>
          <w:szCs w:val="22"/>
        </w:rPr>
        <w:t>Provisions</w:t>
      </w:r>
    </w:p>
    <w:p w14:paraId="3F69F53E" w14:textId="44735E50" w:rsidR="00FE5A75" w:rsidRPr="006C4F4C" w:rsidRDefault="00685C1F" w:rsidP="00FE5A75">
      <w:pPr>
        <w:jc w:val="both"/>
        <w:rPr>
          <w:sz w:val="22"/>
          <w:szCs w:val="22"/>
        </w:rPr>
      </w:pPr>
      <w:r>
        <w:rPr>
          <w:sz w:val="22"/>
          <w:szCs w:val="22"/>
        </w:rPr>
        <w:t>L</w:t>
      </w:r>
      <w:r w:rsidR="006B2832">
        <w:rPr>
          <w:sz w:val="22"/>
          <w:szCs w:val="22"/>
        </w:rPr>
        <w:t>iabilities</w:t>
      </w:r>
      <w:r>
        <w:rPr>
          <w:sz w:val="22"/>
          <w:szCs w:val="22"/>
        </w:rPr>
        <w:t xml:space="preserve"> are provided for</w:t>
      </w:r>
      <w:r w:rsidR="006B2832">
        <w:rPr>
          <w:sz w:val="22"/>
          <w:szCs w:val="22"/>
        </w:rPr>
        <w:t xml:space="preserve"> at the date of the Statement of Financial Position</w:t>
      </w:r>
      <w:r w:rsidR="00FE5A75" w:rsidRPr="006C4F4C">
        <w:rPr>
          <w:sz w:val="22"/>
          <w:szCs w:val="22"/>
        </w:rPr>
        <w:t xml:space="preserve"> </w:t>
      </w:r>
      <w:r>
        <w:rPr>
          <w:sz w:val="22"/>
          <w:szCs w:val="22"/>
        </w:rPr>
        <w:t xml:space="preserve">only </w:t>
      </w:r>
      <w:r w:rsidR="00FE5A75" w:rsidRPr="006C4F4C">
        <w:rPr>
          <w:sz w:val="22"/>
          <w:szCs w:val="22"/>
        </w:rPr>
        <w:t xml:space="preserve">where there is a legal or constructive obligation incurred which will </w:t>
      </w:r>
      <w:r w:rsidR="006B2832">
        <w:rPr>
          <w:sz w:val="22"/>
          <w:szCs w:val="22"/>
        </w:rPr>
        <w:t>probably</w:t>
      </w:r>
      <w:r w:rsidR="00FE5A75" w:rsidRPr="006C4F4C">
        <w:rPr>
          <w:sz w:val="22"/>
          <w:szCs w:val="22"/>
        </w:rPr>
        <w:t xml:space="preserve"> result in the outflow of resources.</w:t>
      </w:r>
    </w:p>
    <w:p w14:paraId="5EF230C1" w14:textId="77777777" w:rsidR="00366538" w:rsidRPr="006C4F4C" w:rsidRDefault="00366538" w:rsidP="00366538">
      <w:pPr>
        <w:tabs>
          <w:tab w:val="left" w:pos="540"/>
        </w:tabs>
        <w:rPr>
          <w:b/>
          <w:sz w:val="22"/>
          <w:szCs w:val="22"/>
        </w:rPr>
      </w:pPr>
    </w:p>
    <w:p w14:paraId="6EA74CC8" w14:textId="77777777" w:rsidR="00AF7AAE" w:rsidRPr="00FA7311" w:rsidRDefault="00AF7AAE" w:rsidP="00AF7AAE">
      <w:pPr>
        <w:rPr>
          <w:b/>
          <w:sz w:val="22"/>
          <w:szCs w:val="22"/>
        </w:rPr>
      </w:pPr>
      <w:r w:rsidRPr="00FA7311">
        <w:rPr>
          <w:b/>
          <w:sz w:val="22"/>
          <w:szCs w:val="22"/>
        </w:rPr>
        <w:t>Leases</w:t>
      </w:r>
    </w:p>
    <w:p w14:paraId="2339905D" w14:textId="77777777" w:rsidR="00AF7AAE" w:rsidRPr="00493ACB" w:rsidRDefault="00AF7AAE" w:rsidP="00AF7AAE">
      <w:pPr>
        <w:jc w:val="both"/>
        <w:rPr>
          <w:sz w:val="22"/>
          <w:szCs w:val="22"/>
        </w:rPr>
      </w:pPr>
      <w:r>
        <w:rPr>
          <w:sz w:val="22"/>
          <w:szCs w:val="22"/>
        </w:rPr>
        <w:t>Leases that do not transfer all the risks and rewards of ownership are classified as operating leases.  Payments under operating leases are charged to the Statement of Comprehensive Income on a straight-line basis over the period of the lease.</w:t>
      </w:r>
    </w:p>
    <w:p w14:paraId="6671C7E8" w14:textId="77777777" w:rsidR="00AF7AAE" w:rsidRDefault="00AF7AAE" w:rsidP="008B4A32">
      <w:pPr>
        <w:rPr>
          <w:b/>
          <w:sz w:val="22"/>
          <w:szCs w:val="22"/>
        </w:rPr>
      </w:pPr>
    </w:p>
    <w:p w14:paraId="0C4535CE" w14:textId="115E3707" w:rsidR="008B4A32" w:rsidRPr="006C4F4C" w:rsidRDefault="008B4A32" w:rsidP="008B4A32">
      <w:pPr>
        <w:rPr>
          <w:b/>
          <w:sz w:val="22"/>
          <w:szCs w:val="22"/>
        </w:rPr>
      </w:pPr>
      <w:r w:rsidRPr="006C4F4C">
        <w:rPr>
          <w:b/>
          <w:sz w:val="22"/>
          <w:szCs w:val="22"/>
        </w:rPr>
        <w:t>Taxation</w:t>
      </w:r>
    </w:p>
    <w:p w14:paraId="562DE392" w14:textId="22868E26" w:rsidR="00D02DAE" w:rsidRPr="00CB7E1B" w:rsidRDefault="00581C95" w:rsidP="00D02DAE">
      <w:pPr>
        <w:jc w:val="both"/>
        <w:rPr>
          <w:sz w:val="22"/>
          <w:szCs w:val="22"/>
        </w:rPr>
      </w:pPr>
      <w:r w:rsidRPr="00581C95">
        <w:rPr>
          <w:sz w:val="22"/>
          <w:szCs w:val="22"/>
        </w:rPr>
        <w:t xml:space="preserve">As </w:t>
      </w:r>
      <w:r>
        <w:rPr>
          <w:sz w:val="22"/>
          <w:szCs w:val="22"/>
        </w:rPr>
        <w:t>a charity,</w:t>
      </w:r>
      <w:r w:rsidRPr="00581C95">
        <w:rPr>
          <w:sz w:val="22"/>
          <w:szCs w:val="22"/>
        </w:rPr>
        <w:t xml:space="preserve"> </w:t>
      </w:r>
      <w:r w:rsidR="00971522">
        <w:rPr>
          <w:sz w:val="22"/>
          <w:szCs w:val="22"/>
        </w:rPr>
        <w:t>Wheatley Homes South</w:t>
      </w:r>
      <w:r>
        <w:rPr>
          <w:sz w:val="22"/>
          <w:szCs w:val="22"/>
        </w:rPr>
        <w:t xml:space="preserve"> Limited is</w:t>
      </w:r>
      <w:r w:rsidRPr="00581C95">
        <w:rPr>
          <w:sz w:val="22"/>
          <w:szCs w:val="22"/>
        </w:rPr>
        <w:t xml:space="preserve"> exem</w:t>
      </w:r>
      <w:r>
        <w:rPr>
          <w:sz w:val="22"/>
          <w:szCs w:val="22"/>
        </w:rPr>
        <w:t>pt from corporation tax on its</w:t>
      </w:r>
      <w:r w:rsidRPr="00581C95">
        <w:rPr>
          <w:sz w:val="22"/>
          <w:szCs w:val="22"/>
        </w:rPr>
        <w:t xml:space="preserve"> charitable activities by virtue of Section 478 Corporation Tax Act 2010 and from capital gains tax by virtue of Section 256 Capital Gains Tax Act 1992. In accordance with FRS 102, full provision is made for all material timing differences.</w:t>
      </w:r>
      <w:r w:rsidR="00D02DAE" w:rsidRPr="00CB7E1B">
        <w:rPr>
          <w:sz w:val="22"/>
          <w:szCs w:val="22"/>
        </w:rPr>
        <w:t xml:space="preserve"> </w:t>
      </w:r>
    </w:p>
    <w:p w14:paraId="398039AC" w14:textId="77777777" w:rsidR="00BF40E6" w:rsidRPr="006C4F4C" w:rsidRDefault="00BF40E6" w:rsidP="008B4A32">
      <w:pPr>
        <w:rPr>
          <w:b/>
          <w:sz w:val="22"/>
          <w:szCs w:val="22"/>
        </w:rPr>
      </w:pPr>
    </w:p>
    <w:p w14:paraId="073148F7" w14:textId="77777777" w:rsidR="008B4A32" w:rsidRPr="006C4F4C" w:rsidRDefault="008B4A32" w:rsidP="008B4A32">
      <w:pPr>
        <w:rPr>
          <w:b/>
          <w:sz w:val="22"/>
          <w:szCs w:val="22"/>
        </w:rPr>
      </w:pPr>
      <w:r w:rsidRPr="006C4F4C">
        <w:rPr>
          <w:b/>
          <w:sz w:val="22"/>
          <w:szCs w:val="22"/>
        </w:rPr>
        <w:t>Value Added Tax</w:t>
      </w:r>
    </w:p>
    <w:p w14:paraId="2F248C94" w14:textId="67EE0C16" w:rsidR="00A165EF" w:rsidRDefault="00971522" w:rsidP="00C63AC4">
      <w:pPr>
        <w:jc w:val="both"/>
        <w:rPr>
          <w:sz w:val="22"/>
          <w:szCs w:val="22"/>
        </w:rPr>
      </w:pPr>
      <w:r>
        <w:rPr>
          <w:sz w:val="22"/>
          <w:szCs w:val="22"/>
        </w:rPr>
        <w:t>Wheatley Homes South</w:t>
      </w:r>
      <w:r w:rsidR="00581C95">
        <w:rPr>
          <w:sz w:val="22"/>
          <w:szCs w:val="22"/>
        </w:rPr>
        <w:t xml:space="preserve"> Limited</w:t>
      </w:r>
      <w:r w:rsidR="00E46DED" w:rsidRPr="006C4F4C">
        <w:rPr>
          <w:sz w:val="22"/>
          <w:szCs w:val="22"/>
        </w:rPr>
        <w:t xml:space="preserve"> </w:t>
      </w:r>
      <w:r w:rsidR="00430286">
        <w:rPr>
          <w:sz w:val="22"/>
          <w:szCs w:val="22"/>
        </w:rPr>
        <w:t>is</w:t>
      </w:r>
      <w:r w:rsidR="008B4A32" w:rsidRPr="006C4F4C">
        <w:rPr>
          <w:sz w:val="22"/>
          <w:szCs w:val="22"/>
        </w:rPr>
        <w:t xml:space="preserve"> registered for VAT</w:t>
      </w:r>
      <w:r w:rsidR="00581C95">
        <w:rPr>
          <w:sz w:val="22"/>
          <w:szCs w:val="22"/>
        </w:rPr>
        <w:t xml:space="preserve">. </w:t>
      </w:r>
      <w:r>
        <w:rPr>
          <w:sz w:val="22"/>
          <w:szCs w:val="22"/>
        </w:rPr>
        <w:t>WHS is a</w:t>
      </w:r>
      <w:r w:rsidR="00D02DAE">
        <w:rPr>
          <w:sz w:val="22"/>
          <w:szCs w:val="22"/>
        </w:rPr>
        <w:t xml:space="preserve"> member</w:t>
      </w:r>
      <w:r w:rsidR="008B4A32" w:rsidRPr="006C4F4C">
        <w:rPr>
          <w:sz w:val="22"/>
          <w:szCs w:val="22"/>
        </w:rPr>
        <w:t xml:space="preserve"> of </w:t>
      </w:r>
      <w:r w:rsidR="00D02DAE">
        <w:rPr>
          <w:sz w:val="22"/>
          <w:szCs w:val="22"/>
        </w:rPr>
        <w:t xml:space="preserve">the </w:t>
      </w:r>
      <w:r w:rsidR="00614D96">
        <w:rPr>
          <w:sz w:val="22"/>
          <w:szCs w:val="22"/>
        </w:rPr>
        <w:t>Wheatley Housing Group</w:t>
      </w:r>
      <w:r w:rsidR="008B4A32" w:rsidRPr="006C4F4C">
        <w:rPr>
          <w:sz w:val="22"/>
          <w:szCs w:val="22"/>
        </w:rPr>
        <w:t xml:space="preserve"> </w:t>
      </w:r>
      <w:r w:rsidR="00D02DAE">
        <w:rPr>
          <w:sz w:val="22"/>
          <w:szCs w:val="22"/>
        </w:rPr>
        <w:t xml:space="preserve">VAT group. </w:t>
      </w:r>
      <w:r w:rsidR="008B4A32" w:rsidRPr="006C4F4C">
        <w:rPr>
          <w:sz w:val="22"/>
          <w:szCs w:val="22"/>
        </w:rPr>
        <w:t>The majority of its income, including rental receipts, is exempt for VAT purposes</w:t>
      </w:r>
      <w:r w:rsidR="00136628">
        <w:rPr>
          <w:sz w:val="22"/>
          <w:szCs w:val="22"/>
        </w:rPr>
        <w:t>.</w:t>
      </w:r>
    </w:p>
    <w:p w14:paraId="325283EE" w14:textId="77777777" w:rsidR="00C63AC4" w:rsidRDefault="00C63AC4" w:rsidP="00C63AC4">
      <w:pPr>
        <w:jc w:val="both"/>
        <w:rPr>
          <w:b/>
          <w:bCs/>
        </w:rPr>
      </w:pPr>
    </w:p>
    <w:p w14:paraId="18B6F3DE" w14:textId="77777777" w:rsidR="008407B4" w:rsidRPr="00805998" w:rsidRDefault="008407B4">
      <w:pPr>
        <w:jc w:val="both"/>
        <w:rPr>
          <w:b/>
          <w:bCs/>
          <w:sz w:val="20"/>
        </w:rPr>
      </w:pPr>
    </w:p>
    <w:p w14:paraId="73CB11BF" w14:textId="77777777" w:rsidR="0060474D" w:rsidRDefault="0060474D">
      <w:pPr>
        <w:jc w:val="both"/>
        <w:rPr>
          <w:b/>
          <w:bCs/>
          <w:sz w:val="20"/>
        </w:rPr>
      </w:pPr>
    </w:p>
    <w:p w14:paraId="29052F32" w14:textId="77777777" w:rsidR="0060474D" w:rsidRDefault="0060474D">
      <w:pPr>
        <w:jc w:val="both"/>
        <w:rPr>
          <w:b/>
          <w:bCs/>
          <w:sz w:val="20"/>
        </w:rPr>
      </w:pPr>
    </w:p>
    <w:p w14:paraId="0BE7A959" w14:textId="77777777" w:rsidR="0060474D" w:rsidRDefault="0060474D">
      <w:pPr>
        <w:jc w:val="both"/>
        <w:rPr>
          <w:b/>
          <w:bCs/>
          <w:sz w:val="20"/>
        </w:rPr>
      </w:pPr>
    </w:p>
    <w:p w14:paraId="47553BBE" w14:textId="77777777" w:rsidR="0060474D" w:rsidRDefault="0060474D">
      <w:pPr>
        <w:jc w:val="both"/>
        <w:rPr>
          <w:b/>
          <w:bCs/>
          <w:sz w:val="20"/>
        </w:rPr>
      </w:pPr>
    </w:p>
    <w:p w14:paraId="10CE1654" w14:textId="77777777" w:rsidR="0060474D" w:rsidRDefault="0060474D">
      <w:pPr>
        <w:jc w:val="both"/>
        <w:rPr>
          <w:b/>
          <w:bCs/>
          <w:sz w:val="20"/>
        </w:rPr>
      </w:pPr>
    </w:p>
    <w:p w14:paraId="0FA87470" w14:textId="77777777" w:rsidR="00C56B6C" w:rsidRDefault="00C56B6C">
      <w:pPr>
        <w:jc w:val="both"/>
        <w:rPr>
          <w:b/>
          <w:bCs/>
          <w:sz w:val="20"/>
        </w:rPr>
      </w:pPr>
    </w:p>
    <w:p w14:paraId="0ABC1590" w14:textId="77777777" w:rsidR="00C56B6C" w:rsidRDefault="00C56B6C">
      <w:pPr>
        <w:jc w:val="both"/>
        <w:rPr>
          <w:b/>
          <w:bCs/>
          <w:sz w:val="20"/>
        </w:rPr>
      </w:pPr>
    </w:p>
    <w:p w14:paraId="009007FB" w14:textId="77777777" w:rsidR="00C56B6C" w:rsidRDefault="00C56B6C">
      <w:pPr>
        <w:jc w:val="both"/>
        <w:rPr>
          <w:b/>
          <w:bCs/>
          <w:sz w:val="20"/>
        </w:rPr>
      </w:pPr>
    </w:p>
    <w:p w14:paraId="75DDD96C" w14:textId="77777777" w:rsidR="00C56B6C" w:rsidRDefault="00C56B6C">
      <w:pPr>
        <w:jc w:val="both"/>
        <w:rPr>
          <w:b/>
          <w:bCs/>
          <w:sz w:val="20"/>
        </w:rPr>
      </w:pPr>
    </w:p>
    <w:p w14:paraId="060053EF" w14:textId="77777777" w:rsidR="00C56B6C" w:rsidRDefault="00C56B6C">
      <w:pPr>
        <w:jc w:val="both"/>
        <w:rPr>
          <w:b/>
          <w:bCs/>
          <w:sz w:val="20"/>
        </w:rPr>
      </w:pPr>
    </w:p>
    <w:p w14:paraId="775C8066" w14:textId="77777777" w:rsidR="0060474D" w:rsidRDefault="0060474D">
      <w:pPr>
        <w:jc w:val="both"/>
        <w:rPr>
          <w:b/>
          <w:bCs/>
          <w:sz w:val="20"/>
        </w:rPr>
      </w:pPr>
    </w:p>
    <w:p w14:paraId="26D87762" w14:textId="77777777" w:rsidR="0060474D" w:rsidRDefault="0060474D">
      <w:pPr>
        <w:jc w:val="both"/>
        <w:rPr>
          <w:b/>
          <w:bCs/>
          <w:sz w:val="20"/>
        </w:rPr>
      </w:pPr>
    </w:p>
    <w:p w14:paraId="1E0C50DD" w14:textId="77777777" w:rsidR="0060474D" w:rsidRPr="00805998" w:rsidRDefault="0060474D">
      <w:pPr>
        <w:jc w:val="both"/>
        <w:rPr>
          <w:b/>
          <w:bCs/>
          <w:sz w:val="20"/>
        </w:rPr>
      </w:pPr>
    </w:p>
    <w:p w14:paraId="0E6B5E30" w14:textId="77777777" w:rsidR="00176A04" w:rsidRPr="00927F91" w:rsidRDefault="00176A04" w:rsidP="00176A04">
      <w:pPr>
        <w:pStyle w:val="BodyText"/>
        <w:jc w:val="both"/>
        <w:rPr>
          <w:b/>
          <w:bCs/>
          <w:sz w:val="22"/>
          <w:szCs w:val="22"/>
        </w:rPr>
      </w:pPr>
      <w:r w:rsidRPr="00927F91">
        <w:rPr>
          <w:b/>
          <w:bCs/>
          <w:sz w:val="22"/>
          <w:szCs w:val="22"/>
        </w:rPr>
        <w:lastRenderedPageBreak/>
        <w:t>NOTES TO THE FINANCIAL STATEMENTS FOR THE YEAR ENDED 31 MARCH 202</w:t>
      </w:r>
      <w:r>
        <w:rPr>
          <w:b/>
          <w:bCs/>
          <w:sz w:val="22"/>
          <w:szCs w:val="22"/>
        </w:rPr>
        <w:t>4</w:t>
      </w:r>
      <w:r w:rsidRPr="00927F91">
        <w:rPr>
          <w:b/>
          <w:bCs/>
          <w:sz w:val="22"/>
          <w:szCs w:val="22"/>
        </w:rPr>
        <w:t xml:space="preserve"> (continued)</w:t>
      </w:r>
    </w:p>
    <w:p w14:paraId="1765640B" w14:textId="77777777" w:rsidR="00176A04" w:rsidRPr="00805998" w:rsidRDefault="00176A04">
      <w:pPr>
        <w:jc w:val="both"/>
        <w:rPr>
          <w:b/>
          <w:bCs/>
          <w:sz w:val="20"/>
        </w:rPr>
      </w:pPr>
    </w:p>
    <w:p w14:paraId="27D2254F" w14:textId="4D59E700" w:rsidR="00E80B73" w:rsidRPr="002C5119" w:rsidRDefault="00A400D9" w:rsidP="00306765">
      <w:pPr>
        <w:rPr>
          <w:b/>
          <w:sz w:val="22"/>
          <w:szCs w:val="22"/>
        </w:rPr>
      </w:pPr>
      <w:r w:rsidRPr="00805998">
        <w:rPr>
          <w:b/>
          <w:sz w:val="22"/>
          <w:szCs w:val="22"/>
        </w:rPr>
        <w:t>3</w:t>
      </w:r>
      <w:r w:rsidR="00542392" w:rsidRPr="00805998">
        <w:rPr>
          <w:b/>
          <w:sz w:val="22"/>
          <w:szCs w:val="22"/>
        </w:rPr>
        <w:t>.</w:t>
      </w:r>
      <w:r w:rsidR="00542392" w:rsidRPr="00805998">
        <w:rPr>
          <w:b/>
          <w:sz w:val="22"/>
          <w:szCs w:val="22"/>
        </w:rPr>
        <w:tab/>
      </w:r>
      <w:r w:rsidR="00ED27AA" w:rsidRPr="00791F26">
        <w:rPr>
          <w:b/>
          <w:sz w:val="22"/>
          <w:szCs w:val="22"/>
        </w:rPr>
        <w:t>Particulars of t</w:t>
      </w:r>
      <w:r w:rsidR="008407B4" w:rsidRPr="00791F26">
        <w:rPr>
          <w:b/>
          <w:sz w:val="22"/>
          <w:szCs w:val="22"/>
        </w:rPr>
        <w:t>urnover, operati</w:t>
      </w:r>
      <w:r w:rsidR="00ED27AA" w:rsidRPr="00791F26">
        <w:rPr>
          <w:b/>
          <w:sz w:val="22"/>
          <w:szCs w:val="22"/>
        </w:rPr>
        <w:t>ng costs and operating surplus</w:t>
      </w:r>
      <w:r w:rsidR="00E80B73" w:rsidRPr="00791F26">
        <w:rPr>
          <w:b/>
          <w:sz w:val="22"/>
          <w:szCs w:val="22"/>
        </w:rPr>
        <w:t xml:space="preserve"> </w:t>
      </w:r>
    </w:p>
    <w:p w14:paraId="43EE1F71" w14:textId="77777777" w:rsidR="00E80B73" w:rsidRPr="004D388B" w:rsidRDefault="00E80B73" w:rsidP="00E80B73">
      <w:pPr>
        <w:jc w:val="both"/>
        <w:rPr>
          <w:sz w:val="22"/>
          <w:szCs w:val="22"/>
          <w:highlight w:val="yellow"/>
        </w:rPr>
      </w:pPr>
    </w:p>
    <w:tbl>
      <w:tblPr>
        <w:tblW w:w="10304" w:type="dxa"/>
        <w:tblInd w:w="-943" w:type="dxa"/>
        <w:tblLayout w:type="fixed"/>
        <w:tblLook w:val="0000" w:firstRow="0" w:lastRow="0" w:firstColumn="0" w:lastColumn="0" w:noHBand="0" w:noVBand="0"/>
      </w:tblPr>
      <w:tblGrid>
        <w:gridCol w:w="2977"/>
        <w:gridCol w:w="1134"/>
        <w:gridCol w:w="284"/>
        <w:gridCol w:w="1084"/>
        <w:gridCol w:w="333"/>
        <w:gridCol w:w="1276"/>
        <w:gridCol w:w="283"/>
        <w:gridCol w:w="1085"/>
        <w:gridCol w:w="333"/>
        <w:gridCol w:w="1085"/>
        <w:gridCol w:w="52"/>
        <w:gridCol w:w="378"/>
      </w:tblGrid>
      <w:tr w:rsidR="00BC3136" w:rsidRPr="009F5C56" w14:paraId="5BD1E78C" w14:textId="77777777" w:rsidTr="00306765">
        <w:trPr>
          <w:gridAfter w:val="1"/>
          <w:wAfter w:w="378" w:type="dxa"/>
          <w:trHeight w:val="80"/>
        </w:trPr>
        <w:tc>
          <w:tcPr>
            <w:tcW w:w="7088" w:type="dxa"/>
            <w:gridSpan w:val="6"/>
            <w:noWrap/>
            <w:tcMar>
              <w:right w:w="28" w:type="dxa"/>
            </w:tcMar>
            <w:vAlign w:val="center"/>
          </w:tcPr>
          <w:p w14:paraId="4F349D87" w14:textId="77777777" w:rsidR="008F2B94" w:rsidRPr="009F5C56" w:rsidRDefault="008F2B94" w:rsidP="00B5718F">
            <w:pPr>
              <w:jc w:val="right"/>
              <w:rPr>
                <w:b/>
                <w:bCs/>
                <w:sz w:val="22"/>
                <w:szCs w:val="22"/>
              </w:rPr>
            </w:pPr>
          </w:p>
        </w:tc>
        <w:tc>
          <w:tcPr>
            <w:tcW w:w="283" w:type="dxa"/>
            <w:tcMar>
              <w:right w:w="28" w:type="dxa"/>
            </w:tcMar>
            <w:vAlign w:val="center"/>
          </w:tcPr>
          <w:p w14:paraId="308C27B3" w14:textId="77777777" w:rsidR="008F2B94" w:rsidRPr="009F5C56" w:rsidRDefault="008F2B94" w:rsidP="00B5718F">
            <w:pPr>
              <w:jc w:val="right"/>
              <w:rPr>
                <w:b/>
                <w:bCs/>
                <w:sz w:val="22"/>
                <w:szCs w:val="22"/>
              </w:rPr>
            </w:pPr>
          </w:p>
        </w:tc>
        <w:tc>
          <w:tcPr>
            <w:tcW w:w="1085" w:type="dxa"/>
            <w:noWrap/>
            <w:tcMar>
              <w:right w:w="28" w:type="dxa"/>
            </w:tcMar>
            <w:vAlign w:val="center"/>
          </w:tcPr>
          <w:p w14:paraId="0BDBC7D6" w14:textId="2E539CE9" w:rsidR="008F2B94" w:rsidRDefault="008F2B94" w:rsidP="00B5718F">
            <w:pPr>
              <w:jc w:val="right"/>
              <w:rPr>
                <w:b/>
                <w:bCs/>
                <w:sz w:val="22"/>
                <w:szCs w:val="22"/>
              </w:rPr>
            </w:pPr>
            <w:r>
              <w:rPr>
                <w:b/>
                <w:bCs/>
                <w:sz w:val="22"/>
                <w:szCs w:val="22"/>
              </w:rPr>
              <w:t xml:space="preserve">        202</w:t>
            </w:r>
            <w:r w:rsidR="00C64E04">
              <w:rPr>
                <w:b/>
                <w:bCs/>
                <w:sz w:val="22"/>
                <w:szCs w:val="22"/>
              </w:rPr>
              <w:t>4</w:t>
            </w:r>
          </w:p>
          <w:p w14:paraId="098E0D00" w14:textId="77777777" w:rsidR="008F2B94" w:rsidRPr="009F5C56" w:rsidRDefault="008F2B94" w:rsidP="00B5718F">
            <w:pPr>
              <w:jc w:val="right"/>
              <w:rPr>
                <w:b/>
                <w:bCs/>
                <w:sz w:val="22"/>
                <w:szCs w:val="22"/>
              </w:rPr>
            </w:pPr>
          </w:p>
        </w:tc>
        <w:tc>
          <w:tcPr>
            <w:tcW w:w="333" w:type="dxa"/>
            <w:tcMar>
              <w:right w:w="28" w:type="dxa"/>
            </w:tcMar>
            <w:vAlign w:val="center"/>
          </w:tcPr>
          <w:p w14:paraId="29956B94" w14:textId="77777777" w:rsidR="008F2B94" w:rsidRPr="009F5C56" w:rsidRDefault="008F2B94" w:rsidP="00B5718F">
            <w:pPr>
              <w:jc w:val="right"/>
              <w:rPr>
                <w:b/>
                <w:sz w:val="22"/>
                <w:szCs w:val="22"/>
              </w:rPr>
            </w:pPr>
          </w:p>
        </w:tc>
        <w:tc>
          <w:tcPr>
            <w:tcW w:w="1137" w:type="dxa"/>
            <w:gridSpan w:val="2"/>
            <w:tcMar>
              <w:right w:w="28" w:type="dxa"/>
            </w:tcMar>
            <w:vAlign w:val="center"/>
          </w:tcPr>
          <w:p w14:paraId="644CD78B" w14:textId="1020F9B2" w:rsidR="008F2B94" w:rsidRDefault="008F2B94" w:rsidP="00B5718F">
            <w:pPr>
              <w:jc w:val="right"/>
              <w:rPr>
                <w:b/>
                <w:sz w:val="22"/>
                <w:szCs w:val="22"/>
              </w:rPr>
            </w:pPr>
            <w:r>
              <w:rPr>
                <w:b/>
                <w:sz w:val="22"/>
                <w:szCs w:val="22"/>
              </w:rPr>
              <w:t>202</w:t>
            </w:r>
            <w:r w:rsidR="00C64E04">
              <w:rPr>
                <w:b/>
                <w:sz w:val="22"/>
                <w:szCs w:val="22"/>
              </w:rPr>
              <w:t>3</w:t>
            </w:r>
          </w:p>
          <w:p w14:paraId="72F5D3F9" w14:textId="77777777" w:rsidR="008F2B94" w:rsidRPr="009F5C56" w:rsidRDefault="008F2B94" w:rsidP="00B5718F">
            <w:pPr>
              <w:jc w:val="right"/>
              <w:rPr>
                <w:b/>
                <w:sz w:val="22"/>
                <w:szCs w:val="22"/>
              </w:rPr>
            </w:pPr>
          </w:p>
        </w:tc>
      </w:tr>
      <w:tr w:rsidR="00BC3136" w:rsidRPr="009F5C56" w14:paraId="006DF580" w14:textId="77777777" w:rsidTr="000E4332">
        <w:trPr>
          <w:gridAfter w:val="1"/>
          <w:wAfter w:w="378" w:type="dxa"/>
          <w:trHeight w:val="255"/>
        </w:trPr>
        <w:tc>
          <w:tcPr>
            <w:tcW w:w="2977" w:type="dxa"/>
            <w:noWrap/>
            <w:tcMar>
              <w:right w:w="28" w:type="dxa"/>
            </w:tcMar>
            <w:vAlign w:val="bottom"/>
          </w:tcPr>
          <w:p w14:paraId="1EACDBE0" w14:textId="77777777" w:rsidR="008F2B94" w:rsidRPr="009F5C56" w:rsidRDefault="008F2B94" w:rsidP="00B5718F">
            <w:pPr>
              <w:jc w:val="both"/>
              <w:rPr>
                <w:sz w:val="22"/>
                <w:szCs w:val="22"/>
              </w:rPr>
            </w:pPr>
          </w:p>
        </w:tc>
        <w:tc>
          <w:tcPr>
            <w:tcW w:w="1134" w:type="dxa"/>
            <w:noWrap/>
            <w:tcMar>
              <w:right w:w="28" w:type="dxa"/>
            </w:tcMar>
            <w:vAlign w:val="center"/>
          </w:tcPr>
          <w:p w14:paraId="687BD712" w14:textId="77777777" w:rsidR="008F2B94" w:rsidRPr="009F5C56" w:rsidRDefault="008F2B94" w:rsidP="00B5718F">
            <w:pPr>
              <w:jc w:val="right"/>
              <w:rPr>
                <w:b/>
                <w:bCs/>
                <w:sz w:val="22"/>
                <w:szCs w:val="22"/>
              </w:rPr>
            </w:pPr>
            <w:r w:rsidRPr="009F5C56">
              <w:rPr>
                <w:b/>
                <w:sz w:val="22"/>
                <w:szCs w:val="22"/>
              </w:rPr>
              <w:t>Turnover</w:t>
            </w:r>
          </w:p>
        </w:tc>
        <w:tc>
          <w:tcPr>
            <w:tcW w:w="284" w:type="dxa"/>
            <w:tcMar>
              <w:right w:w="28" w:type="dxa"/>
            </w:tcMar>
            <w:vAlign w:val="center"/>
          </w:tcPr>
          <w:p w14:paraId="71F6BE4E" w14:textId="77777777" w:rsidR="008F2B94" w:rsidRPr="009F5C56" w:rsidRDefault="008F2B94" w:rsidP="00B5718F">
            <w:pPr>
              <w:jc w:val="right"/>
              <w:rPr>
                <w:b/>
                <w:bCs/>
                <w:sz w:val="22"/>
                <w:szCs w:val="22"/>
              </w:rPr>
            </w:pPr>
          </w:p>
        </w:tc>
        <w:tc>
          <w:tcPr>
            <w:tcW w:w="1084" w:type="dxa"/>
            <w:noWrap/>
            <w:tcMar>
              <w:left w:w="0" w:type="dxa"/>
              <w:right w:w="28" w:type="dxa"/>
            </w:tcMar>
            <w:vAlign w:val="center"/>
          </w:tcPr>
          <w:p w14:paraId="21EF9E57" w14:textId="77777777" w:rsidR="008F2B94" w:rsidRPr="009F5C56" w:rsidRDefault="008F2B94" w:rsidP="00B5718F">
            <w:pPr>
              <w:jc w:val="right"/>
              <w:rPr>
                <w:b/>
                <w:bCs/>
                <w:sz w:val="22"/>
                <w:szCs w:val="22"/>
              </w:rPr>
            </w:pPr>
            <w:r w:rsidRPr="009F5C56">
              <w:rPr>
                <w:b/>
                <w:bCs/>
                <w:sz w:val="22"/>
                <w:szCs w:val="22"/>
              </w:rPr>
              <w:t>Operating</w:t>
            </w:r>
          </w:p>
        </w:tc>
        <w:tc>
          <w:tcPr>
            <w:tcW w:w="333" w:type="dxa"/>
            <w:tcMar>
              <w:right w:w="28" w:type="dxa"/>
            </w:tcMar>
            <w:vAlign w:val="center"/>
          </w:tcPr>
          <w:p w14:paraId="009A2795" w14:textId="77777777" w:rsidR="008F2B94" w:rsidRPr="009F5C56" w:rsidRDefault="008F2B94" w:rsidP="00B5718F">
            <w:pPr>
              <w:pStyle w:val="Heading8"/>
              <w:jc w:val="right"/>
              <w:rPr>
                <w:sz w:val="22"/>
                <w:szCs w:val="22"/>
              </w:rPr>
            </w:pPr>
          </w:p>
        </w:tc>
        <w:tc>
          <w:tcPr>
            <w:tcW w:w="1276" w:type="dxa"/>
            <w:tcMar>
              <w:right w:w="28" w:type="dxa"/>
            </w:tcMar>
          </w:tcPr>
          <w:p w14:paraId="34ED268B" w14:textId="77777777" w:rsidR="008F2B94" w:rsidRPr="00C20464" w:rsidRDefault="008F2B94" w:rsidP="00B5718F">
            <w:pPr>
              <w:pStyle w:val="Heading8"/>
              <w:jc w:val="right"/>
              <w:rPr>
                <w:sz w:val="22"/>
                <w:szCs w:val="22"/>
              </w:rPr>
            </w:pPr>
            <w:r w:rsidRPr="00C20464">
              <w:rPr>
                <w:sz w:val="22"/>
                <w:szCs w:val="22"/>
              </w:rPr>
              <w:t xml:space="preserve">Other gains </w:t>
            </w:r>
          </w:p>
        </w:tc>
        <w:tc>
          <w:tcPr>
            <w:tcW w:w="283" w:type="dxa"/>
            <w:tcMar>
              <w:right w:w="28" w:type="dxa"/>
            </w:tcMar>
          </w:tcPr>
          <w:p w14:paraId="08EC6ACF" w14:textId="77777777" w:rsidR="008F2B94" w:rsidRPr="009F5C56" w:rsidRDefault="008F2B94" w:rsidP="00B5718F">
            <w:pPr>
              <w:pStyle w:val="Heading8"/>
              <w:jc w:val="right"/>
              <w:rPr>
                <w:sz w:val="22"/>
                <w:szCs w:val="22"/>
              </w:rPr>
            </w:pPr>
          </w:p>
        </w:tc>
        <w:tc>
          <w:tcPr>
            <w:tcW w:w="1085" w:type="dxa"/>
            <w:noWrap/>
            <w:tcMar>
              <w:left w:w="0" w:type="dxa"/>
              <w:right w:w="28" w:type="dxa"/>
            </w:tcMar>
            <w:vAlign w:val="center"/>
          </w:tcPr>
          <w:p w14:paraId="70CA2AAD" w14:textId="77777777" w:rsidR="008F2B94" w:rsidRPr="009F5C56" w:rsidRDefault="008F2B94" w:rsidP="00B5718F">
            <w:pPr>
              <w:pStyle w:val="Heading8"/>
              <w:jc w:val="right"/>
              <w:rPr>
                <w:sz w:val="22"/>
                <w:szCs w:val="22"/>
              </w:rPr>
            </w:pPr>
            <w:r w:rsidRPr="009F5C56">
              <w:rPr>
                <w:sz w:val="22"/>
                <w:szCs w:val="22"/>
              </w:rPr>
              <w:t>Operating</w:t>
            </w:r>
          </w:p>
        </w:tc>
        <w:tc>
          <w:tcPr>
            <w:tcW w:w="333" w:type="dxa"/>
            <w:tcMar>
              <w:right w:w="28" w:type="dxa"/>
            </w:tcMar>
            <w:vAlign w:val="center"/>
          </w:tcPr>
          <w:p w14:paraId="16D41C22" w14:textId="77777777" w:rsidR="008F2B94" w:rsidRPr="009F5C56" w:rsidRDefault="008F2B94" w:rsidP="00B5718F">
            <w:pPr>
              <w:pStyle w:val="Heading8"/>
              <w:jc w:val="right"/>
              <w:rPr>
                <w:sz w:val="22"/>
                <w:szCs w:val="22"/>
              </w:rPr>
            </w:pPr>
          </w:p>
        </w:tc>
        <w:tc>
          <w:tcPr>
            <w:tcW w:w="1137" w:type="dxa"/>
            <w:gridSpan w:val="2"/>
            <w:noWrap/>
            <w:tcMar>
              <w:left w:w="0" w:type="dxa"/>
              <w:right w:w="28" w:type="dxa"/>
            </w:tcMar>
            <w:vAlign w:val="center"/>
          </w:tcPr>
          <w:p w14:paraId="62480829" w14:textId="77777777" w:rsidR="008F2B94" w:rsidRPr="005075AC" w:rsidRDefault="008F2B94" w:rsidP="00B5718F">
            <w:pPr>
              <w:pStyle w:val="Heading8"/>
              <w:jc w:val="right"/>
              <w:rPr>
                <w:sz w:val="22"/>
                <w:szCs w:val="22"/>
              </w:rPr>
            </w:pPr>
            <w:r w:rsidRPr="005075AC">
              <w:rPr>
                <w:sz w:val="22"/>
                <w:szCs w:val="22"/>
              </w:rPr>
              <w:t>Operating</w:t>
            </w:r>
          </w:p>
        </w:tc>
      </w:tr>
      <w:tr w:rsidR="00E74B17" w:rsidRPr="009F5C56" w14:paraId="7295815F" w14:textId="77777777" w:rsidTr="000E4332">
        <w:trPr>
          <w:gridAfter w:val="1"/>
          <w:wAfter w:w="378" w:type="dxa"/>
          <w:trHeight w:val="255"/>
        </w:trPr>
        <w:tc>
          <w:tcPr>
            <w:tcW w:w="2977" w:type="dxa"/>
            <w:noWrap/>
            <w:tcMar>
              <w:right w:w="28" w:type="dxa"/>
            </w:tcMar>
            <w:vAlign w:val="bottom"/>
          </w:tcPr>
          <w:p w14:paraId="156FD27F" w14:textId="77777777" w:rsidR="008F2B94" w:rsidRPr="009F5C56" w:rsidRDefault="008F2B94" w:rsidP="00B5718F">
            <w:pPr>
              <w:jc w:val="both"/>
              <w:rPr>
                <w:sz w:val="22"/>
                <w:szCs w:val="22"/>
              </w:rPr>
            </w:pPr>
          </w:p>
        </w:tc>
        <w:tc>
          <w:tcPr>
            <w:tcW w:w="1134" w:type="dxa"/>
            <w:noWrap/>
            <w:tcMar>
              <w:left w:w="0" w:type="dxa"/>
              <w:right w:w="28" w:type="dxa"/>
            </w:tcMar>
            <w:vAlign w:val="center"/>
          </w:tcPr>
          <w:p w14:paraId="7DEAFEF1" w14:textId="77777777" w:rsidR="008F2B94" w:rsidRPr="009F5C56" w:rsidRDefault="008F2B94" w:rsidP="00B5718F">
            <w:pPr>
              <w:pStyle w:val="Heading8"/>
              <w:jc w:val="right"/>
              <w:rPr>
                <w:sz w:val="22"/>
                <w:szCs w:val="22"/>
              </w:rPr>
            </w:pPr>
          </w:p>
        </w:tc>
        <w:tc>
          <w:tcPr>
            <w:tcW w:w="284" w:type="dxa"/>
            <w:tcMar>
              <w:right w:w="28" w:type="dxa"/>
            </w:tcMar>
            <w:vAlign w:val="center"/>
          </w:tcPr>
          <w:p w14:paraId="3B4360B8" w14:textId="77777777" w:rsidR="008F2B94" w:rsidRPr="009F5C56" w:rsidRDefault="008F2B94" w:rsidP="00B5718F">
            <w:pPr>
              <w:jc w:val="right"/>
              <w:rPr>
                <w:b/>
                <w:bCs/>
                <w:sz w:val="22"/>
                <w:szCs w:val="22"/>
              </w:rPr>
            </w:pPr>
          </w:p>
        </w:tc>
        <w:tc>
          <w:tcPr>
            <w:tcW w:w="1084" w:type="dxa"/>
            <w:noWrap/>
            <w:tcMar>
              <w:right w:w="28" w:type="dxa"/>
            </w:tcMar>
            <w:vAlign w:val="center"/>
          </w:tcPr>
          <w:p w14:paraId="22E24A23" w14:textId="77777777" w:rsidR="008F2B94" w:rsidRPr="009F5C56" w:rsidRDefault="008F2B94" w:rsidP="00B5718F">
            <w:pPr>
              <w:jc w:val="right"/>
              <w:rPr>
                <w:b/>
                <w:bCs/>
                <w:sz w:val="22"/>
                <w:szCs w:val="22"/>
              </w:rPr>
            </w:pPr>
            <w:r w:rsidRPr="009F5C56">
              <w:rPr>
                <w:b/>
                <w:bCs/>
                <w:sz w:val="22"/>
                <w:szCs w:val="22"/>
              </w:rPr>
              <w:t>Costs</w:t>
            </w:r>
          </w:p>
        </w:tc>
        <w:tc>
          <w:tcPr>
            <w:tcW w:w="333" w:type="dxa"/>
            <w:tcMar>
              <w:right w:w="28" w:type="dxa"/>
            </w:tcMar>
            <w:vAlign w:val="center"/>
          </w:tcPr>
          <w:p w14:paraId="5E42EBA4" w14:textId="77777777" w:rsidR="008F2B94" w:rsidRPr="009F5C56" w:rsidRDefault="008F2B94" w:rsidP="00B5718F">
            <w:pPr>
              <w:jc w:val="right"/>
              <w:rPr>
                <w:b/>
                <w:bCs/>
                <w:sz w:val="22"/>
                <w:szCs w:val="22"/>
              </w:rPr>
            </w:pPr>
          </w:p>
        </w:tc>
        <w:tc>
          <w:tcPr>
            <w:tcW w:w="1276" w:type="dxa"/>
            <w:tcMar>
              <w:right w:w="28" w:type="dxa"/>
            </w:tcMar>
          </w:tcPr>
          <w:p w14:paraId="4856E4FE" w14:textId="77777777" w:rsidR="008F2B94" w:rsidRPr="00C20464" w:rsidRDefault="008F2B94" w:rsidP="00B5718F">
            <w:pPr>
              <w:rPr>
                <w:b/>
                <w:bCs/>
                <w:sz w:val="22"/>
                <w:szCs w:val="22"/>
              </w:rPr>
            </w:pPr>
            <w:r w:rsidRPr="00C20464">
              <w:rPr>
                <w:b/>
                <w:bCs/>
                <w:sz w:val="22"/>
                <w:szCs w:val="22"/>
              </w:rPr>
              <w:t>and (losses)</w:t>
            </w:r>
          </w:p>
        </w:tc>
        <w:tc>
          <w:tcPr>
            <w:tcW w:w="283" w:type="dxa"/>
            <w:tcMar>
              <w:right w:w="28" w:type="dxa"/>
            </w:tcMar>
          </w:tcPr>
          <w:p w14:paraId="489BCC20" w14:textId="77777777" w:rsidR="008F2B94" w:rsidRPr="009F5C56" w:rsidRDefault="008F2B94" w:rsidP="00B5718F">
            <w:pPr>
              <w:jc w:val="right"/>
              <w:rPr>
                <w:b/>
                <w:bCs/>
                <w:sz w:val="22"/>
                <w:szCs w:val="22"/>
              </w:rPr>
            </w:pPr>
          </w:p>
        </w:tc>
        <w:tc>
          <w:tcPr>
            <w:tcW w:w="1085" w:type="dxa"/>
            <w:noWrap/>
            <w:tcMar>
              <w:right w:w="28" w:type="dxa"/>
            </w:tcMar>
            <w:vAlign w:val="center"/>
          </w:tcPr>
          <w:p w14:paraId="1BF2B807" w14:textId="316536BE" w:rsidR="008F2B94" w:rsidRPr="009F5C56" w:rsidRDefault="008F2B94" w:rsidP="00B5718F">
            <w:pPr>
              <w:jc w:val="right"/>
              <w:rPr>
                <w:b/>
                <w:bCs/>
                <w:sz w:val="22"/>
                <w:szCs w:val="22"/>
              </w:rPr>
            </w:pPr>
            <w:r w:rsidRPr="009F5C56">
              <w:rPr>
                <w:b/>
                <w:bCs/>
                <w:sz w:val="22"/>
                <w:szCs w:val="22"/>
              </w:rPr>
              <w:t xml:space="preserve">surplus </w:t>
            </w:r>
          </w:p>
        </w:tc>
        <w:tc>
          <w:tcPr>
            <w:tcW w:w="333" w:type="dxa"/>
            <w:tcMar>
              <w:right w:w="28" w:type="dxa"/>
            </w:tcMar>
            <w:vAlign w:val="center"/>
          </w:tcPr>
          <w:p w14:paraId="498A9432" w14:textId="77777777" w:rsidR="008F2B94" w:rsidRPr="009F5C56" w:rsidRDefault="008F2B94" w:rsidP="00B5718F">
            <w:pPr>
              <w:jc w:val="right"/>
              <w:rPr>
                <w:b/>
                <w:bCs/>
                <w:sz w:val="22"/>
                <w:szCs w:val="22"/>
              </w:rPr>
            </w:pPr>
          </w:p>
        </w:tc>
        <w:tc>
          <w:tcPr>
            <w:tcW w:w="1137" w:type="dxa"/>
            <w:gridSpan w:val="2"/>
            <w:tcMar>
              <w:right w:w="28" w:type="dxa"/>
            </w:tcMar>
            <w:vAlign w:val="center"/>
          </w:tcPr>
          <w:p w14:paraId="64643015" w14:textId="77777777" w:rsidR="008F2B94" w:rsidRPr="005075AC" w:rsidRDefault="008F2B94" w:rsidP="00B5718F">
            <w:pPr>
              <w:jc w:val="right"/>
              <w:rPr>
                <w:b/>
                <w:bCs/>
                <w:sz w:val="22"/>
                <w:szCs w:val="22"/>
              </w:rPr>
            </w:pPr>
            <w:r>
              <w:rPr>
                <w:b/>
                <w:bCs/>
                <w:sz w:val="22"/>
                <w:szCs w:val="22"/>
              </w:rPr>
              <w:t>surplus</w:t>
            </w:r>
            <w:r w:rsidRPr="005075AC">
              <w:rPr>
                <w:b/>
                <w:bCs/>
                <w:sz w:val="22"/>
                <w:szCs w:val="22"/>
              </w:rPr>
              <w:t xml:space="preserve"> </w:t>
            </w:r>
          </w:p>
        </w:tc>
      </w:tr>
      <w:tr w:rsidR="00E74B17" w:rsidRPr="009F5C56" w14:paraId="1D276389" w14:textId="77777777" w:rsidTr="000E4332">
        <w:trPr>
          <w:gridAfter w:val="1"/>
          <w:wAfter w:w="378" w:type="dxa"/>
          <w:trHeight w:val="255"/>
        </w:trPr>
        <w:tc>
          <w:tcPr>
            <w:tcW w:w="2977" w:type="dxa"/>
            <w:noWrap/>
            <w:tcMar>
              <w:right w:w="28" w:type="dxa"/>
            </w:tcMar>
            <w:vAlign w:val="bottom"/>
          </w:tcPr>
          <w:p w14:paraId="6C91215B" w14:textId="77777777" w:rsidR="008F2B94" w:rsidRPr="009F5C56" w:rsidRDefault="008F2B94" w:rsidP="00B5718F">
            <w:pPr>
              <w:jc w:val="right"/>
              <w:rPr>
                <w:sz w:val="22"/>
                <w:szCs w:val="22"/>
              </w:rPr>
            </w:pPr>
          </w:p>
        </w:tc>
        <w:tc>
          <w:tcPr>
            <w:tcW w:w="1134" w:type="dxa"/>
            <w:noWrap/>
            <w:tcMar>
              <w:left w:w="0" w:type="dxa"/>
              <w:right w:w="28" w:type="dxa"/>
            </w:tcMar>
            <w:vAlign w:val="center"/>
          </w:tcPr>
          <w:p w14:paraId="16B9860A" w14:textId="77777777" w:rsidR="008F2B94" w:rsidRPr="009F5C56" w:rsidRDefault="008F2B94" w:rsidP="00B5718F">
            <w:pPr>
              <w:jc w:val="right"/>
              <w:rPr>
                <w:b/>
                <w:bCs/>
                <w:sz w:val="22"/>
                <w:szCs w:val="22"/>
              </w:rPr>
            </w:pPr>
            <w:r w:rsidRPr="009F5C56">
              <w:rPr>
                <w:b/>
                <w:bCs/>
                <w:sz w:val="22"/>
                <w:szCs w:val="22"/>
              </w:rPr>
              <w:t>£’000</w:t>
            </w:r>
          </w:p>
        </w:tc>
        <w:tc>
          <w:tcPr>
            <w:tcW w:w="284" w:type="dxa"/>
            <w:tcMar>
              <w:right w:w="28" w:type="dxa"/>
            </w:tcMar>
            <w:vAlign w:val="center"/>
          </w:tcPr>
          <w:p w14:paraId="6657E959" w14:textId="77777777" w:rsidR="008F2B94" w:rsidRPr="009F5C56" w:rsidRDefault="008F2B94" w:rsidP="00B5718F">
            <w:pPr>
              <w:jc w:val="right"/>
              <w:rPr>
                <w:b/>
                <w:bCs/>
                <w:sz w:val="22"/>
                <w:szCs w:val="22"/>
              </w:rPr>
            </w:pPr>
          </w:p>
        </w:tc>
        <w:tc>
          <w:tcPr>
            <w:tcW w:w="1084" w:type="dxa"/>
            <w:noWrap/>
            <w:tcMar>
              <w:right w:w="28" w:type="dxa"/>
            </w:tcMar>
            <w:vAlign w:val="center"/>
          </w:tcPr>
          <w:p w14:paraId="559FF29E" w14:textId="77777777" w:rsidR="008F2B94" w:rsidRPr="009F5C56" w:rsidRDefault="008F2B94" w:rsidP="00B5718F">
            <w:pPr>
              <w:jc w:val="right"/>
              <w:rPr>
                <w:b/>
                <w:bCs/>
                <w:sz w:val="22"/>
                <w:szCs w:val="22"/>
              </w:rPr>
            </w:pPr>
            <w:r w:rsidRPr="009F5C56">
              <w:rPr>
                <w:b/>
                <w:bCs/>
                <w:sz w:val="22"/>
                <w:szCs w:val="22"/>
              </w:rPr>
              <w:t>£’000</w:t>
            </w:r>
          </w:p>
        </w:tc>
        <w:tc>
          <w:tcPr>
            <w:tcW w:w="333" w:type="dxa"/>
            <w:tcMar>
              <w:right w:w="28" w:type="dxa"/>
            </w:tcMar>
            <w:vAlign w:val="center"/>
          </w:tcPr>
          <w:p w14:paraId="742B77D4" w14:textId="77777777" w:rsidR="008F2B94" w:rsidRPr="009F5C56" w:rsidRDefault="008F2B94" w:rsidP="00B5718F">
            <w:pPr>
              <w:jc w:val="right"/>
              <w:rPr>
                <w:b/>
                <w:bCs/>
                <w:sz w:val="22"/>
                <w:szCs w:val="22"/>
              </w:rPr>
            </w:pPr>
          </w:p>
        </w:tc>
        <w:tc>
          <w:tcPr>
            <w:tcW w:w="1276" w:type="dxa"/>
            <w:tcMar>
              <w:right w:w="28" w:type="dxa"/>
            </w:tcMar>
          </w:tcPr>
          <w:p w14:paraId="42A0F774" w14:textId="77777777" w:rsidR="008F2B94" w:rsidRPr="00805998" w:rsidRDefault="008F2B94" w:rsidP="00B5718F">
            <w:pPr>
              <w:jc w:val="right"/>
              <w:rPr>
                <w:b/>
                <w:bCs/>
                <w:sz w:val="22"/>
                <w:szCs w:val="22"/>
              </w:rPr>
            </w:pPr>
            <w:r w:rsidRPr="00805998">
              <w:rPr>
                <w:b/>
                <w:bCs/>
                <w:sz w:val="22"/>
                <w:szCs w:val="22"/>
              </w:rPr>
              <w:t>£’000</w:t>
            </w:r>
          </w:p>
        </w:tc>
        <w:tc>
          <w:tcPr>
            <w:tcW w:w="283" w:type="dxa"/>
            <w:tcMar>
              <w:right w:w="28" w:type="dxa"/>
            </w:tcMar>
          </w:tcPr>
          <w:p w14:paraId="3441E54C" w14:textId="77777777" w:rsidR="008F2B94" w:rsidRPr="009F5C56" w:rsidRDefault="008F2B94" w:rsidP="00B5718F">
            <w:pPr>
              <w:jc w:val="right"/>
              <w:rPr>
                <w:b/>
                <w:bCs/>
                <w:sz w:val="22"/>
                <w:szCs w:val="22"/>
              </w:rPr>
            </w:pPr>
          </w:p>
        </w:tc>
        <w:tc>
          <w:tcPr>
            <w:tcW w:w="1085" w:type="dxa"/>
            <w:noWrap/>
            <w:tcMar>
              <w:right w:w="28" w:type="dxa"/>
            </w:tcMar>
            <w:vAlign w:val="center"/>
          </w:tcPr>
          <w:p w14:paraId="5F066B60" w14:textId="77777777" w:rsidR="008F2B94" w:rsidRPr="009F5C56" w:rsidRDefault="008F2B94" w:rsidP="00B5718F">
            <w:pPr>
              <w:jc w:val="right"/>
              <w:rPr>
                <w:b/>
                <w:bCs/>
                <w:sz w:val="22"/>
                <w:szCs w:val="22"/>
              </w:rPr>
            </w:pPr>
            <w:r w:rsidRPr="009F5C56">
              <w:rPr>
                <w:b/>
                <w:bCs/>
                <w:sz w:val="22"/>
                <w:szCs w:val="22"/>
              </w:rPr>
              <w:t>£’000</w:t>
            </w:r>
          </w:p>
        </w:tc>
        <w:tc>
          <w:tcPr>
            <w:tcW w:w="333" w:type="dxa"/>
            <w:tcMar>
              <w:right w:w="28" w:type="dxa"/>
            </w:tcMar>
            <w:vAlign w:val="center"/>
          </w:tcPr>
          <w:p w14:paraId="145228C1" w14:textId="77777777" w:rsidR="008F2B94" w:rsidRPr="009F5C56" w:rsidRDefault="008F2B94" w:rsidP="00B5718F">
            <w:pPr>
              <w:jc w:val="right"/>
              <w:rPr>
                <w:b/>
                <w:bCs/>
                <w:sz w:val="22"/>
                <w:szCs w:val="22"/>
              </w:rPr>
            </w:pPr>
          </w:p>
        </w:tc>
        <w:tc>
          <w:tcPr>
            <w:tcW w:w="1137" w:type="dxa"/>
            <w:gridSpan w:val="2"/>
            <w:tcMar>
              <w:right w:w="28" w:type="dxa"/>
            </w:tcMar>
            <w:vAlign w:val="center"/>
          </w:tcPr>
          <w:p w14:paraId="2EF236A7" w14:textId="77777777" w:rsidR="008F2B94" w:rsidRPr="005075AC" w:rsidRDefault="008F2B94" w:rsidP="00B5718F">
            <w:pPr>
              <w:jc w:val="right"/>
              <w:rPr>
                <w:b/>
                <w:bCs/>
                <w:sz w:val="22"/>
                <w:szCs w:val="22"/>
              </w:rPr>
            </w:pPr>
            <w:r w:rsidRPr="005075AC">
              <w:rPr>
                <w:b/>
                <w:bCs/>
                <w:sz w:val="22"/>
                <w:szCs w:val="22"/>
              </w:rPr>
              <w:t>£’000</w:t>
            </w:r>
          </w:p>
        </w:tc>
      </w:tr>
      <w:tr w:rsidR="00534EF2" w:rsidRPr="004D388B" w14:paraId="52900814" w14:textId="77777777" w:rsidTr="000E4332">
        <w:trPr>
          <w:gridAfter w:val="1"/>
          <w:wAfter w:w="378" w:type="dxa"/>
          <w:trHeight w:val="255"/>
        </w:trPr>
        <w:tc>
          <w:tcPr>
            <w:tcW w:w="2977" w:type="dxa"/>
            <w:noWrap/>
            <w:vAlign w:val="bottom"/>
          </w:tcPr>
          <w:p w14:paraId="0B224176" w14:textId="77777777" w:rsidR="008F2B94" w:rsidRPr="004D388B" w:rsidRDefault="008F2B94" w:rsidP="00B5718F">
            <w:pPr>
              <w:jc w:val="both"/>
              <w:rPr>
                <w:sz w:val="22"/>
                <w:szCs w:val="22"/>
                <w:highlight w:val="yellow"/>
              </w:rPr>
            </w:pPr>
          </w:p>
        </w:tc>
        <w:tc>
          <w:tcPr>
            <w:tcW w:w="1134" w:type="dxa"/>
            <w:noWrap/>
            <w:tcMar>
              <w:left w:w="0" w:type="dxa"/>
              <w:right w:w="0" w:type="dxa"/>
            </w:tcMar>
            <w:vAlign w:val="center"/>
          </w:tcPr>
          <w:p w14:paraId="3C35F24E" w14:textId="77777777" w:rsidR="008F2B94" w:rsidRPr="004D388B" w:rsidRDefault="008F2B94" w:rsidP="00B5718F">
            <w:pPr>
              <w:jc w:val="right"/>
              <w:rPr>
                <w:sz w:val="22"/>
                <w:szCs w:val="22"/>
                <w:highlight w:val="yellow"/>
              </w:rPr>
            </w:pPr>
          </w:p>
        </w:tc>
        <w:tc>
          <w:tcPr>
            <w:tcW w:w="284" w:type="dxa"/>
            <w:vAlign w:val="center"/>
          </w:tcPr>
          <w:p w14:paraId="7C9D7B24" w14:textId="77777777" w:rsidR="008F2B94" w:rsidRPr="004D388B" w:rsidRDefault="008F2B94" w:rsidP="00B5718F">
            <w:pPr>
              <w:jc w:val="right"/>
              <w:rPr>
                <w:sz w:val="22"/>
                <w:szCs w:val="22"/>
                <w:highlight w:val="yellow"/>
              </w:rPr>
            </w:pPr>
          </w:p>
        </w:tc>
        <w:tc>
          <w:tcPr>
            <w:tcW w:w="1084" w:type="dxa"/>
            <w:noWrap/>
            <w:vAlign w:val="center"/>
          </w:tcPr>
          <w:p w14:paraId="408A07FE" w14:textId="77777777" w:rsidR="008F2B94" w:rsidRPr="004D388B" w:rsidRDefault="008F2B94" w:rsidP="00B5718F">
            <w:pPr>
              <w:jc w:val="right"/>
              <w:rPr>
                <w:sz w:val="22"/>
                <w:szCs w:val="22"/>
                <w:highlight w:val="yellow"/>
              </w:rPr>
            </w:pPr>
          </w:p>
        </w:tc>
        <w:tc>
          <w:tcPr>
            <w:tcW w:w="333" w:type="dxa"/>
            <w:vAlign w:val="center"/>
          </w:tcPr>
          <w:p w14:paraId="0A61751E" w14:textId="77777777" w:rsidR="008F2B94" w:rsidRPr="004D388B" w:rsidRDefault="008F2B94" w:rsidP="00B5718F">
            <w:pPr>
              <w:jc w:val="right"/>
              <w:rPr>
                <w:sz w:val="22"/>
                <w:szCs w:val="22"/>
                <w:highlight w:val="yellow"/>
              </w:rPr>
            </w:pPr>
          </w:p>
        </w:tc>
        <w:tc>
          <w:tcPr>
            <w:tcW w:w="1276" w:type="dxa"/>
            <w:vAlign w:val="center"/>
          </w:tcPr>
          <w:p w14:paraId="57D6AB35" w14:textId="77777777" w:rsidR="008F2B94" w:rsidRPr="004D388B" w:rsidRDefault="008F2B94" w:rsidP="00B5718F">
            <w:pPr>
              <w:jc w:val="right"/>
              <w:rPr>
                <w:sz w:val="22"/>
                <w:szCs w:val="22"/>
                <w:highlight w:val="yellow"/>
              </w:rPr>
            </w:pPr>
          </w:p>
        </w:tc>
        <w:tc>
          <w:tcPr>
            <w:tcW w:w="283" w:type="dxa"/>
          </w:tcPr>
          <w:p w14:paraId="6172E9A4" w14:textId="77777777" w:rsidR="008F2B94" w:rsidRPr="004D388B" w:rsidRDefault="008F2B94" w:rsidP="00B5718F">
            <w:pPr>
              <w:jc w:val="right"/>
              <w:rPr>
                <w:sz w:val="22"/>
                <w:szCs w:val="22"/>
                <w:highlight w:val="yellow"/>
              </w:rPr>
            </w:pPr>
          </w:p>
        </w:tc>
        <w:tc>
          <w:tcPr>
            <w:tcW w:w="1085" w:type="dxa"/>
            <w:noWrap/>
            <w:vAlign w:val="center"/>
          </w:tcPr>
          <w:p w14:paraId="107A2D2B" w14:textId="77777777" w:rsidR="008F2B94" w:rsidRPr="004D388B" w:rsidRDefault="008F2B94" w:rsidP="00B5718F">
            <w:pPr>
              <w:jc w:val="right"/>
              <w:rPr>
                <w:sz w:val="22"/>
                <w:szCs w:val="22"/>
                <w:highlight w:val="yellow"/>
              </w:rPr>
            </w:pPr>
          </w:p>
        </w:tc>
        <w:tc>
          <w:tcPr>
            <w:tcW w:w="333" w:type="dxa"/>
            <w:vAlign w:val="center"/>
          </w:tcPr>
          <w:p w14:paraId="3A239660" w14:textId="77777777" w:rsidR="008F2B94" w:rsidRPr="004D388B" w:rsidRDefault="008F2B94" w:rsidP="00B5718F">
            <w:pPr>
              <w:jc w:val="right"/>
              <w:rPr>
                <w:sz w:val="22"/>
                <w:szCs w:val="22"/>
                <w:highlight w:val="yellow"/>
              </w:rPr>
            </w:pPr>
          </w:p>
        </w:tc>
        <w:tc>
          <w:tcPr>
            <w:tcW w:w="1137" w:type="dxa"/>
            <w:gridSpan w:val="2"/>
            <w:noWrap/>
            <w:vAlign w:val="center"/>
          </w:tcPr>
          <w:p w14:paraId="024CACDB" w14:textId="77777777" w:rsidR="008F2B94" w:rsidRPr="005075AC" w:rsidRDefault="008F2B94" w:rsidP="00B5718F">
            <w:pPr>
              <w:jc w:val="right"/>
              <w:rPr>
                <w:sz w:val="22"/>
                <w:szCs w:val="22"/>
                <w:lang w:eastAsia="en-GB"/>
              </w:rPr>
            </w:pPr>
          </w:p>
        </w:tc>
      </w:tr>
      <w:tr w:rsidR="00D9479F" w:rsidRPr="00E803CA" w14:paraId="3AA980F1" w14:textId="77777777" w:rsidTr="000E4332">
        <w:trPr>
          <w:gridAfter w:val="1"/>
          <w:wAfter w:w="378" w:type="dxa"/>
          <w:trHeight w:val="255"/>
        </w:trPr>
        <w:tc>
          <w:tcPr>
            <w:tcW w:w="2977" w:type="dxa"/>
            <w:noWrap/>
            <w:vAlign w:val="center"/>
          </w:tcPr>
          <w:p w14:paraId="7A92BBC9" w14:textId="77777777" w:rsidR="00C64E04" w:rsidRPr="002C5119" w:rsidRDefault="00C64E04" w:rsidP="00C64E04">
            <w:pPr>
              <w:rPr>
                <w:sz w:val="22"/>
                <w:szCs w:val="22"/>
              </w:rPr>
            </w:pPr>
            <w:r w:rsidRPr="002C5119">
              <w:rPr>
                <w:sz w:val="22"/>
                <w:szCs w:val="22"/>
              </w:rPr>
              <w:t xml:space="preserve">Affordable letting activities (note 4) </w:t>
            </w:r>
          </w:p>
        </w:tc>
        <w:tc>
          <w:tcPr>
            <w:tcW w:w="1134" w:type="dxa"/>
            <w:noWrap/>
            <w:tcMar>
              <w:left w:w="0" w:type="dxa"/>
              <w:right w:w="28" w:type="dxa"/>
            </w:tcMar>
            <w:vAlign w:val="center"/>
          </w:tcPr>
          <w:p w14:paraId="6A3AFAAA" w14:textId="26E59240" w:rsidR="00C64E04" w:rsidRPr="00ED6E17" w:rsidRDefault="001E4115" w:rsidP="00C64E04">
            <w:pPr>
              <w:jc w:val="right"/>
              <w:rPr>
                <w:sz w:val="22"/>
                <w:szCs w:val="22"/>
              </w:rPr>
            </w:pPr>
            <w:r>
              <w:rPr>
                <w:sz w:val="22"/>
                <w:szCs w:val="22"/>
              </w:rPr>
              <w:t>59,68</w:t>
            </w:r>
            <w:r w:rsidR="00B0783C">
              <w:rPr>
                <w:sz w:val="22"/>
                <w:szCs w:val="22"/>
              </w:rPr>
              <w:t>8</w:t>
            </w:r>
          </w:p>
        </w:tc>
        <w:tc>
          <w:tcPr>
            <w:tcW w:w="284" w:type="dxa"/>
            <w:tcMar>
              <w:right w:w="28" w:type="dxa"/>
            </w:tcMar>
            <w:vAlign w:val="center"/>
          </w:tcPr>
          <w:p w14:paraId="73AF3448" w14:textId="77777777" w:rsidR="00C64E04" w:rsidRPr="00570940" w:rsidRDefault="00C64E04" w:rsidP="00C64E04">
            <w:pPr>
              <w:jc w:val="right"/>
              <w:rPr>
                <w:sz w:val="22"/>
                <w:szCs w:val="22"/>
                <w:highlight w:val="yellow"/>
              </w:rPr>
            </w:pPr>
          </w:p>
        </w:tc>
        <w:tc>
          <w:tcPr>
            <w:tcW w:w="1084" w:type="dxa"/>
            <w:noWrap/>
            <w:tcMar>
              <w:right w:w="28" w:type="dxa"/>
            </w:tcMar>
            <w:vAlign w:val="center"/>
          </w:tcPr>
          <w:p w14:paraId="237596E8" w14:textId="11F880E6" w:rsidR="00C64E04" w:rsidRPr="00AA583E" w:rsidRDefault="004E6770" w:rsidP="00C64E04">
            <w:pPr>
              <w:jc w:val="right"/>
              <w:rPr>
                <w:sz w:val="22"/>
                <w:szCs w:val="22"/>
              </w:rPr>
            </w:pPr>
            <w:r w:rsidRPr="00AA583E">
              <w:rPr>
                <w:sz w:val="22"/>
                <w:szCs w:val="22"/>
              </w:rPr>
              <w:t>(39,</w:t>
            </w:r>
            <w:r w:rsidR="00E86C52" w:rsidRPr="00AA583E">
              <w:rPr>
                <w:sz w:val="22"/>
                <w:szCs w:val="22"/>
              </w:rPr>
              <w:t>41</w:t>
            </w:r>
            <w:r w:rsidR="001E419F" w:rsidRPr="00AA583E">
              <w:rPr>
                <w:sz w:val="22"/>
                <w:szCs w:val="22"/>
              </w:rPr>
              <w:t>5</w:t>
            </w:r>
            <w:r w:rsidRPr="00AA583E">
              <w:rPr>
                <w:sz w:val="22"/>
                <w:szCs w:val="22"/>
              </w:rPr>
              <w:t>)</w:t>
            </w:r>
          </w:p>
        </w:tc>
        <w:tc>
          <w:tcPr>
            <w:tcW w:w="333" w:type="dxa"/>
            <w:tcMar>
              <w:right w:w="28" w:type="dxa"/>
            </w:tcMar>
            <w:vAlign w:val="center"/>
          </w:tcPr>
          <w:p w14:paraId="712B19B8" w14:textId="77777777" w:rsidR="00C64E04" w:rsidRPr="00AA583E" w:rsidRDefault="00C64E04" w:rsidP="00C64E04">
            <w:pPr>
              <w:jc w:val="right"/>
              <w:rPr>
                <w:sz w:val="22"/>
                <w:szCs w:val="22"/>
              </w:rPr>
            </w:pPr>
          </w:p>
        </w:tc>
        <w:tc>
          <w:tcPr>
            <w:tcW w:w="1276" w:type="dxa"/>
            <w:tcMar>
              <w:right w:w="28" w:type="dxa"/>
            </w:tcMar>
            <w:vAlign w:val="center"/>
          </w:tcPr>
          <w:p w14:paraId="1D86A713" w14:textId="49EA8AC1" w:rsidR="00C64E04" w:rsidRPr="00AA583E" w:rsidRDefault="004E6770" w:rsidP="00C64E04">
            <w:pPr>
              <w:jc w:val="right"/>
              <w:rPr>
                <w:sz w:val="22"/>
                <w:szCs w:val="22"/>
              </w:rPr>
            </w:pPr>
            <w:r w:rsidRPr="00AA583E">
              <w:rPr>
                <w:sz w:val="22"/>
                <w:szCs w:val="22"/>
              </w:rPr>
              <w:t>-</w:t>
            </w:r>
          </w:p>
        </w:tc>
        <w:tc>
          <w:tcPr>
            <w:tcW w:w="283" w:type="dxa"/>
            <w:tcMar>
              <w:right w:w="28" w:type="dxa"/>
            </w:tcMar>
            <w:vAlign w:val="center"/>
          </w:tcPr>
          <w:p w14:paraId="51C447DD" w14:textId="77777777" w:rsidR="00C64E04" w:rsidRPr="00AA583E" w:rsidRDefault="00C64E04" w:rsidP="00C64E04">
            <w:pPr>
              <w:jc w:val="right"/>
              <w:rPr>
                <w:sz w:val="22"/>
                <w:szCs w:val="22"/>
              </w:rPr>
            </w:pPr>
          </w:p>
        </w:tc>
        <w:tc>
          <w:tcPr>
            <w:tcW w:w="1085" w:type="dxa"/>
            <w:noWrap/>
            <w:tcMar>
              <w:right w:w="28" w:type="dxa"/>
            </w:tcMar>
            <w:vAlign w:val="center"/>
          </w:tcPr>
          <w:p w14:paraId="7205B975" w14:textId="720D7667" w:rsidR="00C64E04" w:rsidRPr="00AA583E" w:rsidRDefault="006540C9" w:rsidP="00C64E04">
            <w:pPr>
              <w:jc w:val="right"/>
              <w:rPr>
                <w:sz w:val="22"/>
                <w:szCs w:val="22"/>
              </w:rPr>
            </w:pPr>
            <w:r w:rsidRPr="00AA583E">
              <w:rPr>
                <w:sz w:val="22"/>
                <w:szCs w:val="22"/>
              </w:rPr>
              <w:t>20,</w:t>
            </w:r>
            <w:r w:rsidR="00962E7A" w:rsidRPr="00AA583E">
              <w:rPr>
                <w:sz w:val="22"/>
                <w:szCs w:val="22"/>
              </w:rPr>
              <w:t>27</w:t>
            </w:r>
            <w:r w:rsidR="001E419F" w:rsidRPr="00AA583E">
              <w:rPr>
                <w:sz w:val="22"/>
                <w:szCs w:val="22"/>
              </w:rPr>
              <w:t>3</w:t>
            </w:r>
          </w:p>
        </w:tc>
        <w:tc>
          <w:tcPr>
            <w:tcW w:w="333" w:type="dxa"/>
            <w:tcMar>
              <w:right w:w="28" w:type="dxa"/>
            </w:tcMar>
            <w:vAlign w:val="center"/>
          </w:tcPr>
          <w:p w14:paraId="60A8A4FA" w14:textId="77777777" w:rsidR="00C64E04" w:rsidRPr="00AA583E" w:rsidRDefault="00C64E04" w:rsidP="00C64E04">
            <w:pPr>
              <w:jc w:val="right"/>
              <w:rPr>
                <w:sz w:val="22"/>
                <w:szCs w:val="22"/>
              </w:rPr>
            </w:pPr>
          </w:p>
        </w:tc>
        <w:tc>
          <w:tcPr>
            <w:tcW w:w="1137" w:type="dxa"/>
            <w:gridSpan w:val="2"/>
            <w:noWrap/>
            <w:tcMar>
              <w:right w:w="28" w:type="dxa"/>
            </w:tcMar>
            <w:vAlign w:val="center"/>
          </w:tcPr>
          <w:p w14:paraId="40CE052E" w14:textId="5BEB5462" w:rsidR="00C64E04" w:rsidRPr="00AA583E" w:rsidRDefault="00C64E04" w:rsidP="00C64E04">
            <w:pPr>
              <w:jc w:val="right"/>
              <w:rPr>
                <w:sz w:val="22"/>
                <w:szCs w:val="22"/>
              </w:rPr>
            </w:pPr>
            <w:r w:rsidRPr="00AA583E">
              <w:rPr>
                <w:sz w:val="22"/>
                <w:szCs w:val="22"/>
              </w:rPr>
              <w:t>14,774</w:t>
            </w:r>
          </w:p>
        </w:tc>
      </w:tr>
      <w:tr w:rsidR="00D9479F" w:rsidRPr="00E803CA" w14:paraId="02FF35CA" w14:textId="77777777" w:rsidTr="000E4332">
        <w:trPr>
          <w:gridAfter w:val="1"/>
          <w:wAfter w:w="378" w:type="dxa"/>
          <w:trHeight w:val="255"/>
        </w:trPr>
        <w:tc>
          <w:tcPr>
            <w:tcW w:w="2977" w:type="dxa"/>
            <w:noWrap/>
            <w:vAlign w:val="center"/>
          </w:tcPr>
          <w:p w14:paraId="13C45F1E" w14:textId="77777777" w:rsidR="00C64E04" w:rsidRPr="002C5119" w:rsidRDefault="00C64E04" w:rsidP="00C64E04">
            <w:pPr>
              <w:rPr>
                <w:sz w:val="22"/>
                <w:szCs w:val="22"/>
              </w:rPr>
            </w:pPr>
            <w:r w:rsidRPr="002C5119">
              <w:rPr>
                <w:sz w:val="22"/>
                <w:szCs w:val="22"/>
              </w:rPr>
              <w:t>Other activities (note 5)</w:t>
            </w:r>
          </w:p>
        </w:tc>
        <w:tc>
          <w:tcPr>
            <w:tcW w:w="1134" w:type="dxa"/>
            <w:noWrap/>
            <w:tcMar>
              <w:left w:w="0" w:type="dxa"/>
              <w:right w:w="28" w:type="dxa"/>
            </w:tcMar>
            <w:vAlign w:val="center"/>
          </w:tcPr>
          <w:p w14:paraId="6F81B2E6" w14:textId="477F5095" w:rsidR="00C64E04" w:rsidRPr="00ED6E17" w:rsidRDefault="001E4115" w:rsidP="00C64E04">
            <w:pPr>
              <w:jc w:val="right"/>
              <w:rPr>
                <w:sz w:val="22"/>
                <w:szCs w:val="22"/>
              </w:rPr>
            </w:pPr>
            <w:r>
              <w:rPr>
                <w:sz w:val="22"/>
                <w:szCs w:val="22"/>
              </w:rPr>
              <w:t>3,137</w:t>
            </w:r>
          </w:p>
        </w:tc>
        <w:tc>
          <w:tcPr>
            <w:tcW w:w="284" w:type="dxa"/>
            <w:tcMar>
              <w:right w:w="28" w:type="dxa"/>
            </w:tcMar>
            <w:vAlign w:val="center"/>
          </w:tcPr>
          <w:p w14:paraId="5DB919D0" w14:textId="77777777" w:rsidR="00C64E04" w:rsidRPr="00570940" w:rsidRDefault="00C64E04" w:rsidP="00C64E04">
            <w:pPr>
              <w:jc w:val="right"/>
              <w:rPr>
                <w:sz w:val="22"/>
                <w:szCs w:val="22"/>
                <w:highlight w:val="yellow"/>
              </w:rPr>
            </w:pPr>
          </w:p>
        </w:tc>
        <w:tc>
          <w:tcPr>
            <w:tcW w:w="1084" w:type="dxa"/>
            <w:noWrap/>
            <w:tcMar>
              <w:right w:w="28" w:type="dxa"/>
            </w:tcMar>
            <w:vAlign w:val="center"/>
          </w:tcPr>
          <w:p w14:paraId="21202EEF" w14:textId="3F13942B" w:rsidR="00C64E04" w:rsidRPr="00AA583E" w:rsidRDefault="006540C9" w:rsidP="00C64E04">
            <w:pPr>
              <w:jc w:val="right"/>
              <w:rPr>
                <w:sz w:val="22"/>
                <w:szCs w:val="22"/>
              </w:rPr>
            </w:pPr>
            <w:r w:rsidRPr="00AA583E">
              <w:rPr>
                <w:sz w:val="22"/>
                <w:szCs w:val="22"/>
              </w:rPr>
              <w:t>(1,</w:t>
            </w:r>
            <w:r w:rsidR="006A1C27" w:rsidRPr="00AA583E">
              <w:rPr>
                <w:sz w:val="22"/>
                <w:szCs w:val="22"/>
              </w:rPr>
              <w:t>8</w:t>
            </w:r>
            <w:r w:rsidR="001A60E4" w:rsidRPr="00AA583E">
              <w:rPr>
                <w:sz w:val="22"/>
                <w:szCs w:val="22"/>
              </w:rPr>
              <w:t>91</w:t>
            </w:r>
            <w:r w:rsidRPr="00AA583E">
              <w:rPr>
                <w:sz w:val="22"/>
                <w:szCs w:val="22"/>
              </w:rPr>
              <w:t>)</w:t>
            </w:r>
          </w:p>
        </w:tc>
        <w:tc>
          <w:tcPr>
            <w:tcW w:w="333" w:type="dxa"/>
            <w:tcMar>
              <w:right w:w="28" w:type="dxa"/>
            </w:tcMar>
            <w:vAlign w:val="center"/>
          </w:tcPr>
          <w:p w14:paraId="6AB54FA7" w14:textId="77777777" w:rsidR="00C64E04" w:rsidRPr="00AA583E" w:rsidRDefault="00C64E04" w:rsidP="00C64E04">
            <w:pPr>
              <w:jc w:val="right"/>
              <w:rPr>
                <w:sz w:val="22"/>
                <w:szCs w:val="22"/>
              </w:rPr>
            </w:pPr>
          </w:p>
        </w:tc>
        <w:tc>
          <w:tcPr>
            <w:tcW w:w="1276" w:type="dxa"/>
            <w:tcMar>
              <w:right w:w="28" w:type="dxa"/>
            </w:tcMar>
            <w:vAlign w:val="center"/>
          </w:tcPr>
          <w:p w14:paraId="48BDA8C9" w14:textId="0FB959ED" w:rsidR="00C64E04" w:rsidRPr="00AA583E" w:rsidRDefault="00A631D3" w:rsidP="00C64E04">
            <w:pPr>
              <w:jc w:val="right"/>
              <w:rPr>
                <w:sz w:val="22"/>
                <w:szCs w:val="22"/>
              </w:rPr>
            </w:pPr>
            <w:r w:rsidRPr="00AA583E">
              <w:rPr>
                <w:sz w:val="22"/>
                <w:szCs w:val="22"/>
              </w:rPr>
              <w:t>-</w:t>
            </w:r>
          </w:p>
        </w:tc>
        <w:tc>
          <w:tcPr>
            <w:tcW w:w="283" w:type="dxa"/>
            <w:tcMar>
              <w:right w:w="28" w:type="dxa"/>
            </w:tcMar>
            <w:vAlign w:val="center"/>
          </w:tcPr>
          <w:p w14:paraId="2F010F2C" w14:textId="77777777" w:rsidR="00C64E04" w:rsidRPr="00AA583E" w:rsidRDefault="00C64E04" w:rsidP="00C64E04">
            <w:pPr>
              <w:jc w:val="right"/>
              <w:rPr>
                <w:sz w:val="22"/>
                <w:szCs w:val="22"/>
              </w:rPr>
            </w:pPr>
          </w:p>
        </w:tc>
        <w:tc>
          <w:tcPr>
            <w:tcW w:w="1085" w:type="dxa"/>
            <w:noWrap/>
            <w:tcMar>
              <w:right w:w="28" w:type="dxa"/>
            </w:tcMar>
            <w:vAlign w:val="center"/>
          </w:tcPr>
          <w:p w14:paraId="56AFD0E4" w14:textId="375083A5" w:rsidR="00C64E04" w:rsidRPr="00AA583E" w:rsidRDefault="009247EC" w:rsidP="00C64E04">
            <w:pPr>
              <w:jc w:val="right"/>
              <w:rPr>
                <w:sz w:val="22"/>
                <w:szCs w:val="22"/>
              </w:rPr>
            </w:pPr>
            <w:r w:rsidRPr="00AA583E">
              <w:rPr>
                <w:sz w:val="22"/>
                <w:szCs w:val="22"/>
              </w:rPr>
              <w:t>1,</w:t>
            </w:r>
            <w:r w:rsidR="00B0728E" w:rsidRPr="00AA583E">
              <w:rPr>
                <w:sz w:val="22"/>
                <w:szCs w:val="22"/>
              </w:rPr>
              <w:t>246</w:t>
            </w:r>
          </w:p>
        </w:tc>
        <w:tc>
          <w:tcPr>
            <w:tcW w:w="333" w:type="dxa"/>
            <w:tcMar>
              <w:right w:w="28" w:type="dxa"/>
            </w:tcMar>
            <w:vAlign w:val="center"/>
          </w:tcPr>
          <w:p w14:paraId="31EDA6BA" w14:textId="77777777" w:rsidR="00C64E04" w:rsidRPr="00AA583E" w:rsidRDefault="00C64E04" w:rsidP="00C64E04">
            <w:pPr>
              <w:jc w:val="right"/>
              <w:rPr>
                <w:sz w:val="22"/>
                <w:szCs w:val="22"/>
                <w:u w:val="single"/>
              </w:rPr>
            </w:pPr>
          </w:p>
        </w:tc>
        <w:tc>
          <w:tcPr>
            <w:tcW w:w="1137" w:type="dxa"/>
            <w:gridSpan w:val="2"/>
            <w:noWrap/>
            <w:tcMar>
              <w:right w:w="28" w:type="dxa"/>
            </w:tcMar>
            <w:vAlign w:val="center"/>
          </w:tcPr>
          <w:p w14:paraId="0521F6A1" w14:textId="23B58641" w:rsidR="00C64E04" w:rsidRPr="00AA583E" w:rsidRDefault="00C64E04" w:rsidP="00C64E04">
            <w:pPr>
              <w:jc w:val="right"/>
              <w:rPr>
                <w:sz w:val="22"/>
                <w:szCs w:val="22"/>
              </w:rPr>
            </w:pPr>
            <w:r w:rsidRPr="00AA583E">
              <w:rPr>
                <w:sz w:val="22"/>
                <w:szCs w:val="22"/>
              </w:rPr>
              <w:t>194</w:t>
            </w:r>
          </w:p>
        </w:tc>
      </w:tr>
      <w:tr w:rsidR="00B06B34" w:rsidRPr="00AA583E" w14:paraId="06B01B08" w14:textId="77777777" w:rsidTr="000E4332">
        <w:trPr>
          <w:gridAfter w:val="2"/>
          <w:wAfter w:w="430" w:type="dxa"/>
          <w:trHeight w:val="255"/>
        </w:trPr>
        <w:tc>
          <w:tcPr>
            <w:tcW w:w="2977" w:type="dxa"/>
            <w:noWrap/>
            <w:vAlign w:val="center"/>
          </w:tcPr>
          <w:p w14:paraId="69DABC58" w14:textId="267E707A" w:rsidR="00C64E04" w:rsidRPr="002C5119" w:rsidRDefault="00C64E04" w:rsidP="00C64E04">
            <w:pPr>
              <w:rPr>
                <w:sz w:val="22"/>
                <w:szCs w:val="22"/>
              </w:rPr>
            </w:pPr>
            <w:r w:rsidRPr="006B20CB">
              <w:rPr>
                <w:sz w:val="22"/>
                <w:szCs w:val="22"/>
              </w:rPr>
              <w:t>Revaluation of investment properties (note 1</w:t>
            </w:r>
            <w:r>
              <w:rPr>
                <w:sz w:val="22"/>
                <w:szCs w:val="22"/>
              </w:rPr>
              <w:t>6</w:t>
            </w:r>
            <w:r w:rsidRPr="006B20CB">
              <w:rPr>
                <w:sz w:val="22"/>
                <w:szCs w:val="22"/>
              </w:rPr>
              <w:t>)</w:t>
            </w:r>
          </w:p>
        </w:tc>
        <w:tc>
          <w:tcPr>
            <w:tcW w:w="1134" w:type="dxa"/>
            <w:tcBorders>
              <w:bottom w:val="single" w:sz="4" w:space="0" w:color="auto"/>
            </w:tcBorders>
            <w:noWrap/>
            <w:tcMar>
              <w:left w:w="0" w:type="dxa"/>
              <w:right w:w="28" w:type="dxa"/>
            </w:tcMar>
            <w:vAlign w:val="center"/>
          </w:tcPr>
          <w:p w14:paraId="07787B0D" w14:textId="0B84EEC0" w:rsidR="00C64E04" w:rsidRDefault="006540C9" w:rsidP="00C64E04">
            <w:pPr>
              <w:jc w:val="right"/>
              <w:rPr>
                <w:sz w:val="22"/>
                <w:szCs w:val="22"/>
              </w:rPr>
            </w:pPr>
            <w:r>
              <w:rPr>
                <w:sz w:val="22"/>
                <w:szCs w:val="22"/>
              </w:rPr>
              <w:t>-</w:t>
            </w:r>
          </w:p>
        </w:tc>
        <w:tc>
          <w:tcPr>
            <w:tcW w:w="284" w:type="dxa"/>
            <w:tcBorders>
              <w:bottom w:val="single" w:sz="4" w:space="0" w:color="auto"/>
            </w:tcBorders>
            <w:tcMar>
              <w:right w:w="28" w:type="dxa"/>
            </w:tcMar>
            <w:vAlign w:val="center"/>
          </w:tcPr>
          <w:p w14:paraId="34155799" w14:textId="64593CE9" w:rsidR="00C64E04" w:rsidRPr="00570940" w:rsidRDefault="00C64E04" w:rsidP="00C64E04">
            <w:pPr>
              <w:jc w:val="right"/>
              <w:rPr>
                <w:sz w:val="22"/>
                <w:szCs w:val="22"/>
                <w:highlight w:val="yellow"/>
              </w:rPr>
            </w:pPr>
          </w:p>
        </w:tc>
        <w:tc>
          <w:tcPr>
            <w:tcW w:w="1084" w:type="dxa"/>
            <w:tcBorders>
              <w:bottom w:val="single" w:sz="4" w:space="0" w:color="auto"/>
            </w:tcBorders>
            <w:noWrap/>
            <w:tcMar>
              <w:right w:w="28" w:type="dxa"/>
            </w:tcMar>
            <w:vAlign w:val="center"/>
          </w:tcPr>
          <w:p w14:paraId="31CE5310" w14:textId="4E829E6B" w:rsidR="00C64E04" w:rsidRPr="00AA583E" w:rsidRDefault="006540C9" w:rsidP="00C64E04">
            <w:pPr>
              <w:jc w:val="right"/>
              <w:rPr>
                <w:sz w:val="22"/>
                <w:szCs w:val="22"/>
              </w:rPr>
            </w:pPr>
            <w:r w:rsidRPr="00AA583E">
              <w:rPr>
                <w:sz w:val="22"/>
                <w:szCs w:val="22"/>
              </w:rPr>
              <w:t>-</w:t>
            </w:r>
          </w:p>
        </w:tc>
        <w:tc>
          <w:tcPr>
            <w:tcW w:w="333" w:type="dxa"/>
            <w:tcBorders>
              <w:bottom w:val="single" w:sz="4" w:space="0" w:color="auto"/>
            </w:tcBorders>
            <w:tcMar>
              <w:right w:w="28" w:type="dxa"/>
            </w:tcMar>
            <w:vAlign w:val="center"/>
          </w:tcPr>
          <w:p w14:paraId="5355556B" w14:textId="77777777" w:rsidR="00C64E04" w:rsidRPr="00AA583E" w:rsidRDefault="00C64E04" w:rsidP="00C64E04">
            <w:pPr>
              <w:jc w:val="right"/>
              <w:rPr>
                <w:sz w:val="22"/>
                <w:szCs w:val="22"/>
              </w:rPr>
            </w:pPr>
          </w:p>
        </w:tc>
        <w:tc>
          <w:tcPr>
            <w:tcW w:w="1276" w:type="dxa"/>
            <w:tcBorders>
              <w:bottom w:val="single" w:sz="4" w:space="0" w:color="auto"/>
            </w:tcBorders>
            <w:tcMar>
              <w:right w:w="28" w:type="dxa"/>
            </w:tcMar>
            <w:vAlign w:val="center"/>
          </w:tcPr>
          <w:p w14:paraId="0BBAC417" w14:textId="2C0C1AD1" w:rsidR="00C64E04" w:rsidRPr="00AA583E" w:rsidRDefault="006540C9" w:rsidP="00C64E04">
            <w:pPr>
              <w:jc w:val="right"/>
              <w:rPr>
                <w:sz w:val="22"/>
                <w:szCs w:val="22"/>
              </w:rPr>
            </w:pPr>
            <w:r w:rsidRPr="00AA583E">
              <w:rPr>
                <w:sz w:val="22"/>
                <w:szCs w:val="22"/>
              </w:rPr>
              <w:t>(</w:t>
            </w:r>
            <w:r w:rsidR="0062493A" w:rsidRPr="00AA583E">
              <w:rPr>
                <w:sz w:val="22"/>
                <w:szCs w:val="22"/>
              </w:rPr>
              <w:t>600</w:t>
            </w:r>
            <w:r w:rsidRPr="00AA583E">
              <w:rPr>
                <w:sz w:val="22"/>
                <w:szCs w:val="22"/>
              </w:rPr>
              <w:t>)</w:t>
            </w:r>
          </w:p>
        </w:tc>
        <w:tc>
          <w:tcPr>
            <w:tcW w:w="283" w:type="dxa"/>
            <w:tcBorders>
              <w:bottom w:val="single" w:sz="4" w:space="0" w:color="auto"/>
            </w:tcBorders>
            <w:tcMar>
              <w:right w:w="28" w:type="dxa"/>
            </w:tcMar>
            <w:vAlign w:val="center"/>
          </w:tcPr>
          <w:p w14:paraId="17014E25" w14:textId="77777777" w:rsidR="00C64E04" w:rsidRPr="00AA583E" w:rsidRDefault="00C64E04" w:rsidP="00C64E04">
            <w:pPr>
              <w:jc w:val="right"/>
              <w:rPr>
                <w:sz w:val="22"/>
                <w:szCs w:val="22"/>
              </w:rPr>
            </w:pPr>
          </w:p>
        </w:tc>
        <w:tc>
          <w:tcPr>
            <w:tcW w:w="1085" w:type="dxa"/>
            <w:tcBorders>
              <w:bottom w:val="single" w:sz="4" w:space="0" w:color="auto"/>
            </w:tcBorders>
            <w:noWrap/>
            <w:tcMar>
              <w:right w:w="28" w:type="dxa"/>
            </w:tcMar>
            <w:vAlign w:val="center"/>
          </w:tcPr>
          <w:p w14:paraId="281FA63A" w14:textId="71E5C210" w:rsidR="00C64E04" w:rsidRPr="00AA583E" w:rsidRDefault="006540C9" w:rsidP="00C64E04">
            <w:pPr>
              <w:jc w:val="right"/>
              <w:rPr>
                <w:sz w:val="22"/>
                <w:szCs w:val="22"/>
              </w:rPr>
            </w:pPr>
            <w:r w:rsidRPr="00AA583E">
              <w:rPr>
                <w:sz w:val="22"/>
                <w:szCs w:val="22"/>
              </w:rPr>
              <w:t>(</w:t>
            </w:r>
            <w:r w:rsidR="001E59F9" w:rsidRPr="00AA583E">
              <w:rPr>
                <w:sz w:val="22"/>
                <w:szCs w:val="22"/>
              </w:rPr>
              <w:t>600</w:t>
            </w:r>
            <w:r w:rsidRPr="00AA583E">
              <w:rPr>
                <w:sz w:val="22"/>
                <w:szCs w:val="22"/>
              </w:rPr>
              <w:t>)</w:t>
            </w:r>
          </w:p>
        </w:tc>
        <w:tc>
          <w:tcPr>
            <w:tcW w:w="333" w:type="dxa"/>
            <w:tcBorders>
              <w:bottom w:val="single" w:sz="4" w:space="0" w:color="auto"/>
            </w:tcBorders>
            <w:tcMar>
              <w:right w:w="28" w:type="dxa"/>
            </w:tcMar>
            <w:vAlign w:val="center"/>
          </w:tcPr>
          <w:p w14:paraId="6138CF2B" w14:textId="77777777" w:rsidR="00C64E04" w:rsidRPr="00AA583E" w:rsidRDefault="00C64E04" w:rsidP="00C64E04">
            <w:pPr>
              <w:jc w:val="right"/>
              <w:rPr>
                <w:color w:val="FF0000"/>
                <w:sz w:val="22"/>
                <w:szCs w:val="22"/>
                <w:u w:val="single"/>
              </w:rPr>
            </w:pPr>
          </w:p>
        </w:tc>
        <w:tc>
          <w:tcPr>
            <w:tcW w:w="1085" w:type="dxa"/>
            <w:tcBorders>
              <w:bottom w:val="single" w:sz="4" w:space="0" w:color="auto"/>
            </w:tcBorders>
            <w:noWrap/>
            <w:tcMar>
              <w:right w:w="28" w:type="dxa"/>
            </w:tcMar>
            <w:vAlign w:val="center"/>
          </w:tcPr>
          <w:p w14:paraId="5B708521" w14:textId="2BCE6762" w:rsidR="00C64E04" w:rsidRPr="00AA583E" w:rsidRDefault="00C64E04" w:rsidP="00C64E04">
            <w:pPr>
              <w:ind w:right="-27"/>
              <w:jc w:val="right"/>
              <w:rPr>
                <w:sz w:val="22"/>
                <w:szCs w:val="22"/>
              </w:rPr>
            </w:pPr>
            <w:r w:rsidRPr="00AA583E">
              <w:rPr>
                <w:sz w:val="22"/>
                <w:szCs w:val="22"/>
              </w:rPr>
              <w:t>(795)</w:t>
            </w:r>
          </w:p>
        </w:tc>
      </w:tr>
      <w:tr w:rsidR="00BC3136" w:rsidRPr="002C5119" w14:paraId="44322A5A" w14:textId="77777777" w:rsidTr="000E4332">
        <w:trPr>
          <w:trHeight w:val="183"/>
        </w:trPr>
        <w:tc>
          <w:tcPr>
            <w:tcW w:w="2977" w:type="dxa"/>
            <w:noWrap/>
            <w:vAlign w:val="center"/>
          </w:tcPr>
          <w:p w14:paraId="2D09C5CB" w14:textId="77777777" w:rsidR="00C64E04" w:rsidRPr="002C5119" w:rsidRDefault="00C64E04" w:rsidP="00C64E04">
            <w:pPr>
              <w:rPr>
                <w:b/>
                <w:sz w:val="22"/>
                <w:szCs w:val="22"/>
              </w:rPr>
            </w:pPr>
            <w:r w:rsidRPr="002C5119">
              <w:rPr>
                <w:b/>
                <w:sz w:val="22"/>
                <w:szCs w:val="22"/>
              </w:rPr>
              <w:t>Total</w:t>
            </w:r>
          </w:p>
        </w:tc>
        <w:tc>
          <w:tcPr>
            <w:tcW w:w="1134" w:type="dxa"/>
            <w:tcBorders>
              <w:top w:val="single" w:sz="4" w:space="0" w:color="auto"/>
              <w:bottom w:val="single" w:sz="4" w:space="0" w:color="auto"/>
            </w:tcBorders>
            <w:noWrap/>
            <w:tcMar>
              <w:left w:w="0" w:type="dxa"/>
              <w:right w:w="28" w:type="dxa"/>
            </w:tcMar>
            <w:vAlign w:val="center"/>
          </w:tcPr>
          <w:p w14:paraId="6AF5C5F3" w14:textId="00B2B65C" w:rsidR="00C64E04" w:rsidRPr="00ED6E17" w:rsidRDefault="00DC1B85" w:rsidP="00C64E04">
            <w:pPr>
              <w:jc w:val="right"/>
              <w:rPr>
                <w:b/>
                <w:sz w:val="22"/>
                <w:szCs w:val="22"/>
              </w:rPr>
            </w:pPr>
            <w:r>
              <w:rPr>
                <w:b/>
                <w:sz w:val="22"/>
                <w:szCs w:val="22"/>
              </w:rPr>
              <w:t>62,82</w:t>
            </w:r>
            <w:r w:rsidR="00B0783C">
              <w:rPr>
                <w:b/>
                <w:sz w:val="22"/>
                <w:szCs w:val="22"/>
              </w:rPr>
              <w:t>5</w:t>
            </w:r>
          </w:p>
        </w:tc>
        <w:tc>
          <w:tcPr>
            <w:tcW w:w="284" w:type="dxa"/>
            <w:tcBorders>
              <w:top w:val="single" w:sz="4" w:space="0" w:color="auto"/>
              <w:bottom w:val="single" w:sz="4" w:space="0" w:color="auto"/>
            </w:tcBorders>
            <w:tcMar>
              <w:right w:w="28" w:type="dxa"/>
            </w:tcMar>
            <w:vAlign w:val="center"/>
          </w:tcPr>
          <w:p w14:paraId="71B7E6DF" w14:textId="77777777" w:rsidR="00C64E04" w:rsidRPr="00570940" w:rsidRDefault="00C64E04" w:rsidP="00C64E04">
            <w:pPr>
              <w:jc w:val="right"/>
              <w:rPr>
                <w:b/>
                <w:sz w:val="22"/>
                <w:szCs w:val="22"/>
                <w:highlight w:val="yellow"/>
              </w:rPr>
            </w:pPr>
          </w:p>
        </w:tc>
        <w:tc>
          <w:tcPr>
            <w:tcW w:w="1084" w:type="dxa"/>
            <w:tcBorders>
              <w:top w:val="single" w:sz="4" w:space="0" w:color="auto"/>
              <w:bottom w:val="single" w:sz="4" w:space="0" w:color="auto"/>
            </w:tcBorders>
            <w:noWrap/>
            <w:tcMar>
              <w:right w:w="28" w:type="dxa"/>
            </w:tcMar>
            <w:vAlign w:val="center"/>
          </w:tcPr>
          <w:p w14:paraId="3720F2EC" w14:textId="0E62E141" w:rsidR="00C64E04" w:rsidRPr="00AA583E" w:rsidRDefault="00DC1B85" w:rsidP="00C64E04">
            <w:pPr>
              <w:jc w:val="right"/>
              <w:rPr>
                <w:b/>
                <w:sz w:val="22"/>
                <w:szCs w:val="22"/>
              </w:rPr>
            </w:pPr>
            <w:r w:rsidRPr="00AA583E">
              <w:rPr>
                <w:b/>
                <w:sz w:val="22"/>
                <w:szCs w:val="22"/>
              </w:rPr>
              <w:t>(41,</w:t>
            </w:r>
            <w:r w:rsidR="00962E7A" w:rsidRPr="00AA583E">
              <w:rPr>
                <w:b/>
                <w:sz w:val="22"/>
                <w:szCs w:val="22"/>
              </w:rPr>
              <w:t>30</w:t>
            </w:r>
            <w:r w:rsidR="001E419F" w:rsidRPr="00AA583E">
              <w:rPr>
                <w:b/>
                <w:sz w:val="22"/>
                <w:szCs w:val="22"/>
              </w:rPr>
              <w:t>6</w:t>
            </w:r>
            <w:r w:rsidRPr="00AA583E">
              <w:rPr>
                <w:b/>
                <w:sz w:val="22"/>
                <w:szCs w:val="22"/>
              </w:rPr>
              <w:t>)</w:t>
            </w:r>
          </w:p>
        </w:tc>
        <w:tc>
          <w:tcPr>
            <w:tcW w:w="333" w:type="dxa"/>
            <w:tcBorders>
              <w:top w:val="single" w:sz="4" w:space="0" w:color="auto"/>
              <w:bottom w:val="single" w:sz="4" w:space="0" w:color="auto"/>
            </w:tcBorders>
            <w:tcMar>
              <w:right w:w="28" w:type="dxa"/>
            </w:tcMar>
            <w:vAlign w:val="center"/>
          </w:tcPr>
          <w:p w14:paraId="06140F98" w14:textId="77777777" w:rsidR="00C64E04" w:rsidRPr="00AA583E" w:rsidRDefault="00C64E04" w:rsidP="00C64E04">
            <w:pPr>
              <w:jc w:val="right"/>
              <w:rPr>
                <w:b/>
                <w:sz w:val="22"/>
                <w:szCs w:val="22"/>
              </w:rPr>
            </w:pPr>
          </w:p>
        </w:tc>
        <w:tc>
          <w:tcPr>
            <w:tcW w:w="1276" w:type="dxa"/>
            <w:tcBorders>
              <w:top w:val="single" w:sz="4" w:space="0" w:color="auto"/>
              <w:bottom w:val="single" w:sz="4" w:space="0" w:color="auto"/>
            </w:tcBorders>
            <w:tcMar>
              <w:right w:w="28" w:type="dxa"/>
            </w:tcMar>
            <w:vAlign w:val="center"/>
          </w:tcPr>
          <w:p w14:paraId="4AA6F51D" w14:textId="24CD5ED3" w:rsidR="00C64E04" w:rsidRPr="00AA583E" w:rsidRDefault="00DC1B85" w:rsidP="00C64E04">
            <w:pPr>
              <w:jc w:val="right"/>
              <w:rPr>
                <w:b/>
                <w:sz w:val="22"/>
                <w:szCs w:val="22"/>
              </w:rPr>
            </w:pPr>
            <w:r w:rsidRPr="00AA583E">
              <w:rPr>
                <w:b/>
                <w:sz w:val="22"/>
                <w:szCs w:val="22"/>
              </w:rPr>
              <w:t>(</w:t>
            </w:r>
            <w:r w:rsidR="00156AAD">
              <w:rPr>
                <w:b/>
                <w:sz w:val="22"/>
                <w:szCs w:val="22"/>
              </w:rPr>
              <w:t>600</w:t>
            </w:r>
            <w:r w:rsidRPr="00AA583E">
              <w:rPr>
                <w:b/>
                <w:sz w:val="22"/>
                <w:szCs w:val="22"/>
              </w:rPr>
              <w:t>)</w:t>
            </w:r>
          </w:p>
        </w:tc>
        <w:tc>
          <w:tcPr>
            <w:tcW w:w="283" w:type="dxa"/>
            <w:tcBorders>
              <w:top w:val="single" w:sz="4" w:space="0" w:color="auto"/>
              <w:bottom w:val="single" w:sz="4" w:space="0" w:color="auto"/>
            </w:tcBorders>
            <w:tcMar>
              <w:right w:w="28" w:type="dxa"/>
            </w:tcMar>
            <w:vAlign w:val="center"/>
          </w:tcPr>
          <w:p w14:paraId="02162A89" w14:textId="77777777" w:rsidR="00C64E04" w:rsidRPr="00AA583E" w:rsidRDefault="00C64E04" w:rsidP="00C64E04">
            <w:pPr>
              <w:jc w:val="right"/>
              <w:rPr>
                <w:b/>
                <w:sz w:val="22"/>
                <w:szCs w:val="22"/>
              </w:rPr>
            </w:pPr>
          </w:p>
        </w:tc>
        <w:tc>
          <w:tcPr>
            <w:tcW w:w="1085" w:type="dxa"/>
            <w:tcBorders>
              <w:top w:val="single" w:sz="4" w:space="0" w:color="auto"/>
              <w:bottom w:val="single" w:sz="4" w:space="0" w:color="auto"/>
            </w:tcBorders>
            <w:noWrap/>
            <w:tcMar>
              <w:right w:w="28" w:type="dxa"/>
            </w:tcMar>
            <w:vAlign w:val="center"/>
          </w:tcPr>
          <w:p w14:paraId="276A8ACF" w14:textId="45602458" w:rsidR="00C64E04" w:rsidRPr="00AA583E" w:rsidRDefault="00156AAD" w:rsidP="00C64E04">
            <w:pPr>
              <w:jc w:val="right"/>
              <w:rPr>
                <w:b/>
                <w:sz w:val="22"/>
                <w:szCs w:val="22"/>
              </w:rPr>
            </w:pPr>
            <w:r>
              <w:rPr>
                <w:b/>
                <w:sz w:val="22"/>
                <w:szCs w:val="22"/>
              </w:rPr>
              <w:t>20,919</w:t>
            </w:r>
          </w:p>
        </w:tc>
        <w:tc>
          <w:tcPr>
            <w:tcW w:w="333" w:type="dxa"/>
            <w:tcBorders>
              <w:top w:val="single" w:sz="4" w:space="0" w:color="auto"/>
              <w:bottom w:val="single" w:sz="4" w:space="0" w:color="auto"/>
            </w:tcBorders>
            <w:tcMar>
              <w:right w:w="28" w:type="dxa"/>
            </w:tcMar>
            <w:vAlign w:val="center"/>
          </w:tcPr>
          <w:p w14:paraId="3D5BF427" w14:textId="77777777" w:rsidR="00C64E04" w:rsidRPr="00AA583E" w:rsidRDefault="00C64E04" w:rsidP="00C64E04">
            <w:pPr>
              <w:jc w:val="right"/>
              <w:rPr>
                <w:b/>
                <w:color w:val="FF0000"/>
                <w:sz w:val="22"/>
                <w:szCs w:val="22"/>
                <w:u w:val="single"/>
              </w:rPr>
            </w:pPr>
          </w:p>
        </w:tc>
        <w:tc>
          <w:tcPr>
            <w:tcW w:w="1137" w:type="dxa"/>
            <w:gridSpan w:val="2"/>
            <w:tcBorders>
              <w:top w:val="single" w:sz="4" w:space="0" w:color="auto"/>
              <w:bottom w:val="single" w:sz="4" w:space="0" w:color="auto"/>
            </w:tcBorders>
            <w:noWrap/>
            <w:tcMar>
              <w:right w:w="28" w:type="dxa"/>
            </w:tcMar>
            <w:vAlign w:val="center"/>
          </w:tcPr>
          <w:p w14:paraId="0BB25B8E" w14:textId="285AFE12" w:rsidR="00C64E04" w:rsidRPr="00AA583E" w:rsidRDefault="00C64E04" w:rsidP="00C64E04">
            <w:pPr>
              <w:jc w:val="right"/>
              <w:rPr>
                <w:b/>
                <w:sz w:val="22"/>
                <w:szCs w:val="22"/>
              </w:rPr>
            </w:pPr>
            <w:r w:rsidRPr="00AA583E">
              <w:rPr>
                <w:b/>
                <w:sz w:val="22"/>
                <w:szCs w:val="22"/>
              </w:rPr>
              <w:t>14,173</w:t>
            </w:r>
          </w:p>
        </w:tc>
        <w:tc>
          <w:tcPr>
            <w:tcW w:w="378" w:type="dxa"/>
            <w:vAlign w:val="center"/>
          </w:tcPr>
          <w:p w14:paraId="546F12D4" w14:textId="77777777" w:rsidR="00C64E04" w:rsidRPr="002C5119" w:rsidRDefault="00C64E04" w:rsidP="00C64E04">
            <w:pPr>
              <w:jc w:val="right"/>
              <w:rPr>
                <w:b/>
                <w:sz w:val="22"/>
                <w:szCs w:val="22"/>
                <w:u w:val="single"/>
              </w:rPr>
            </w:pPr>
          </w:p>
        </w:tc>
      </w:tr>
      <w:tr w:rsidR="00B06B34" w:rsidRPr="004D388B" w14:paraId="5CCAA659" w14:textId="77777777" w:rsidTr="000E4332">
        <w:trPr>
          <w:gridAfter w:val="1"/>
          <w:wAfter w:w="378" w:type="dxa"/>
          <w:trHeight w:val="255"/>
        </w:trPr>
        <w:tc>
          <w:tcPr>
            <w:tcW w:w="2977" w:type="dxa"/>
            <w:noWrap/>
            <w:vAlign w:val="center"/>
          </w:tcPr>
          <w:p w14:paraId="538FA8A5" w14:textId="77777777" w:rsidR="008F2B94" w:rsidRPr="004D388B" w:rsidRDefault="008F2B94" w:rsidP="00B5718F">
            <w:pPr>
              <w:rPr>
                <w:sz w:val="22"/>
                <w:szCs w:val="22"/>
                <w:highlight w:val="yellow"/>
              </w:rPr>
            </w:pPr>
          </w:p>
        </w:tc>
        <w:tc>
          <w:tcPr>
            <w:tcW w:w="1134" w:type="dxa"/>
            <w:tcBorders>
              <w:top w:val="single" w:sz="4" w:space="0" w:color="auto"/>
            </w:tcBorders>
            <w:noWrap/>
            <w:tcMar>
              <w:left w:w="0" w:type="dxa"/>
              <w:right w:w="28" w:type="dxa"/>
            </w:tcMar>
            <w:vAlign w:val="center"/>
          </w:tcPr>
          <w:p w14:paraId="494595A3" w14:textId="77777777" w:rsidR="008F2B94" w:rsidRPr="004D388B" w:rsidRDefault="008F2B94" w:rsidP="00B5718F">
            <w:pPr>
              <w:jc w:val="right"/>
              <w:rPr>
                <w:sz w:val="22"/>
                <w:szCs w:val="22"/>
                <w:highlight w:val="yellow"/>
              </w:rPr>
            </w:pPr>
          </w:p>
        </w:tc>
        <w:tc>
          <w:tcPr>
            <w:tcW w:w="284" w:type="dxa"/>
            <w:tcBorders>
              <w:top w:val="single" w:sz="4" w:space="0" w:color="auto"/>
            </w:tcBorders>
            <w:tcMar>
              <w:right w:w="28" w:type="dxa"/>
            </w:tcMar>
            <w:vAlign w:val="center"/>
          </w:tcPr>
          <w:p w14:paraId="0D8A63F0" w14:textId="77777777" w:rsidR="008F2B94" w:rsidRPr="004D388B" w:rsidRDefault="008F2B94" w:rsidP="00B5718F">
            <w:pPr>
              <w:jc w:val="right"/>
              <w:rPr>
                <w:sz w:val="22"/>
                <w:szCs w:val="22"/>
                <w:highlight w:val="yellow"/>
              </w:rPr>
            </w:pPr>
          </w:p>
        </w:tc>
        <w:tc>
          <w:tcPr>
            <w:tcW w:w="1084" w:type="dxa"/>
            <w:tcBorders>
              <w:top w:val="single" w:sz="4" w:space="0" w:color="auto"/>
            </w:tcBorders>
            <w:noWrap/>
            <w:tcMar>
              <w:right w:w="28" w:type="dxa"/>
            </w:tcMar>
            <w:vAlign w:val="center"/>
          </w:tcPr>
          <w:p w14:paraId="112899E0" w14:textId="77777777" w:rsidR="008F2B94" w:rsidRPr="00F4705F" w:rsidRDefault="008F2B94" w:rsidP="00B5718F">
            <w:pPr>
              <w:jc w:val="right"/>
              <w:rPr>
                <w:sz w:val="22"/>
                <w:szCs w:val="22"/>
              </w:rPr>
            </w:pPr>
          </w:p>
        </w:tc>
        <w:tc>
          <w:tcPr>
            <w:tcW w:w="333" w:type="dxa"/>
            <w:tcBorders>
              <w:top w:val="single" w:sz="4" w:space="0" w:color="auto"/>
            </w:tcBorders>
            <w:tcMar>
              <w:right w:w="28" w:type="dxa"/>
            </w:tcMar>
            <w:vAlign w:val="center"/>
          </w:tcPr>
          <w:p w14:paraId="5DA3D5E1" w14:textId="77777777" w:rsidR="008F2B94" w:rsidRPr="00F4705F" w:rsidRDefault="008F2B94" w:rsidP="00B5718F">
            <w:pPr>
              <w:jc w:val="right"/>
              <w:rPr>
                <w:sz w:val="22"/>
                <w:szCs w:val="22"/>
              </w:rPr>
            </w:pPr>
          </w:p>
        </w:tc>
        <w:tc>
          <w:tcPr>
            <w:tcW w:w="1276" w:type="dxa"/>
            <w:tcBorders>
              <w:top w:val="single" w:sz="4" w:space="0" w:color="auto"/>
            </w:tcBorders>
            <w:tcMar>
              <w:right w:w="28" w:type="dxa"/>
            </w:tcMar>
            <w:vAlign w:val="center"/>
          </w:tcPr>
          <w:p w14:paraId="7150F8B8" w14:textId="77777777" w:rsidR="008F2B94" w:rsidRPr="00F4705F" w:rsidRDefault="008F2B94" w:rsidP="00B5718F">
            <w:pPr>
              <w:jc w:val="right"/>
              <w:rPr>
                <w:sz w:val="22"/>
                <w:szCs w:val="22"/>
              </w:rPr>
            </w:pPr>
          </w:p>
        </w:tc>
        <w:tc>
          <w:tcPr>
            <w:tcW w:w="283" w:type="dxa"/>
            <w:tcBorders>
              <w:top w:val="single" w:sz="4" w:space="0" w:color="auto"/>
            </w:tcBorders>
            <w:tcMar>
              <w:right w:w="28" w:type="dxa"/>
            </w:tcMar>
            <w:vAlign w:val="center"/>
          </w:tcPr>
          <w:p w14:paraId="4A629ED5" w14:textId="77777777" w:rsidR="008F2B94" w:rsidRPr="00F4705F" w:rsidRDefault="008F2B94" w:rsidP="00B5718F">
            <w:pPr>
              <w:jc w:val="right"/>
              <w:rPr>
                <w:sz w:val="22"/>
                <w:szCs w:val="22"/>
              </w:rPr>
            </w:pPr>
          </w:p>
        </w:tc>
        <w:tc>
          <w:tcPr>
            <w:tcW w:w="1085" w:type="dxa"/>
            <w:tcBorders>
              <w:top w:val="single" w:sz="4" w:space="0" w:color="auto"/>
            </w:tcBorders>
            <w:noWrap/>
            <w:tcMar>
              <w:right w:w="28" w:type="dxa"/>
            </w:tcMar>
            <w:vAlign w:val="center"/>
          </w:tcPr>
          <w:p w14:paraId="4474321D" w14:textId="77777777" w:rsidR="008F2B94" w:rsidRPr="00F4705F" w:rsidRDefault="008F2B94" w:rsidP="00B5718F">
            <w:pPr>
              <w:jc w:val="right"/>
              <w:rPr>
                <w:sz w:val="22"/>
                <w:szCs w:val="22"/>
              </w:rPr>
            </w:pPr>
          </w:p>
        </w:tc>
        <w:tc>
          <w:tcPr>
            <w:tcW w:w="333" w:type="dxa"/>
            <w:tcBorders>
              <w:top w:val="single" w:sz="4" w:space="0" w:color="auto"/>
            </w:tcBorders>
            <w:tcMar>
              <w:right w:w="28" w:type="dxa"/>
            </w:tcMar>
            <w:vAlign w:val="center"/>
          </w:tcPr>
          <w:p w14:paraId="38B3491E" w14:textId="77777777" w:rsidR="008F2B94" w:rsidRPr="00F4705F" w:rsidRDefault="008F2B94" w:rsidP="00B5718F">
            <w:pPr>
              <w:jc w:val="right"/>
              <w:rPr>
                <w:sz w:val="22"/>
                <w:szCs w:val="22"/>
                <w:u w:val="single"/>
              </w:rPr>
            </w:pPr>
          </w:p>
        </w:tc>
        <w:tc>
          <w:tcPr>
            <w:tcW w:w="1137" w:type="dxa"/>
            <w:gridSpan w:val="2"/>
            <w:tcBorders>
              <w:top w:val="single" w:sz="4" w:space="0" w:color="auto"/>
            </w:tcBorders>
            <w:noWrap/>
            <w:tcMar>
              <w:right w:w="28" w:type="dxa"/>
            </w:tcMar>
            <w:vAlign w:val="center"/>
          </w:tcPr>
          <w:p w14:paraId="5108E1C8" w14:textId="77777777" w:rsidR="008F2B94" w:rsidRPr="00F4705F" w:rsidRDefault="008F2B94" w:rsidP="00B5718F">
            <w:pPr>
              <w:jc w:val="right"/>
              <w:rPr>
                <w:sz w:val="22"/>
                <w:szCs w:val="22"/>
                <w:lang w:eastAsia="en-GB"/>
              </w:rPr>
            </w:pPr>
          </w:p>
        </w:tc>
      </w:tr>
      <w:tr w:rsidR="00B06B34" w:rsidRPr="009F5C56" w14:paraId="4CBB0F58" w14:textId="77777777" w:rsidTr="000E4332">
        <w:trPr>
          <w:gridAfter w:val="1"/>
          <w:wAfter w:w="378" w:type="dxa"/>
          <w:trHeight w:val="255"/>
        </w:trPr>
        <w:tc>
          <w:tcPr>
            <w:tcW w:w="2977" w:type="dxa"/>
            <w:noWrap/>
            <w:vAlign w:val="center"/>
          </w:tcPr>
          <w:p w14:paraId="655C855D" w14:textId="77777777" w:rsidR="00C64E04" w:rsidRPr="009F5C56" w:rsidRDefault="00C64E04" w:rsidP="00C64E04">
            <w:pPr>
              <w:rPr>
                <w:sz w:val="22"/>
                <w:szCs w:val="22"/>
              </w:rPr>
            </w:pPr>
            <w:r>
              <w:rPr>
                <w:sz w:val="22"/>
                <w:szCs w:val="22"/>
              </w:rPr>
              <w:t>Total for previous reporting period</w:t>
            </w:r>
            <w:r w:rsidRPr="009F5C56">
              <w:rPr>
                <w:sz w:val="22"/>
                <w:szCs w:val="22"/>
              </w:rPr>
              <w:t xml:space="preserve"> </w:t>
            </w:r>
          </w:p>
        </w:tc>
        <w:tc>
          <w:tcPr>
            <w:tcW w:w="1134" w:type="dxa"/>
            <w:tcBorders>
              <w:bottom w:val="single" w:sz="4" w:space="0" w:color="auto"/>
            </w:tcBorders>
            <w:noWrap/>
            <w:tcMar>
              <w:left w:w="0" w:type="dxa"/>
              <w:right w:w="28" w:type="dxa"/>
            </w:tcMar>
          </w:tcPr>
          <w:p w14:paraId="2975233E" w14:textId="61FF9F54" w:rsidR="00C64E04" w:rsidRPr="00C64E04" w:rsidRDefault="00C64E04" w:rsidP="00C64E04">
            <w:pPr>
              <w:jc w:val="right"/>
              <w:rPr>
                <w:b/>
                <w:bCs/>
                <w:sz w:val="22"/>
                <w:szCs w:val="22"/>
              </w:rPr>
            </w:pPr>
            <w:r w:rsidRPr="00C64E04">
              <w:rPr>
                <w:b/>
                <w:bCs/>
                <w:sz w:val="22"/>
                <w:szCs w:val="22"/>
              </w:rPr>
              <w:t>55,881</w:t>
            </w:r>
          </w:p>
        </w:tc>
        <w:tc>
          <w:tcPr>
            <w:tcW w:w="284" w:type="dxa"/>
            <w:tcBorders>
              <w:bottom w:val="single" w:sz="4" w:space="0" w:color="auto"/>
            </w:tcBorders>
            <w:tcMar>
              <w:right w:w="28" w:type="dxa"/>
            </w:tcMar>
          </w:tcPr>
          <w:p w14:paraId="0DD5CEEE" w14:textId="77777777" w:rsidR="00C64E04" w:rsidRPr="00C64E04" w:rsidRDefault="00C64E04" w:rsidP="00C64E04">
            <w:pPr>
              <w:jc w:val="right"/>
              <w:rPr>
                <w:b/>
                <w:bCs/>
                <w:sz w:val="22"/>
                <w:szCs w:val="22"/>
              </w:rPr>
            </w:pPr>
          </w:p>
        </w:tc>
        <w:tc>
          <w:tcPr>
            <w:tcW w:w="1084" w:type="dxa"/>
            <w:tcBorders>
              <w:bottom w:val="single" w:sz="4" w:space="0" w:color="auto"/>
            </w:tcBorders>
            <w:noWrap/>
            <w:tcMar>
              <w:right w:w="28" w:type="dxa"/>
            </w:tcMar>
          </w:tcPr>
          <w:p w14:paraId="5E7025EC" w14:textId="05317A2F" w:rsidR="00C64E04" w:rsidRPr="00F4705F" w:rsidRDefault="00C64E04" w:rsidP="00C64E04">
            <w:pPr>
              <w:jc w:val="right"/>
              <w:rPr>
                <w:b/>
                <w:bCs/>
                <w:sz w:val="22"/>
                <w:szCs w:val="22"/>
              </w:rPr>
            </w:pPr>
            <w:r w:rsidRPr="00F4705F">
              <w:rPr>
                <w:b/>
                <w:bCs/>
                <w:sz w:val="22"/>
                <w:szCs w:val="22"/>
              </w:rPr>
              <w:t>(40,913)</w:t>
            </w:r>
          </w:p>
        </w:tc>
        <w:tc>
          <w:tcPr>
            <w:tcW w:w="333" w:type="dxa"/>
            <w:tcBorders>
              <w:bottom w:val="single" w:sz="4" w:space="0" w:color="auto"/>
            </w:tcBorders>
            <w:tcMar>
              <w:right w:w="28" w:type="dxa"/>
            </w:tcMar>
          </w:tcPr>
          <w:p w14:paraId="0F6BC80C" w14:textId="77777777" w:rsidR="00C64E04" w:rsidRPr="00F4705F" w:rsidRDefault="00C64E04" w:rsidP="00C64E04">
            <w:pPr>
              <w:jc w:val="right"/>
              <w:rPr>
                <w:b/>
                <w:bCs/>
                <w:sz w:val="22"/>
                <w:szCs w:val="22"/>
              </w:rPr>
            </w:pPr>
          </w:p>
        </w:tc>
        <w:tc>
          <w:tcPr>
            <w:tcW w:w="1276" w:type="dxa"/>
            <w:tcBorders>
              <w:bottom w:val="single" w:sz="4" w:space="0" w:color="auto"/>
            </w:tcBorders>
            <w:tcMar>
              <w:right w:w="28" w:type="dxa"/>
            </w:tcMar>
          </w:tcPr>
          <w:p w14:paraId="34E62AC2" w14:textId="7EB216CF" w:rsidR="00C64E04" w:rsidRPr="00F4705F" w:rsidRDefault="00C64E04" w:rsidP="00C64E04">
            <w:pPr>
              <w:jc w:val="right"/>
              <w:rPr>
                <w:b/>
                <w:bCs/>
                <w:sz w:val="22"/>
                <w:szCs w:val="22"/>
              </w:rPr>
            </w:pPr>
            <w:r w:rsidRPr="00F4705F">
              <w:rPr>
                <w:b/>
                <w:bCs/>
                <w:sz w:val="22"/>
                <w:szCs w:val="22"/>
              </w:rPr>
              <w:t>(795)</w:t>
            </w:r>
          </w:p>
        </w:tc>
        <w:tc>
          <w:tcPr>
            <w:tcW w:w="283" w:type="dxa"/>
            <w:tcBorders>
              <w:bottom w:val="single" w:sz="4" w:space="0" w:color="auto"/>
            </w:tcBorders>
            <w:tcMar>
              <w:right w:w="28" w:type="dxa"/>
            </w:tcMar>
          </w:tcPr>
          <w:p w14:paraId="7D03295E" w14:textId="77777777" w:rsidR="00C64E04" w:rsidRPr="00F4705F" w:rsidRDefault="00C64E04" w:rsidP="00C64E04">
            <w:pPr>
              <w:jc w:val="right"/>
              <w:rPr>
                <w:b/>
                <w:bCs/>
                <w:sz w:val="22"/>
                <w:szCs w:val="22"/>
              </w:rPr>
            </w:pPr>
          </w:p>
        </w:tc>
        <w:tc>
          <w:tcPr>
            <w:tcW w:w="1085" w:type="dxa"/>
            <w:tcBorders>
              <w:bottom w:val="single" w:sz="4" w:space="0" w:color="auto"/>
            </w:tcBorders>
            <w:noWrap/>
            <w:tcMar>
              <w:right w:w="28" w:type="dxa"/>
            </w:tcMar>
          </w:tcPr>
          <w:p w14:paraId="7D56F3A1" w14:textId="5E377734" w:rsidR="00C64E04" w:rsidRPr="00F4705F" w:rsidRDefault="00C64E04" w:rsidP="00C64E04">
            <w:pPr>
              <w:jc w:val="right"/>
              <w:rPr>
                <w:b/>
                <w:bCs/>
                <w:sz w:val="22"/>
                <w:szCs w:val="22"/>
              </w:rPr>
            </w:pPr>
            <w:r w:rsidRPr="00F4705F">
              <w:rPr>
                <w:b/>
                <w:bCs/>
                <w:sz w:val="22"/>
                <w:szCs w:val="22"/>
              </w:rPr>
              <w:t>14,173</w:t>
            </w:r>
          </w:p>
        </w:tc>
        <w:tc>
          <w:tcPr>
            <w:tcW w:w="333" w:type="dxa"/>
            <w:tcMar>
              <w:right w:w="28" w:type="dxa"/>
            </w:tcMar>
            <w:vAlign w:val="center"/>
          </w:tcPr>
          <w:p w14:paraId="0BCD6AB1" w14:textId="77777777" w:rsidR="00C64E04" w:rsidRPr="00F4705F" w:rsidRDefault="00C64E04" w:rsidP="00C64E04">
            <w:pPr>
              <w:jc w:val="right"/>
              <w:rPr>
                <w:b/>
                <w:sz w:val="22"/>
                <w:szCs w:val="22"/>
                <w:u w:val="single"/>
              </w:rPr>
            </w:pPr>
          </w:p>
        </w:tc>
        <w:tc>
          <w:tcPr>
            <w:tcW w:w="1137" w:type="dxa"/>
            <w:gridSpan w:val="2"/>
            <w:noWrap/>
            <w:tcMar>
              <w:right w:w="28" w:type="dxa"/>
            </w:tcMar>
            <w:vAlign w:val="center"/>
          </w:tcPr>
          <w:p w14:paraId="6282BDDF" w14:textId="77777777" w:rsidR="00C64E04" w:rsidRPr="00F4705F" w:rsidRDefault="00C64E04" w:rsidP="00C64E04">
            <w:pPr>
              <w:jc w:val="right"/>
              <w:rPr>
                <w:sz w:val="22"/>
                <w:szCs w:val="22"/>
              </w:rPr>
            </w:pPr>
          </w:p>
        </w:tc>
      </w:tr>
    </w:tbl>
    <w:p w14:paraId="0C8EA45C" w14:textId="77777777" w:rsidR="004A63EB" w:rsidRPr="004D388B" w:rsidRDefault="004A63EB" w:rsidP="009837C8">
      <w:pPr>
        <w:rPr>
          <w:b/>
          <w:bCs/>
          <w:sz w:val="22"/>
          <w:szCs w:val="22"/>
          <w:highlight w:val="yellow"/>
        </w:rPr>
      </w:pPr>
    </w:p>
    <w:p w14:paraId="574418FD" w14:textId="77777777" w:rsidR="004A63EB" w:rsidRPr="004D388B" w:rsidRDefault="004A63EB" w:rsidP="009837C8">
      <w:pPr>
        <w:rPr>
          <w:b/>
          <w:bCs/>
          <w:sz w:val="22"/>
          <w:szCs w:val="22"/>
          <w:highlight w:val="yellow"/>
        </w:rPr>
      </w:pPr>
    </w:p>
    <w:p w14:paraId="79F0FC44" w14:textId="77777777" w:rsidR="00403E8C" w:rsidRDefault="00403E8C" w:rsidP="00684163">
      <w:pPr>
        <w:pStyle w:val="BodyText"/>
        <w:jc w:val="both"/>
        <w:rPr>
          <w:b/>
          <w:bCs/>
          <w:sz w:val="24"/>
        </w:rPr>
      </w:pPr>
    </w:p>
    <w:p w14:paraId="0CC7C705" w14:textId="77777777" w:rsidR="00403E8C" w:rsidRDefault="00403E8C" w:rsidP="00684163">
      <w:pPr>
        <w:pStyle w:val="BodyText"/>
        <w:jc w:val="both"/>
        <w:rPr>
          <w:b/>
          <w:bCs/>
          <w:sz w:val="24"/>
        </w:rPr>
      </w:pPr>
    </w:p>
    <w:p w14:paraId="6D34FC07" w14:textId="77777777" w:rsidR="00403E8C" w:rsidRDefault="00403E8C" w:rsidP="00684163">
      <w:pPr>
        <w:pStyle w:val="BodyText"/>
        <w:jc w:val="both"/>
        <w:rPr>
          <w:b/>
          <w:bCs/>
          <w:sz w:val="24"/>
        </w:rPr>
      </w:pPr>
    </w:p>
    <w:p w14:paraId="12C0F927" w14:textId="77777777" w:rsidR="00C56B6C" w:rsidRDefault="00C56B6C" w:rsidP="00684163">
      <w:pPr>
        <w:pStyle w:val="BodyText"/>
        <w:jc w:val="both"/>
        <w:rPr>
          <w:b/>
          <w:bCs/>
          <w:sz w:val="24"/>
        </w:rPr>
      </w:pPr>
    </w:p>
    <w:p w14:paraId="2AD0E09F" w14:textId="77777777" w:rsidR="00C56B6C" w:rsidRDefault="00C56B6C" w:rsidP="00684163">
      <w:pPr>
        <w:pStyle w:val="BodyText"/>
        <w:jc w:val="both"/>
        <w:rPr>
          <w:b/>
          <w:bCs/>
          <w:sz w:val="24"/>
        </w:rPr>
      </w:pPr>
    </w:p>
    <w:p w14:paraId="5BB2C80E" w14:textId="77777777" w:rsidR="00C56B6C" w:rsidRDefault="00C56B6C" w:rsidP="00684163">
      <w:pPr>
        <w:pStyle w:val="BodyText"/>
        <w:jc w:val="both"/>
        <w:rPr>
          <w:b/>
          <w:bCs/>
          <w:sz w:val="24"/>
        </w:rPr>
      </w:pPr>
    </w:p>
    <w:p w14:paraId="6156F0CE" w14:textId="77777777" w:rsidR="00C56B6C" w:rsidRDefault="00C56B6C" w:rsidP="00684163">
      <w:pPr>
        <w:pStyle w:val="BodyText"/>
        <w:jc w:val="both"/>
        <w:rPr>
          <w:b/>
          <w:bCs/>
          <w:sz w:val="24"/>
        </w:rPr>
      </w:pPr>
    </w:p>
    <w:p w14:paraId="25B97047" w14:textId="77777777" w:rsidR="00C56B6C" w:rsidRDefault="00C56B6C" w:rsidP="00684163">
      <w:pPr>
        <w:pStyle w:val="BodyText"/>
        <w:jc w:val="both"/>
        <w:rPr>
          <w:b/>
          <w:bCs/>
          <w:sz w:val="24"/>
        </w:rPr>
      </w:pPr>
    </w:p>
    <w:p w14:paraId="6677188D" w14:textId="77777777" w:rsidR="007C7CE1" w:rsidRDefault="007C7CE1" w:rsidP="00684163">
      <w:pPr>
        <w:pStyle w:val="BodyText"/>
        <w:jc w:val="both"/>
        <w:rPr>
          <w:b/>
          <w:bCs/>
          <w:sz w:val="24"/>
        </w:rPr>
      </w:pPr>
    </w:p>
    <w:p w14:paraId="02B5D1DC" w14:textId="77777777" w:rsidR="00C56B6C" w:rsidRDefault="00C56B6C" w:rsidP="00684163">
      <w:pPr>
        <w:pStyle w:val="BodyText"/>
        <w:jc w:val="both"/>
        <w:rPr>
          <w:b/>
          <w:bCs/>
          <w:sz w:val="24"/>
        </w:rPr>
      </w:pPr>
    </w:p>
    <w:p w14:paraId="0C3D5D14" w14:textId="77777777" w:rsidR="00C56B6C" w:rsidRDefault="00C56B6C" w:rsidP="00684163">
      <w:pPr>
        <w:pStyle w:val="BodyText"/>
        <w:jc w:val="both"/>
        <w:rPr>
          <w:b/>
          <w:bCs/>
          <w:sz w:val="24"/>
        </w:rPr>
      </w:pPr>
    </w:p>
    <w:p w14:paraId="122B4DAC" w14:textId="77777777" w:rsidR="00C56B6C" w:rsidRDefault="00C56B6C" w:rsidP="00684163">
      <w:pPr>
        <w:pStyle w:val="BodyText"/>
        <w:jc w:val="both"/>
        <w:rPr>
          <w:b/>
          <w:bCs/>
          <w:sz w:val="24"/>
        </w:rPr>
      </w:pPr>
    </w:p>
    <w:p w14:paraId="5CF7392B" w14:textId="77777777" w:rsidR="00C56B6C" w:rsidRDefault="00C56B6C" w:rsidP="00684163">
      <w:pPr>
        <w:pStyle w:val="BodyText"/>
        <w:jc w:val="both"/>
        <w:rPr>
          <w:b/>
          <w:bCs/>
          <w:sz w:val="24"/>
        </w:rPr>
      </w:pPr>
    </w:p>
    <w:p w14:paraId="59005A33" w14:textId="77777777" w:rsidR="00C56B6C" w:rsidRDefault="00C56B6C" w:rsidP="00684163">
      <w:pPr>
        <w:pStyle w:val="BodyText"/>
        <w:jc w:val="both"/>
        <w:rPr>
          <w:b/>
          <w:bCs/>
          <w:sz w:val="24"/>
        </w:rPr>
      </w:pPr>
    </w:p>
    <w:p w14:paraId="4A23C7D7" w14:textId="77777777" w:rsidR="00C56B6C" w:rsidRDefault="00C56B6C" w:rsidP="00684163">
      <w:pPr>
        <w:pStyle w:val="BodyText"/>
        <w:jc w:val="both"/>
        <w:rPr>
          <w:b/>
          <w:bCs/>
          <w:sz w:val="24"/>
        </w:rPr>
      </w:pPr>
    </w:p>
    <w:p w14:paraId="44E1B888" w14:textId="77777777" w:rsidR="00C56B6C" w:rsidRDefault="00C56B6C" w:rsidP="00684163">
      <w:pPr>
        <w:pStyle w:val="BodyText"/>
        <w:jc w:val="both"/>
        <w:rPr>
          <w:b/>
          <w:bCs/>
          <w:sz w:val="24"/>
        </w:rPr>
      </w:pPr>
    </w:p>
    <w:p w14:paraId="69AE0A85" w14:textId="77777777" w:rsidR="00C56B6C" w:rsidRDefault="00C56B6C" w:rsidP="00684163">
      <w:pPr>
        <w:pStyle w:val="BodyText"/>
        <w:jc w:val="both"/>
        <w:rPr>
          <w:b/>
          <w:bCs/>
          <w:sz w:val="24"/>
        </w:rPr>
      </w:pPr>
    </w:p>
    <w:p w14:paraId="41E4047F" w14:textId="77777777" w:rsidR="00C56B6C" w:rsidRDefault="00C56B6C" w:rsidP="00684163">
      <w:pPr>
        <w:pStyle w:val="BodyText"/>
        <w:jc w:val="both"/>
        <w:rPr>
          <w:b/>
          <w:bCs/>
          <w:sz w:val="24"/>
        </w:rPr>
      </w:pPr>
    </w:p>
    <w:p w14:paraId="3DDDC3E0" w14:textId="77777777" w:rsidR="00C56B6C" w:rsidRDefault="00C56B6C" w:rsidP="00684163">
      <w:pPr>
        <w:pStyle w:val="BodyText"/>
        <w:jc w:val="both"/>
        <w:rPr>
          <w:b/>
          <w:bCs/>
          <w:sz w:val="24"/>
        </w:rPr>
      </w:pPr>
    </w:p>
    <w:p w14:paraId="2759501F" w14:textId="77777777" w:rsidR="00C56B6C" w:rsidRDefault="00C56B6C" w:rsidP="00684163">
      <w:pPr>
        <w:pStyle w:val="BodyText"/>
        <w:jc w:val="both"/>
        <w:rPr>
          <w:b/>
          <w:bCs/>
          <w:sz w:val="24"/>
        </w:rPr>
      </w:pPr>
    </w:p>
    <w:p w14:paraId="0AC6D48A" w14:textId="77777777" w:rsidR="00C56B6C" w:rsidRDefault="00C56B6C" w:rsidP="00684163">
      <w:pPr>
        <w:pStyle w:val="BodyText"/>
        <w:jc w:val="both"/>
        <w:rPr>
          <w:b/>
          <w:bCs/>
          <w:sz w:val="24"/>
        </w:rPr>
      </w:pPr>
    </w:p>
    <w:p w14:paraId="58929499" w14:textId="77777777" w:rsidR="00C56B6C" w:rsidRDefault="00C56B6C" w:rsidP="00684163">
      <w:pPr>
        <w:pStyle w:val="BodyText"/>
        <w:jc w:val="both"/>
        <w:rPr>
          <w:b/>
          <w:bCs/>
          <w:sz w:val="24"/>
        </w:rPr>
      </w:pPr>
    </w:p>
    <w:p w14:paraId="7944CEC2" w14:textId="77777777" w:rsidR="00C56B6C" w:rsidRDefault="00C56B6C" w:rsidP="00684163">
      <w:pPr>
        <w:pStyle w:val="BodyText"/>
        <w:jc w:val="both"/>
        <w:rPr>
          <w:b/>
          <w:bCs/>
          <w:sz w:val="24"/>
        </w:rPr>
      </w:pPr>
    </w:p>
    <w:p w14:paraId="6E2E61D5" w14:textId="77777777" w:rsidR="00C56B6C" w:rsidRDefault="00C56B6C" w:rsidP="00684163">
      <w:pPr>
        <w:pStyle w:val="BodyText"/>
        <w:jc w:val="both"/>
        <w:rPr>
          <w:b/>
          <w:bCs/>
          <w:sz w:val="24"/>
        </w:rPr>
      </w:pPr>
    </w:p>
    <w:p w14:paraId="43F91254" w14:textId="77777777" w:rsidR="00C56B6C" w:rsidRDefault="00C56B6C" w:rsidP="00684163">
      <w:pPr>
        <w:pStyle w:val="BodyText"/>
        <w:jc w:val="both"/>
        <w:rPr>
          <w:b/>
          <w:bCs/>
          <w:sz w:val="24"/>
        </w:rPr>
      </w:pPr>
    </w:p>
    <w:p w14:paraId="675E7769" w14:textId="77777777" w:rsidR="00C56B6C" w:rsidRDefault="00C56B6C" w:rsidP="00684163">
      <w:pPr>
        <w:pStyle w:val="BodyText"/>
        <w:jc w:val="both"/>
        <w:rPr>
          <w:b/>
          <w:bCs/>
          <w:sz w:val="24"/>
        </w:rPr>
      </w:pPr>
    </w:p>
    <w:p w14:paraId="6795CD38" w14:textId="77777777" w:rsidR="00C56B6C" w:rsidRDefault="00C56B6C" w:rsidP="00684163">
      <w:pPr>
        <w:pStyle w:val="BodyText"/>
        <w:jc w:val="both"/>
        <w:rPr>
          <w:b/>
          <w:bCs/>
          <w:sz w:val="24"/>
        </w:rPr>
      </w:pPr>
    </w:p>
    <w:p w14:paraId="65195010" w14:textId="77777777" w:rsidR="00403E8C" w:rsidRDefault="00403E8C" w:rsidP="00684163">
      <w:pPr>
        <w:pStyle w:val="BodyText"/>
        <w:jc w:val="both"/>
        <w:rPr>
          <w:b/>
          <w:bCs/>
          <w:sz w:val="24"/>
        </w:rPr>
      </w:pPr>
    </w:p>
    <w:p w14:paraId="3FD4F7B5" w14:textId="78B8F94D" w:rsidR="00684163" w:rsidRPr="00927F91" w:rsidRDefault="00684163" w:rsidP="00176A04">
      <w:pPr>
        <w:rPr>
          <w:b/>
          <w:bCs/>
          <w:sz w:val="22"/>
          <w:szCs w:val="22"/>
        </w:rPr>
      </w:pPr>
      <w:bookmarkStart w:id="12" w:name="_Hlk169694486"/>
      <w:r w:rsidRPr="00927F91">
        <w:rPr>
          <w:b/>
          <w:bCs/>
          <w:sz w:val="22"/>
          <w:szCs w:val="22"/>
        </w:rPr>
        <w:lastRenderedPageBreak/>
        <w:t xml:space="preserve">NOTES TO THE FINANCIAL STATEMENTS </w:t>
      </w:r>
      <w:r w:rsidR="00302D41" w:rsidRPr="00927F91">
        <w:rPr>
          <w:b/>
          <w:bCs/>
          <w:sz w:val="22"/>
          <w:szCs w:val="22"/>
        </w:rPr>
        <w:t>FOR THE YEAR ENDED 31 MARCH 202</w:t>
      </w:r>
      <w:r w:rsidR="00EC7E7F">
        <w:rPr>
          <w:b/>
          <w:bCs/>
          <w:sz w:val="22"/>
          <w:szCs w:val="22"/>
        </w:rPr>
        <w:t>4</w:t>
      </w:r>
      <w:r w:rsidRPr="00927F91">
        <w:rPr>
          <w:b/>
          <w:bCs/>
          <w:sz w:val="22"/>
          <w:szCs w:val="22"/>
        </w:rPr>
        <w:t xml:space="preserve"> (continued)</w:t>
      </w:r>
    </w:p>
    <w:bookmarkEnd w:id="12"/>
    <w:p w14:paraId="682FAEE5" w14:textId="77777777" w:rsidR="00684163" w:rsidRPr="000575FE" w:rsidRDefault="00684163" w:rsidP="009837C8">
      <w:pPr>
        <w:rPr>
          <w:b/>
          <w:bCs/>
          <w:sz w:val="22"/>
          <w:szCs w:val="22"/>
        </w:rPr>
      </w:pPr>
    </w:p>
    <w:p w14:paraId="085586B9" w14:textId="677D51D1" w:rsidR="007736D0" w:rsidRPr="000575FE" w:rsidRDefault="00A400D9" w:rsidP="00CA6BDF">
      <w:pPr>
        <w:ind w:left="709" w:hanging="709"/>
        <w:rPr>
          <w:sz w:val="22"/>
          <w:szCs w:val="22"/>
        </w:rPr>
      </w:pPr>
      <w:r w:rsidRPr="006B6376">
        <w:rPr>
          <w:b/>
          <w:bCs/>
          <w:sz w:val="22"/>
          <w:szCs w:val="22"/>
        </w:rPr>
        <w:t>4</w:t>
      </w:r>
      <w:r w:rsidR="00542392" w:rsidRPr="006B6376">
        <w:rPr>
          <w:b/>
          <w:bCs/>
          <w:sz w:val="22"/>
          <w:szCs w:val="22"/>
        </w:rPr>
        <w:t>.</w:t>
      </w:r>
      <w:r w:rsidR="00542392" w:rsidRPr="006B6376">
        <w:rPr>
          <w:b/>
          <w:bCs/>
          <w:sz w:val="22"/>
          <w:szCs w:val="22"/>
        </w:rPr>
        <w:tab/>
      </w:r>
      <w:r w:rsidR="008407B4" w:rsidRPr="006B6376">
        <w:rPr>
          <w:b/>
          <w:sz w:val="22"/>
          <w:szCs w:val="22"/>
        </w:rPr>
        <w:t>Particulars of</w:t>
      </w:r>
      <w:r w:rsidR="007736D0" w:rsidRPr="006B6376">
        <w:rPr>
          <w:b/>
          <w:sz w:val="22"/>
          <w:szCs w:val="22"/>
        </w:rPr>
        <w:t xml:space="preserve"> turnover, operating costs and operating surplus from social letting activities</w:t>
      </w:r>
      <w:r w:rsidR="004F12EA" w:rsidRPr="006B6376">
        <w:rPr>
          <w:b/>
          <w:sz w:val="22"/>
          <w:szCs w:val="22"/>
        </w:rPr>
        <w:t xml:space="preserve"> </w:t>
      </w:r>
    </w:p>
    <w:tbl>
      <w:tblPr>
        <w:tblpPr w:leftFromText="180" w:rightFromText="180" w:vertAnchor="text" w:horzAnchor="margin" w:tblpXSpec="center" w:tblpY="175"/>
        <w:tblW w:w="8962" w:type="dxa"/>
        <w:tblLayout w:type="fixed"/>
        <w:tblLook w:val="04A0" w:firstRow="1" w:lastRow="0" w:firstColumn="1" w:lastColumn="0" w:noHBand="0" w:noVBand="1"/>
      </w:tblPr>
      <w:tblGrid>
        <w:gridCol w:w="4068"/>
        <w:gridCol w:w="1105"/>
        <w:gridCol w:w="1421"/>
        <w:gridCol w:w="1105"/>
        <w:gridCol w:w="1263"/>
      </w:tblGrid>
      <w:tr w:rsidR="006B6376" w:rsidRPr="000575FE" w14:paraId="13AE95F5" w14:textId="77777777" w:rsidTr="006B6376">
        <w:trPr>
          <w:trHeight w:val="284"/>
        </w:trPr>
        <w:tc>
          <w:tcPr>
            <w:tcW w:w="4068" w:type="dxa"/>
            <w:tcBorders>
              <w:top w:val="nil"/>
              <w:left w:val="nil"/>
              <w:bottom w:val="nil"/>
              <w:right w:val="nil"/>
            </w:tcBorders>
            <w:shd w:val="clear" w:color="auto" w:fill="auto"/>
            <w:noWrap/>
            <w:vAlign w:val="bottom"/>
            <w:hideMark/>
          </w:tcPr>
          <w:p w14:paraId="082FF6C0" w14:textId="77777777" w:rsidR="006B6376" w:rsidRPr="000575FE" w:rsidRDefault="006B6376" w:rsidP="00DE3F1D">
            <w:pPr>
              <w:rPr>
                <w:sz w:val="22"/>
                <w:szCs w:val="22"/>
              </w:rPr>
            </w:pPr>
          </w:p>
        </w:tc>
        <w:tc>
          <w:tcPr>
            <w:tcW w:w="1105" w:type="dxa"/>
            <w:vMerge w:val="restart"/>
            <w:tcBorders>
              <w:top w:val="nil"/>
              <w:left w:val="nil"/>
              <w:right w:val="nil"/>
            </w:tcBorders>
            <w:vAlign w:val="center"/>
          </w:tcPr>
          <w:p w14:paraId="3319E8D6" w14:textId="77777777" w:rsidR="006B6376" w:rsidRDefault="006B6376" w:rsidP="00F21DFB">
            <w:pPr>
              <w:jc w:val="right"/>
              <w:rPr>
                <w:b/>
                <w:bCs/>
                <w:sz w:val="22"/>
                <w:szCs w:val="22"/>
              </w:rPr>
            </w:pPr>
          </w:p>
          <w:p w14:paraId="04061F5B" w14:textId="77777777" w:rsidR="006B6376" w:rsidRPr="000575FE" w:rsidRDefault="006B6376" w:rsidP="00F21DFB">
            <w:pPr>
              <w:jc w:val="right"/>
              <w:rPr>
                <w:b/>
                <w:bCs/>
                <w:sz w:val="22"/>
                <w:szCs w:val="22"/>
              </w:rPr>
            </w:pPr>
            <w:r w:rsidRPr="000575FE">
              <w:rPr>
                <w:b/>
                <w:bCs/>
                <w:sz w:val="22"/>
                <w:szCs w:val="22"/>
              </w:rPr>
              <w:t>General</w:t>
            </w:r>
          </w:p>
          <w:p w14:paraId="79ED8FB7" w14:textId="77777777" w:rsidR="006B6376" w:rsidRPr="000575FE" w:rsidRDefault="006B6376" w:rsidP="00F21DFB">
            <w:pPr>
              <w:jc w:val="right"/>
              <w:rPr>
                <w:b/>
                <w:bCs/>
                <w:sz w:val="22"/>
                <w:szCs w:val="22"/>
              </w:rPr>
            </w:pPr>
            <w:r w:rsidRPr="000575FE">
              <w:rPr>
                <w:b/>
                <w:bCs/>
                <w:sz w:val="22"/>
                <w:szCs w:val="22"/>
              </w:rPr>
              <w:t>Needs</w:t>
            </w:r>
          </w:p>
          <w:p w14:paraId="29AF5F62" w14:textId="77777777" w:rsidR="006B6376" w:rsidRPr="000575FE" w:rsidRDefault="006B6376" w:rsidP="00181615">
            <w:pPr>
              <w:jc w:val="right"/>
              <w:rPr>
                <w:b/>
                <w:bCs/>
                <w:sz w:val="22"/>
                <w:szCs w:val="22"/>
              </w:rPr>
            </w:pPr>
            <w:r w:rsidRPr="000575FE">
              <w:rPr>
                <w:b/>
                <w:bCs/>
                <w:sz w:val="22"/>
                <w:szCs w:val="22"/>
              </w:rPr>
              <w:t>£’000</w:t>
            </w:r>
          </w:p>
        </w:tc>
        <w:tc>
          <w:tcPr>
            <w:tcW w:w="1421" w:type="dxa"/>
            <w:vMerge w:val="restart"/>
            <w:tcBorders>
              <w:top w:val="nil"/>
              <w:left w:val="nil"/>
              <w:right w:val="nil"/>
            </w:tcBorders>
            <w:shd w:val="clear" w:color="auto" w:fill="auto"/>
            <w:noWrap/>
            <w:vAlign w:val="center"/>
            <w:hideMark/>
          </w:tcPr>
          <w:p w14:paraId="47EB0ED7" w14:textId="77777777" w:rsidR="006B6376" w:rsidRDefault="006B6376" w:rsidP="00F21DFB">
            <w:pPr>
              <w:jc w:val="right"/>
              <w:rPr>
                <w:b/>
                <w:bCs/>
                <w:sz w:val="22"/>
                <w:szCs w:val="22"/>
              </w:rPr>
            </w:pPr>
          </w:p>
          <w:p w14:paraId="1FA51896" w14:textId="77777777" w:rsidR="006B6376" w:rsidRPr="000575FE" w:rsidRDefault="006B6376" w:rsidP="00F21DFB">
            <w:pPr>
              <w:jc w:val="right"/>
              <w:rPr>
                <w:b/>
                <w:bCs/>
                <w:sz w:val="22"/>
                <w:szCs w:val="22"/>
              </w:rPr>
            </w:pPr>
            <w:r w:rsidRPr="000575FE">
              <w:rPr>
                <w:b/>
                <w:bCs/>
                <w:sz w:val="22"/>
                <w:szCs w:val="22"/>
              </w:rPr>
              <w:t>Supported</w:t>
            </w:r>
          </w:p>
          <w:p w14:paraId="1BACFB1A" w14:textId="77777777" w:rsidR="006B6376" w:rsidRPr="000575FE" w:rsidRDefault="006B6376" w:rsidP="00F21DFB">
            <w:pPr>
              <w:jc w:val="right"/>
              <w:rPr>
                <w:b/>
                <w:bCs/>
                <w:sz w:val="22"/>
                <w:szCs w:val="22"/>
              </w:rPr>
            </w:pPr>
            <w:r w:rsidRPr="000575FE">
              <w:rPr>
                <w:b/>
                <w:bCs/>
                <w:sz w:val="22"/>
                <w:szCs w:val="22"/>
              </w:rPr>
              <w:t>Housing</w:t>
            </w:r>
          </w:p>
          <w:p w14:paraId="5629C84B" w14:textId="77777777" w:rsidR="006B6376" w:rsidRPr="000575FE" w:rsidRDefault="006B6376" w:rsidP="00181615">
            <w:pPr>
              <w:jc w:val="right"/>
              <w:rPr>
                <w:b/>
                <w:bCs/>
                <w:sz w:val="22"/>
                <w:szCs w:val="22"/>
              </w:rPr>
            </w:pPr>
            <w:r w:rsidRPr="000575FE">
              <w:rPr>
                <w:b/>
                <w:bCs/>
                <w:sz w:val="22"/>
                <w:szCs w:val="22"/>
              </w:rPr>
              <w:t>£’000</w:t>
            </w:r>
          </w:p>
        </w:tc>
        <w:tc>
          <w:tcPr>
            <w:tcW w:w="1105" w:type="dxa"/>
            <w:vMerge w:val="restart"/>
            <w:tcBorders>
              <w:top w:val="nil"/>
              <w:left w:val="nil"/>
              <w:right w:val="nil"/>
            </w:tcBorders>
            <w:shd w:val="clear" w:color="auto" w:fill="auto"/>
            <w:noWrap/>
            <w:vAlign w:val="center"/>
            <w:hideMark/>
          </w:tcPr>
          <w:p w14:paraId="0942A906" w14:textId="71FC08C5" w:rsidR="006B6376" w:rsidRPr="000575FE" w:rsidRDefault="006B6376" w:rsidP="00BD6427">
            <w:pPr>
              <w:jc w:val="right"/>
              <w:rPr>
                <w:b/>
                <w:bCs/>
                <w:sz w:val="22"/>
                <w:szCs w:val="22"/>
              </w:rPr>
            </w:pPr>
            <w:r>
              <w:rPr>
                <w:b/>
                <w:bCs/>
                <w:sz w:val="22"/>
                <w:szCs w:val="22"/>
              </w:rPr>
              <w:t>202</w:t>
            </w:r>
            <w:r w:rsidR="00EC7E7F">
              <w:rPr>
                <w:b/>
                <w:bCs/>
                <w:sz w:val="22"/>
                <w:szCs w:val="22"/>
              </w:rPr>
              <w:t>4</w:t>
            </w:r>
          </w:p>
          <w:p w14:paraId="5D5B0F23" w14:textId="77777777" w:rsidR="006B6376" w:rsidRPr="000575FE" w:rsidRDefault="006B6376" w:rsidP="00F21DFB">
            <w:pPr>
              <w:jc w:val="right"/>
              <w:rPr>
                <w:b/>
                <w:bCs/>
                <w:sz w:val="22"/>
                <w:szCs w:val="22"/>
              </w:rPr>
            </w:pPr>
            <w:r w:rsidRPr="000575FE">
              <w:rPr>
                <w:b/>
                <w:bCs/>
                <w:sz w:val="22"/>
                <w:szCs w:val="22"/>
              </w:rPr>
              <w:t>Total</w:t>
            </w:r>
          </w:p>
          <w:p w14:paraId="0960A841" w14:textId="77777777" w:rsidR="006B6376" w:rsidRPr="000575FE" w:rsidRDefault="006B6376" w:rsidP="00181615">
            <w:pPr>
              <w:jc w:val="right"/>
              <w:rPr>
                <w:b/>
                <w:bCs/>
                <w:sz w:val="22"/>
                <w:szCs w:val="22"/>
              </w:rPr>
            </w:pPr>
            <w:r w:rsidRPr="000575FE">
              <w:rPr>
                <w:b/>
                <w:bCs/>
                <w:sz w:val="22"/>
                <w:szCs w:val="22"/>
              </w:rPr>
              <w:t>£’000</w:t>
            </w:r>
          </w:p>
        </w:tc>
        <w:tc>
          <w:tcPr>
            <w:tcW w:w="1263" w:type="dxa"/>
            <w:vMerge w:val="restart"/>
            <w:tcBorders>
              <w:top w:val="nil"/>
              <w:left w:val="nil"/>
              <w:right w:val="nil"/>
            </w:tcBorders>
            <w:shd w:val="clear" w:color="auto" w:fill="auto"/>
            <w:noWrap/>
            <w:vAlign w:val="center"/>
            <w:hideMark/>
          </w:tcPr>
          <w:p w14:paraId="5C2386B9" w14:textId="52B1C9E7" w:rsidR="006B6376" w:rsidRDefault="006B6376" w:rsidP="00F21DFB">
            <w:pPr>
              <w:jc w:val="right"/>
              <w:rPr>
                <w:b/>
                <w:bCs/>
                <w:sz w:val="22"/>
                <w:szCs w:val="22"/>
              </w:rPr>
            </w:pPr>
            <w:r>
              <w:rPr>
                <w:b/>
                <w:bCs/>
                <w:sz w:val="22"/>
                <w:szCs w:val="22"/>
              </w:rPr>
              <w:t>202</w:t>
            </w:r>
            <w:r w:rsidR="00EC7E7F">
              <w:rPr>
                <w:b/>
                <w:bCs/>
                <w:sz w:val="22"/>
                <w:szCs w:val="22"/>
              </w:rPr>
              <w:t>3</w:t>
            </w:r>
          </w:p>
          <w:p w14:paraId="59F4617D" w14:textId="77777777" w:rsidR="006B6376" w:rsidRPr="000575FE" w:rsidRDefault="006B6376" w:rsidP="00F21DFB">
            <w:pPr>
              <w:jc w:val="right"/>
              <w:rPr>
                <w:b/>
                <w:bCs/>
                <w:sz w:val="22"/>
                <w:szCs w:val="22"/>
              </w:rPr>
            </w:pPr>
            <w:r w:rsidRPr="000575FE">
              <w:rPr>
                <w:b/>
                <w:bCs/>
                <w:sz w:val="22"/>
                <w:szCs w:val="22"/>
              </w:rPr>
              <w:t>Total</w:t>
            </w:r>
          </w:p>
          <w:p w14:paraId="0F4CE309" w14:textId="77777777" w:rsidR="006B6376" w:rsidRPr="000575FE" w:rsidRDefault="006B6376" w:rsidP="00181615">
            <w:pPr>
              <w:jc w:val="right"/>
              <w:rPr>
                <w:b/>
                <w:bCs/>
                <w:sz w:val="22"/>
                <w:szCs w:val="22"/>
              </w:rPr>
            </w:pPr>
            <w:r w:rsidRPr="000575FE">
              <w:rPr>
                <w:b/>
                <w:bCs/>
                <w:sz w:val="22"/>
                <w:szCs w:val="22"/>
              </w:rPr>
              <w:t>£’000</w:t>
            </w:r>
          </w:p>
        </w:tc>
      </w:tr>
      <w:tr w:rsidR="006B6376" w:rsidRPr="000575FE" w14:paraId="084CF144" w14:textId="77777777" w:rsidTr="006B6376">
        <w:trPr>
          <w:trHeight w:val="284"/>
        </w:trPr>
        <w:tc>
          <w:tcPr>
            <w:tcW w:w="4068" w:type="dxa"/>
            <w:tcBorders>
              <w:top w:val="nil"/>
              <w:left w:val="nil"/>
              <w:bottom w:val="nil"/>
              <w:right w:val="nil"/>
            </w:tcBorders>
            <w:shd w:val="clear" w:color="auto" w:fill="auto"/>
            <w:noWrap/>
            <w:vAlign w:val="bottom"/>
            <w:hideMark/>
          </w:tcPr>
          <w:p w14:paraId="2BBB88A2" w14:textId="77777777" w:rsidR="006B6376" w:rsidRPr="000575FE" w:rsidRDefault="006B6376" w:rsidP="00DE3F1D">
            <w:pPr>
              <w:rPr>
                <w:sz w:val="22"/>
                <w:szCs w:val="22"/>
              </w:rPr>
            </w:pPr>
          </w:p>
        </w:tc>
        <w:tc>
          <w:tcPr>
            <w:tcW w:w="1105" w:type="dxa"/>
            <w:vMerge/>
            <w:tcBorders>
              <w:left w:val="nil"/>
              <w:right w:val="nil"/>
            </w:tcBorders>
            <w:vAlign w:val="center"/>
          </w:tcPr>
          <w:p w14:paraId="54758445" w14:textId="77777777" w:rsidR="006B6376" w:rsidRPr="000575FE" w:rsidRDefault="006B6376" w:rsidP="00181615">
            <w:pPr>
              <w:jc w:val="right"/>
              <w:rPr>
                <w:b/>
                <w:bCs/>
                <w:sz w:val="22"/>
                <w:szCs w:val="22"/>
              </w:rPr>
            </w:pPr>
          </w:p>
        </w:tc>
        <w:tc>
          <w:tcPr>
            <w:tcW w:w="1421" w:type="dxa"/>
            <w:vMerge/>
            <w:tcBorders>
              <w:left w:val="nil"/>
              <w:right w:val="nil"/>
            </w:tcBorders>
            <w:shd w:val="clear" w:color="auto" w:fill="auto"/>
            <w:noWrap/>
            <w:vAlign w:val="center"/>
            <w:hideMark/>
          </w:tcPr>
          <w:p w14:paraId="3B60279A" w14:textId="77777777" w:rsidR="006B6376" w:rsidRPr="000575FE" w:rsidRDefault="006B6376" w:rsidP="00181615">
            <w:pPr>
              <w:jc w:val="right"/>
              <w:rPr>
                <w:b/>
                <w:bCs/>
                <w:sz w:val="22"/>
                <w:szCs w:val="22"/>
              </w:rPr>
            </w:pPr>
          </w:p>
        </w:tc>
        <w:tc>
          <w:tcPr>
            <w:tcW w:w="1105" w:type="dxa"/>
            <w:vMerge/>
            <w:tcBorders>
              <w:left w:val="nil"/>
              <w:right w:val="nil"/>
            </w:tcBorders>
            <w:shd w:val="clear" w:color="auto" w:fill="auto"/>
            <w:noWrap/>
            <w:vAlign w:val="center"/>
            <w:hideMark/>
          </w:tcPr>
          <w:p w14:paraId="028FB319" w14:textId="77777777" w:rsidR="006B6376" w:rsidRPr="000575FE" w:rsidRDefault="006B6376" w:rsidP="00181615">
            <w:pPr>
              <w:jc w:val="right"/>
              <w:rPr>
                <w:b/>
                <w:bCs/>
                <w:sz w:val="22"/>
                <w:szCs w:val="22"/>
              </w:rPr>
            </w:pPr>
          </w:p>
        </w:tc>
        <w:tc>
          <w:tcPr>
            <w:tcW w:w="1263" w:type="dxa"/>
            <w:vMerge/>
            <w:tcBorders>
              <w:left w:val="nil"/>
              <w:right w:val="nil"/>
            </w:tcBorders>
            <w:shd w:val="clear" w:color="auto" w:fill="auto"/>
            <w:noWrap/>
            <w:vAlign w:val="center"/>
            <w:hideMark/>
          </w:tcPr>
          <w:p w14:paraId="5DD67B81" w14:textId="77777777" w:rsidR="006B6376" w:rsidRPr="000575FE" w:rsidRDefault="006B6376" w:rsidP="00181615">
            <w:pPr>
              <w:jc w:val="right"/>
              <w:rPr>
                <w:b/>
                <w:bCs/>
                <w:sz w:val="22"/>
                <w:szCs w:val="22"/>
              </w:rPr>
            </w:pPr>
          </w:p>
        </w:tc>
      </w:tr>
      <w:tr w:rsidR="006B6376" w:rsidRPr="000575FE" w14:paraId="0F8C6544" w14:textId="77777777" w:rsidTr="006B6376">
        <w:trPr>
          <w:trHeight w:val="284"/>
        </w:trPr>
        <w:tc>
          <w:tcPr>
            <w:tcW w:w="4068" w:type="dxa"/>
            <w:tcBorders>
              <w:top w:val="nil"/>
              <w:left w:val="nil"/>
              <w:bottom w:val="nil"/>
              <w:right w:val="nil"/>
            </w:tcBorders>
            <w:shd w:val="clear" w:color="auto" w:fill="auto"/>
            <w:noWrap/>
            <w:vAlign w:val="bottom"/>
            <w:hideMark/>
          </w:tcPr>
          <w:p w14:paraId="0AD06951" w14:textId="77777777" w:rsidR="006B6376" w:rsidRPr="000575FE" w:rsidRDefault="006B6376" w:rsidP="00DE3F1D">
            <w:pPr>
              <w:rPr>
                <w:sz w:val="22"/>
                <w:szCs w:val="22"/>
              </w:rPr>
            </w:pPr>
          </w:p>
        </w:tc>
        <w:tc>
          <w:tcPr>
            <w:tcW w:w="1105" w:type="dxa"/>
            <w:vMerge/>
            <w:tcBorders>
              <w:left w:val="nil"/>
              <w:right w:val="nil"/>
            </w:tcBorders>
            <w:vAlign w:val="center"/>
          </w:tcPr>
          <w:p w14:paraId="7864F0F5" w14:textId="77777777" w:rsidR="006B6376" w:rsidRPr="000575FE" w:rsidRDefault="006B6376" w:rsidP="00F21DFB">
            <w:pPr>
              <w:jc w:val="right"/>
              <w:rPr>
                <w:b/>
                <w:bCs/>
                <w:sz w:val="22"/>
                <w:szCs w:val="22"/>
              </w:rPr>
            </w:pPr>
          </w:p>
        </w:tc>
        <w:tc>
          <w:tcPr>
            <w:tcW w:w="1421" w:type="dxa"/>
            <w:vMerge/>
            <w:tcBorders>
              <w:left w:val="nil"/>
              <w:right w:val="nil"/>
            </w:tcBorders>
            <w:shd w:val="clear" w:color="auto" w:fill="auto"/>
            <w:noWrap/>
            <w:vAlign w:val="center"/>
            <w:hideMark/>
          </w:tcPr>
          <w:p w14:paraId="537CF178" w14:textId="77777777" w:rsidR="006B6376" w:rsidRPr="000575FE" w:rsidRDefault="006B6376" w:rsidP="00F21DFB">
            <w:pPr>
              <w:jc w:val="right"/>
              <w:rPr>
                <w:b/>
                <w:bCs/>
                <w:sz w:val="22"/>
                <w:szCs w:val="22"/>
              </w:rPr>
            </w:pPr>
          </w:p>
        </w:tc>
        <w:tc>
          <w:tcPr>
            <w:tcW w:w="1105" w:type="dxa"/>
            <w:vMerge/>
            <w:tcBorders>
              <w:left w:val="nil"/>
              <w:right w:val="nil"/>
            </w:tcBorders>
            <w:shd w:val="clear" w:color="auto" w:fill="auto"/>
            <w:noWrap/>
            <w:vAlign w:val="center"/>
            <w:hideMark/>
          </w:tcPr>
          <w:p w14:paraId="26D1E183" w14:textId="77777777" w:rsidR="006B6376" w:rsidRPr="000575FE" w:rsidRDefault="006B6376" w:rsidP="00F21DFB">
            <w:pPr>
              <w:jc w:val="right"/>
              <w:rPr>
                <w:b/>
                <w:bCs/>
                <w:sz w:val="22"/>
                <w:szCs w:val="22"/>
              </w:rPr>
            </w:pPr>
          </w:p>
        </w:tc>
        <w:tc>
          <w:tcPr>
            <w:tcW w:w="1263" w:type="dxa"/>
            <w:vMerge/>
            <w:tcBorders>
              <w:left w:val="nil"/>
              <w:right w:val="nil"/>
            </w:tcBorders>
            <w:shd w:val="clear" w:color="auto" w:fill="auto"/>
            <w:noWrap/>
            <w:vAlign w:val="center"/>
            <w:hideMark/>
          </w:tcPr>
          <w:p w14:paraId="5CC51390" w14:textId="77777777" w:rsidR="006B6376" w:rsidRPr="000575FE" w:rsidRDefault="006B6376" w:rsidP="00F21DFB">
            <w:pPr>
              <w:jc w:val="right"/>
              <w:rPr>
                <w:b/>
                <w:bCs/>
                <w:sz w:val="22"/>
                <w:szCs w:val="22"/>
              </w:rPr>
            </w:pPr>
          </w:p>
        </w:tc>
      </w:tr>
      <w:tr w:rsidR="006B6376" w:rsidRPr="000575FE" w14:paraId="4B646D12" w14:textId="77777777" w:rsidTr="006B6376">
        <w:trPr>
          <w:trHeight w:val="284"/>
        </w:trPr>
        <w:tc>
          <w:tcPr>
            <w:tcW w:w="4068" w:type="dxa"/>
            <w:tcBorders>
              <w:top w:val="nil"/>
              <w:left w:val="nil"/>
              <w:bottom w:val="nil"/>
              <w:right w:val="nil"/>
            </w:tcBorders>
            <w:shd w:val="clear" w:color="auto" w:fill="auto"/>
            <w:noWrap/>
            <w:vAlign w:val="bottom"/>
            <w:hideMark/>
          </w:tcPr>
          <w:p w14:paraId="18158F0A" w14:textId="77777777" w:rsidR="006B6376" w:rsidRPr="000575FE" w:rsidRDefault="006B6376" w:rsidP="00DE3F1D">
            <w:pPr>
              <w:rPr>
                <w:b/>
                <w:bCs/>
                <w:sz w:val="22"/>
                <w:szCs w:val="22"/>
              </w:rPr>
            </w:pPr>
          </w:p>
        </w:tc>
        <w:tc>
          <w:tcPr>
            <w:tcW w:w="1105" w:type="dxa"/>
            <w:vMerge/>
            <w:tcBorders>
              <w:left w:val="nil"/>
              <w:bottom w:val="nil"/>
              <w:right w:val="nil"/>
            </w:tcBorders>
            <w:vAlign w:val="center"/>
          </w:tcPr>
          <w:p w14:paraId="0E1D21FE" w14:textId="77777777" w:rsidR="006B6376" w:rsidRPr="000575FE" w:rsidRDefault="006B6376" w:rsidP="00F21DFB">
            <w:pPr>
              <w:jc w:val="right"/>
              <w:rPr>
                <w:sz w:val="22"/>
                <w:szCs w:val="22"/>
              </w:rPr>
            </w:pPr>
          </w:p>
        </w:tc>
        <w:tc>
          <w:tcPr>
            <w:tcW w:w="1421" w:type="dxa"/>
            <w:vMerge/>
            <w:tcBorders>
              <w:left w:val="nil"/>
              <w:bottom w:val="nil"/>
              <w:right w:val="nil"/>
            </w:tcBorders>
            <w:shd w:val="clear" w:color="auto" w:fill="auto"/>
            <w:noWrap/>
            <w:vAlign w:val="center"/>
            <w:hideMark/>
          </w:tcPr>
          <w:p w14:paraId="0EADB8F6" w14:textId="77777777" w:rsidR="006B6376" w:rsidRPr="000575FE" w:rsidRDefault="006B6376" w:rsidP="00F21DFB">
            <w:pPr>
              <w:jc w:val="right"/>
              <w:rPr>
                <w:sz w:val="22"/>
                <w:szCs w:val="22"/>
              </w:rPr>
            </w:pPr>
          </w:p>
        </w:tc>
        <w:tc>
          <w:tcPr>
            <w:tcW w:w="1105" w:type="dxa"/>
            <w:vMerge/>
            <w:tcBorders>
              <w:left w:val="nil"/>
              <w:bottom w:val="nil"/>
              <w:right w:val="nil"/>
            </w:tcBorders>
            <w:shd w:val="clear" w:color="auto" w:fill="auto"/>
            <w:noWrap/>
            <w:vAlign w:val="center"/>
            <w:hideMark/>
          </w:tcPr>
          <w:p w14:paraId="66339EFE" w14:textId="77777777" w:rsidR="006B6376" w:rsidRPr="000575FE" w:rsidRDefault="006B6376" w:rsidP="00F21DFB">
            <w:pPr>
              <w:jc w:val="right"/>
              <w:rPr>
                <w:sz w:val="22"/>
                <w:szCs w:val="22"/>
              </w:rPr>
            </w:pPr>
          </w:p>
        </w:tc>
        <w:tc>
          <w:tcPr>
            <w:tcW w:w="1263" w:type="dxa"/>
            <w:vMerge/>
            <w:tcBorders>
              <w:left w:val="nil"/>
              <w:bottom w:val="nil"/>
              <w:right w:val="nil"/>
            </w:tcBorders>
            <w:shd w:val="clear" w:color="auto" w:fill="auto"/>
            <w:noWrap/>
            <w:vAlign w:val="center"/>
            <w:hideMark/>
          </w:tcPr>
          <w:p w14:paraId="65676A43" w14:textId="77777777" w:rsidR="006B6376" w:rsidRPr="000575FE" w:rsidRDefault="006B6376" w:rsidP="00F21DFB">
            <w:pPr>
              <w:jc w:val="right"/>
              <w:rPr>
                <w:b/>
                <w:bCs/>
                <w:sz w:val="22"/>
                <w:szCs w:val="22"/>
              </w:rPr>
            </w:pPr>
          </w:p>
        </w:tc>
      </w:tr>
      <w:tr w:rsidR="00F463EF" w:rsidRPr="000575FE" w14:paraId="7356E61A" w14:textId="77777777" w:rsidTr="006B6376">
        <w:trPr>
          <w:trHeight w:val="284"/>
        </w:trPr>
        <w:tc>
          <w:tcPr>
            <w:tcW w:w="4068" w:type="dxa"/>
            <w:tcBorders>
              <w:top w:val="nil"/>
              <w:left w:val="nil"/>
              <w:bottom w:val="nil"/>
              <w:right w:val="nil"/>
            </w:tcBorders>
            <w:shd w:val="clear" w:color="auto" w:fill="auto"/>
            <w:noWrap/>
            <w:vAlign w:val="center"/>
            <w:hideMark/>
          </w:tcPr>
          <w:p w14:paraId="66B9387C" w14:textId="77777777" w:rsidR="00F463EF" w:rsidRPr="000575FE" w:rsidRDefault="00F463EF" w:rsidP="00F463EF">
            <w:pPr>
              <w:rPr>
                <w:sz w:val="22"/>
                <w:szCs w:val="22"/>
              </w:rPr>
            </w:pPr>
            <w:r w:rsidRPr="000575FE">
              <w:rPr>
                <w:sz w:val="22"/>
                <w:szCs w:val="22"/>
              </w:rPr>
              <w:t>Rent receivable net of service charges</w:t>
            </w:r>
          </w:p>
        </w:tc>
        <w:tc>
          <w:tcPr>
            <w:tcW w:w="1105" w:type="dxa"/>
            <w:tcBorders>
              <w:top w:val="nil"/>
              <w:left w:val="nil"/>
              <w:bottom w:val="nil"/>
              <w:right w:val="nil"/>
            </w:tcBorders>
            <w:vAlign w:val="center"/>
          </w:tcPr>
          <w:p w14:paraId="6AB8CAEE" w14:textId="0415CE6A" w:rsidR="00F463EF" w:rsidRPr="00EB683D" w:rsidRDefault="00FB24DD" w:rsidP="00F463EF">
            <w:pPr>
              <w:jc w:val="right"/>
              <w:rPr>
                <w:sz w:val="22"/>
                <w:szCs w:val="22"/>
              </w:rPr>
            </w:pPr>
            <w:r>
              <w:rPr>
                <w:sz w:val="22"/>
                <w:szCs w:val="22"/>
              </w:rPr>
              <w:t>46,</w:t>
            </w:r>
            <w:r w:rsidR="004516CB">
              <w:rPr>
                <w:sz w:val="22"/>
                <w:szCs w:val="22"/>
              </w:rPr>
              <w:t>593</w:t>
            </w:r>
          </w:p>
        </w:tc>
        <w:tc>
          <w:tcPr>
            <w:tcW w:w="1421" w:type="dxa"/>
            <w:tcBorders>
              <w:top w:val="nil"/>
              <w:left w:val="nil"/>
              <w:bottom w:val="nil"/>
              <w:right w:val="nil"/>
            </w:tcBorders>
            <w:shd w:val="clear" w:color="auto" w:fill="auto"/>
            <w:noWrap/>
            <w:vAlign w:val="center"/>
          </w:tcPr>
          <w:p w14:paraId="4E4DFD27" w14:textId="329417F8" w:rsidR="00F463EF" w:rsidRPr="00EB683D" w:rsidRDefault="00FB24DD" w:rsidP="00F463EF">
            <w:pPr>
              <w:jc w:val="right"/>
              <w:rPr>
                <w:sz w:val="22"/>
                <w:szCs w:val="22"/>
              </w:rPr>
            </w:pPr>
            <w:r>
              <w:rPr>
                <w:sz w:val="22"/>
                <w:szCs w:val="22"/>
              </w:rPr>
              <w:t>1,26</w:t>
            </w:r>
            <w:r w:rsidR="004516CB">
              <w:rPr>
                <w:sz w:val="22"/>
                <w:szCs w:val="22"/>
              </w:rPr>
              <w:t>7</w:t>
            </w:r>
          </w:p>
        </w:tc>
        <w:tc>
          <w:tcPr>
            <w:tcW w:w="1105" w:type="dxa"/>
            <w:tcBorders>
              <w:top w:val="nil"/>
              <w:left w:val="nil"/>
              <w:bottom w:val="nil"/>
              <w:right w:val="nil"/>
            </w:tcBorders>
            <w:shd w:val="clear" w:color="auto" w:fill="auto"/>
            <w:noWrap/>
            <w:vAlign w:val="center"/>
          </w:tcPr>
          <w:p w14:paraId="0A5C60FD" w14:textId="7829519E" w:rsidR="00F463EF" w:rsidRPr="00EB683D" w:rsidRDefault="002F37E0" w:rsidP="00F463EF">
            <w:pPr>
              <w:jc w:val="right"/>
              <w:rPr>
                <w:sz w:val="22"/>
                <w:szCs w:val="22"/>
              </w:rPr>
            </w:pPr>
            <w:r>
              <w:rPr>
                <w:sz w:val="22"/>
                <w:szCs w:val="22"/>
              </w:rPr>
              <w:t>47,860</w:t>
            </w:r>
          </w:p>
        </w:tc>
        <w:tc>
          <w:tcPr>
            <w:tcW w:w="1263" w:type="dxa"/>
            <w:tcBorders>
              <w:top w:val="nil"/>
              <w:left w:val="nil"/>
              <w:right w:val="nil"/>
            </w:tcBorders>
            <w:shd w:val="clear" w:color="auto" w:fill="auto"/>
            <w:noWrap/>
            <w:vAlign w:val="center"/>
          </w:tcPr>
          <w:p w14:paraId="150170F3" w14:textId="573A018C" w:rsidR="00F463EF" w:rsidRPr="00ED6E17" w:rsidRDefault="00F463EF" w:rsidP="00F463EF">
            <w:pPr>
              <w:jc w:val="right"/>
              <w:rPr>
                <w:sz w:val="22"/>
                <w:szCs w:val="22"/>
              </w:rPr>
            </w:pPr>
            <w:r>
              <w:rPr>
                <w:sz w:val="22"/>
                <w:szCs w:val="22"/>
              </w:rPr>
              <w:t>46,308</w:t>
            </w:r>
          </w:p>
        </w:tc>
      </w:tr>
      <w:tr w:rsidR="00F463EF" w:rsidRPr="000575FE" w14:paraId="765A6826" w14:textId="77777777" w:rsidTr="006B6376">
        <w:trPr>
          <w:trHeight w:val="284"/>
        </w:trPr>
        <w:tc>
          <w:tcPr>
            <w:tcW w:w="4068" w:type="dxa"/>
            <w:tcBorders>
              <w:top w:val="nil"/>
              <w:left w:val="nil"/>
              <w:bottom w:val="nil"/>
              <w:right w:val="nil"/>
            </w:tcBorders>
            <w:shd w:val="clear" w:color="auto" w:fill="auto"/>
            <w:noWrap/>
            <w:vAlign w:val="center"/>
            <w:hideMark/>
          </w:tcPr>
          <w:p w14:paraId="67C66CC1" w14:textId="77777777" w:rsidR="00F463EF" w:rsidRPr="000575FE" w:rsidRDefault="00F463EF" w:rsidP="00F463EF">
            <w:pPr>
              <w:rPr>
                <w:sz w:val="22"/>
                <w:szCs w:val="22"/>
              </w:rPr>
            </w:pPr>
            <w:r w:rsidRPr="000575FE">
              <w:rPr>
                <w:sz w:val="22"/>
                <w:szCs w:val="22"/>
              </w:rPr>
              <w:t>Service charges</w:t>
            </w:r>
          </w:p>
        </w:tc>
        <w:tc>
          <w:tcPr>
            <w:tcW w:w="1105" w:type="dxa"/>
            <w:tcBorders>
              <w:top w:val="nil"/>
              <w:left w:val="nil"/>
              <w:right w:val="nil"/>
            </w:tcBorders>
            <w:vAlign w:val="center"/>
          </w:tcPr>
          <w:p w14:paraId="424704F3" w14:textId="74737A86" w:rsidR="00F463EF" w:rsidRPr="00EB683D" w:rsidRDefault="00FB24DD" w:rsidP="00F463EF">
            <w:pPr>
              <w:jc w:val="right"/>
              <w:rPr>
                <w:sz w:val="22"/>
                <w:szCs w:val="22"/>
              </w:rPr>
            </w:pPr>
            <w:r>
              <w:rPr>
                <w:sz w:val="22"/>
                <w:szCs w:val="22"/>
              </w:rPr>
              <w:t>297</w:t>
            </w:r>
          </w:p>
        </w:tc>
        <w:tc>
          <w:tcPr>
            <w:tcW w:w="1421" w:type="dxa"/>
            <w:tcBorders>
              <w:top w:val="nil"/>
              <w:left w:val="nil"/>
              <w:right w:val="nil"/>
            </w:tcBorders>
            <w:shd w:val="clear" w:color="auto" w:fill="auto"/>
            <w:noWrap/>
            <w:vAlign w:val="center"/>
          </w:tcPr>
          <w:p w14:paraId="3995BA24" w14:textId="0D304FF5" w:rsidR="00F463EF" w:rsidRPr="00EB683D" w:rsidRDefault="00FB24DD" w:rsidP="00F463EF">
            <w:pPr>
              <w:jc w:val="right"/>
              <w:rPr>
                <w:sz w:val="22"/>
                <w:szCs w:val="22"/>
              </w:rPr>
            </w:pPr>
            <w:r>
              <w:rPr>
                <w:sz w:val="22"/>
                <w:szCs w:val="22"/>
              </w:rPr>
              <w:t>8</w:t>
            </w:r>
          </w:p>
        </w:tc>
        <w:tc>
          <w:tcPr>
            <w:tcW w:w="1105" w:type="dxa"/>
            <w:tcBorders>
              <w:top w:val="nil"/>
              <w:left w:val="nil"/>
              <w:right w:val="nil"/>
            </w:tcBorders>
            <w:shd w:val="clear" w:color="auto" w:fill="auto"/>
            <w:noWrap/>
            <w:vAlign w:val="center"/>
          </w:tcPr>
          <w:p w14:paraId="2B1F6D7A" w14:textId="49D459DC" w:rsidR="00F463EF" w:rsidRPr="00EB683D" w:rsidRDefault="00FB24DD" w:rsidP="00F463EF">
            <w:pPr>
              <w:jc w:val="right"/>
              <w:rPr>
                <w:sz w:val="22"/>
                <w:szCs w:val="22"/>
              </w:rPr>
            </w:pPr>
            <w:r>
              <w:rPr>
                <w:sz w:val="22"/>
                <w:szCs w:val="22"/>
              </w:rPr>
              <w:t>305</w:t>
            </w:r>
          </w:p>
        </w:tc>
        <w:tc>
          <w:tcPr>
            <w:tcW w:w="1263" w:type="dxa"/>
            <w:tcBorders>
              <w:top w:val="nil"/>
              <w:left w:val="nil"/>
              <w:right w:val="nil"/>
            </w:tcBorders>
            <w:shd w:val="clear" w:color="auto" w:fill="auto"/>
            <w:noWrap/>
            <w:vAlign w:val="center"/>
          </w:tcPr>
          <w:p w14:paraId="6FB7B9A8" w14:textId="0B1A473A" w:rsidR="00F463EF" w:rsidRPr="00ED6E17" w:rsidRDefault="00F463EF" w:rsidP="00F463EF">
            <w:pPr>
              <w:jc w:val="right"/>
              <w:rPr>
                <w:sz w:val="22"/>
                <w:szCs w:val="22"/>
              </w:rPr>
            </w:pPr>
            <w:r>
              <w:rPr>
                <w:sz w:val="22"/>
                <w:szCs w:val="22"/>
              </w:rPr>
              <w:t>311</w:t>
            </w:r>
          </w:p>
        </w:tc>
      </w:tr>
      <w:tr w:rsidR="00F463EF" w:rsidRPr="000575FE" w14:paraId="0AEFEAC5" w14:textId="77777777" w:rsidTr="006B6376">
        <w:trPr>
          <w:trHeight w:val="241"/>
        </w:trPr>
        <w:tc>
          <w:tcPr>
            <w:tcW w:w="4068" w:type="dxa"/>
            <w:tcBorders>
              <w:top w:val="nil"/>
              <w:left w:val="nil"/>
              <w:bottom w:val="nil"/>
              <w:right w:val="nil"/>
            </w:tcBorders>
            <w:shd w:val="clear" w:color="auto" w:fill="auto"/>
            <w:noWrap/>
            <w:vAlign w:val="center"/>
            <w:hideMark/>
          </w:tcPr>
          <w:p w14:paraId="055A7F68" w14:textId="77777777" w:rsidR="00F463EF" w:rsidRPr="000575FE" w:rsidRDefault="00F463EF" w:rsidP="00F463EF">
            <w:pPr>
              <w:rPr>
                <w:rFonts w:ascii="Arial" w:hAnsi="Arial" w:cs="Arial"/>
                <w:sz w:val="22"/>
                <w:szCs w:val="22"/>
              </w:rPr>
            </w:pPr>
          </w:p>
        </w:tc>
        <w:tc>
          <w:tcPr>
            <w:tcW w:w="1105" w:type="dxa"/>
            <w:tcBorders>
              <w:top w:val="nil"/>
              <w:left w:val="nil"/>
              <w:bottom w:val="single" w:sz="4" w:space="0" w:color="auto"/>
              <w:right w:val="nil"/>
            </w:tcBorders>
            <w:vAlign w:val="center"/>
          </w:tcPr>
          <w:p w14:paraId="7BD66729" w14:textId="77777777" w:rsidR="00F463EF" w:rsidRPr="00EB683D" w:rsidRDefault="00F463EF" w:rsidP="00F463EF">
            <w:pPr>
              <w:jc w:val="right"/>
              <w:rPr>
                <w:rFonts w:ascii="Arial" w:hAnsi="Arial" w:cs="Arial"/>
                <w:sz w:val="22"/>
                <w:szCs w:val="22"/>
              </w:rPr>
            </w:pPr>
          </w:p>
        </w:tc>
        <w:tc>
          <w:tcPr>
            <w:tcW w:w="1421" w:type="dxa"/>
            <w:tcBorders>
              <w:top w:val="nil"/>
              <w:left w:val="nil"/>
              <w:bottom w:val="single" w:sz="4" w:space="0" w:color="auto"/>
              <w:right w:val="nil"/>
            </w:tcBorders>
            <w:shd w:val="clear" w:color="auto" w:fill="auto"/>
            <w:noWrap/>
            <w:vAlign w:val="center"/>
          </w:tcPr>
          <w:p w14:paraId="6B407A71" w14:textId="77777777" w:rsidR="00F463EF" w:rsidRPr="00EB683D" w:rsidRDefault="00F463EF" w:rsidP="00F463EF">
            <w:pPr>
              <w:jc w:val="right"/>
              <w:rPr>
                <w:rFonts w:ascii="Arial" w:hAnsi="Arial" w:cs="Arial"/>
                <w:sz w:val="22"/>
                <w:szCs w:val="22"/>
              </w:rPr>
            </w:pPr>
          </w:p>
        </w:tc>
        <w:tc>
          <w:tcPr>
            <w:tcW w:w="1105" w:type="dxa"/>
            <w:tcBorders>
              <w:top w:val="nil"/>
              <w:left w:val="nil"/>
              <w:bottom w:val="single" w:sz="4" w:space="0" w:color="auto"/>
              <w:right w:val="nil"/>
            </w:tcBorders>
            <w:shd w:val="clear" w:color="auto" w:fill="auto"/>
            <w:noWrap/>
            <w:vAlign w:val="center"/>
          </w:tcPr>
          <w:p w14:paraId="38175AEB" w14:textId="77777777" w:rsidR="00F463EF" w:rsidRPr="00EB683D" w:rsidRDefault="00F463EF" w:rsidP="00F463EF">
            <w:pPr>
              <w:jc w:val="right"/>
              <w:rPr>
                <w:rFonts w:ascii="Arial" w:hAnsi="Arial" w:cs="Arial"/>
                <w:sz w:val="22"/>
                <w:szCs w:val="22"/>
              </w:rPr>
            </w:pPr>
          </w:p>
        </w:tc>
        <w:tc>
          <w:tcPr>
            <w:tcW w:w="1263" w:type="dxa"/>
            <w:tcBorders>
              <w:top w:val="nil"/>
              <w:left w:val="nil"/>
              <w:bottom w:val="single" w:sz="4" w:space="0" w:color="auto"/>
              <w:right w:val="nil"/>
            </w:tcBorders>
            <w:shd w:val="clear" w:color="auto" w:fill="auto"/>
            <w:noWrap/>
            <w:vAlign w:val="center"/>
          </w:tcPr>
          <w:p w14:paraId="7307BD23" w14:textId="77777777" w:rsidR="00F463EF" w:rsidRPr="00ED6E17" w:rsidRDefault="00F463EF" w:rsidP="00F463EF">
            <w:pPr>
              <w:jc w:val="right"/>
              <w:rPr>
                <w:rFonts w:ascii="Arial" w:hAnsi="Arial" w:cs="Arial"/>
                <w:sz w:val="22"/>
                <w:szCs w:val="22"/>
              </w:rPr>
            </w:pPr>
          </w:p>
        </w:tc>
      </w:tr>
      <w:tr w:rsidR="00F463EF" w:rsidRPr="000575FE" w14:paraId="001823EB" w14:textId="77777777" w:rsidTr="006B6376">
        <w:trPr>
          <w:trHeight w:val="284"/>
        </w:trPr>
        <w:tc>
          <w:tcPr>
            <w:tcW w:w="4068" w:type="dxa"/>
            <w:tcBorders>
              <w:top w:val="nil"/>
              <w:left w:val="nil"/>
              <w:bottom w:val="nil"/>
              <w:right w:val="nil"/>
            </w:tcBorders>
            <w:shd w:val="clear" w:color="auto" w:fill="auto"/>
            <w:noWrap/>
            <w:vAlign w:val="center"/>
            <w:hideMark/>
          </w:tcPr>
          <w:p w14:paraId="310E2F34" w14:textId="77777777" w:rsidR="00F463EF" w:rsidRPr="000575FE" w:rsidRDefault="00F463EF" w:rsidP="00F463EF">
            <w:pPr>
              <w:rPr>
                <w:b/>
                <w:bCs/>
                <w:sz w:val="22"/>
                <w:szCs w:val="22"/>
              </w:rPr>
            </w:pPr>
            <w:r w:rsidRPr="000575FE">
              <w:rPr>
                <w:b/>
                <w:bCs/>
                <w:sz w:val="22"/>
                <w:szCs w:val="22"/>
              </w:rPr>
              <w:t>Gross income from rents and service charges</w:t>
            </w:r>
          </w:p>
        </w:tc>
        <w:tc>
          <w:tcPr>
            <w:tcW w:w="1105" w:type="dxa"/>
            <w:tcBorders>
              <w:top w:val="single" w:sz="4" w:space="0" w:color="auto"/>
              <w:left w:val="nil"/>
              <w:right w:val="nil"/>
            </w:tcBorders>
            <w:vAlign w:val="center"/>
          </w:tcPr>
          <w:p w14:paraId="0835BB1B" w14:textId="5338BD8D" w:rsidR="00F463EF" w:rsidRPr="00EB683D" w:rsidRDefault="00FB24DD" w:rsidP="00F463EF">
            <w:pPr>
              <w:jc w:val="right"/>
              <w:rPr>
                <w:b/>
                <w:sz w:val="22"/>
                <w:szCs w:val="22"/>
              </w:rPr>
            </w:pPr>
            <w:r>
              <w:rPr>
                <w:b/>
                <w:sz w:val="22"/>
                <w:szCs w:val="22"/>
              </w:rPr>
              <w:t>46,</w:t>
            </w:r>
            <w:r w:rsidR="006C3D8D">
              <w:rPr>
                <w:b/>
                <w:sz w:val="22"/>
                <w:szCs w:val="22"/>
              </w:rPr>
              <w:t>890</w:t>
            </w:r>
          </w:p>
        </w:tc>
        <w:tc>
          <w:tcPr>
            <w:tcW w:w="1421" w:type="dxa"/>
            <w:tcBorders>
              <w:top w:val="single" w:sz="4" w:space="0" w:color="auto"/>
              <w:left w:val="nil"/>
              <w:right w:val="nil"/>
            </w:tcBorders>
            <w:shd w:val="clear" w:color="auto" w:fill="auto"/>
            <w:noWrap/>
            <w:vAlign w:val="center"/>
          </w:tcPr>
          <w:p w14:paraId="1057ACCA" w14:textId="3EBDD61F" w:rsidR="00F463EF" w:rsidRPr="00EB683D" w:rsidRDefault="00FB24DD" w:rsidP="00F463EF">
            <w:pPr>
              <w:jc w:val="right"/>
              <w:rPr>
                <w:b/>
                <w:sz w:val="22"/>
                <w:szCs w:val="22"/>
              </w:rPr>
            </w:pPr>
            <w:r>
              <w:rPr>
                <w:b/>
                <w:sz w:val="22"/>
                <w:szCs w:val="22"/>
              </w:rPr>
              <w:t>1,2</w:t>
            </w:r>
            <w:r w:rsidR="006C3D8D">
              <w:rPr>
                <w:b/>
                <w:sz w:val="22"/>
                <w:szCs w:val="22"/>
              </w:rPr>
              <w:t>75</w:t>
            </w:r>
          </w:p>
        </w:tc>
        <w:tc>
          <w:tcPr>
            <w:tcW w:w="1105" w:type="dxa"/>
            <w:tcBorders>
              <w:top w:val="single" w:sz="4" w:space="0" w:color="auto"/>
              <w:left w:val="nil"/>
              <w:right w:val="nil"/>
            </w:tcBorders>
            <w:shd w:val="clear" w:color="auto" w:fill="auto"/>
            <w:noWrap/>
            <w:vAlign w:val="center"/>
          </w:tcPr>
          <w:p w14:paraId="3E4F0361" w14:textId="247B399D" w:rsidR="00F463EF" w:rsidRPr="00EB683D" w:rsidRDefault="006C3D8D" w:rsidP="00F463EF">
            <w:pPr>
              <w:jc w:val="right"/>
              <w:rPr>
                <w:b/>
                <w:sz w:val="22"/>
                <w:szCs w:val="22"/>
              </w:rPr>
            </w:pPr>
            <w:r>
              <w:rPr>
                <w:b/>
                <w:sz w:val="22"/>
                <w:szCs w:val="22"/>
              </w:rPr>
              <w:t>48,165</w:t>
            </w:r>
          </w:p>
        </w:tc>
        <w:tc>
          <w:tcPr>
            <w:tcW w:w="1263" w:type="dxa"/>
            <w:tcBorders>
              <w:top w:val="single" w:sz="4" w:space="0" w:color="auto"/>
              <w:left w:val="nil"/>
              <w:right w:val="nil"/>
            </w:tcBorders>
            <w:shd w:val="clear" w:color="auto" w:fill="auto"/>
            <w:noWrap/>
            <w:vAlign w:val="center"/>
          </w:tcPr>
          <w:p w14:paraId="784166F8" w14:textId="37726C85" w:rsidR="00F463EF" w:rsidRPr="00ED6E17" w:rsidRDefault="00F463EF" w:rsidP="00F463EF">
            <w:pPr>
              <w:jc w:val="right"/>
              <w:rPr>
                <w:b/>
                <w:sz w:val="22"/>
                <w:szCs w:val="22"/>
              </w:rPr>
            </w:pPr>
            <w:r>
              <w:rPr>
                <w:b/>
                <w:sz w:val="22"/>
                <w:szCs w:val="22"/>
              </w:rPr>
              <w:t>46,619</w:t>
            </w:r>
          </w:p>
        </w:tc>
      </w:tr>
      <w:tr w:rsidR="00F463EF" w:rsidRPr="000575FE" w14:paraId="181261DF" w14:textId="77777777" w:rsidTr="006B6376">
        <w:trPr>
          <w:trHeight w:val="284"/>
        </w:trPr>
        <w:tc>
          <w:tcPr>
            <w:tcW w:w="4068" w:type="dxa"/>
            <w:tcBorders>
              <w:top w:val="nil"/>
              <w:left w:val="nil"/>
              <w:bottom w:val="nil"/>
              <w:right w:val="nil"/>
            </w:tcBorders>
            <w:shd w:val="clear" w:color="auto" w:fill="auto"/>
            <w:noWrap/>
            <w:vAlign w:val="center"/>
            <w:hideMark/>
          </w:tcPr>
          <w:p w14:paraId="3926B089" w14:textId="77777777" w:rsidR="00F463EF" w:rsidRPr="000575FE" w:rsidRDefault="00F463EF" w:rsidP="00F463EF">
            <w:pPr>
              <w:rPr>
                <w:sz w:val="22"/>
                <w:szCs w:val="22"/>
              </w:rPr>
            </w:pPr>
            <w:r w:rsidRPr="000575FE">
              <w:rPr>
                <w:bCs/>
                <w:sz w:val="22"/>
                <w:szCs w:val="22"/>
              </w:rPr>
              <w:t>Less rent loss</w:t>
            </w:r>
            <w:r>
              <w:rPr>
                <w:bCs/>
                <w:sz w:val="22"/>
                <w:szCs w:val="22"/>
              </w:rPr>
              <w:t>es</w:t>
            </w:r>
            <w:r w:rsidRPr="000575FE">
              <w:rPr>
                <w:bCs/>
                <w:sz w:val="22"/>
                <w:szCs w:val="22"/>
              </w:rPr>
              <w:t xml:space="preserve"> from voids</w:t>
            </w:r>
          </w:p>
        </w:tc>
        <w:tc>
          <w:tcPr>
            <w:tcW w:w="1105" w:type="dxa"/>
            <w:tcBorders>
              <w:top w:val="nil"/>
              <w:left w:val="nil"/>
              <w:bottom w:val="single" w:sz="4" w:space="0" w:color="auto"/>
              <w:right w:val="nil"/>
            </w:tcBorders>
            <w:vAlign w:val="center"/>
          </w:tcPr>
          <w:p w14:paraId="1C4F3A29" w14:textId="1E94637B" w:rsidR="00F463EF" w:rsidRPr="00EB683D" w:rsidRDefault="00572CDA" w:rsidP="00F463EF">
            <w:pPr>
              <w:jc w:val="right"/>
              <w:rPr>
                <w:sz w:val="22"/>
                <w:szCs w:val="22"/>
              </w:rPr>
            </w:pPr>
            <w:r>
              <w:rPr>
                <w:sz w:val="22"/>
                <w:szCs w:val="22"/>
              </w:rPr>
              <w:t>(</w:t>
            </w:r>
            <w:r w:rsidR="006850EC">
              <w:rPr>
                <w:sz w:val="22"/>
                <w:szCs w:val="22"/>
              </w:rPr>
              <w:t>509</w:t>
            </w:r>
            <w:r>
              <w:rPr>
                <w:sz w:val="22"/>
                <w:szCs w:val="22"/>
              </w:rPr>
              <w:t>)</w:t>
            </w:r>
          </w:p>
        </w:tc>
        <w:tc>
          <w:tcPr>
            <w:tcW w:w="1421" w:type="dxa"/>
            <w:tcBorders>
              <w:top w:val="nil"/>
              <w:left w:val="nil"/>
              <w:bottom w:val="single" w:sz="4" w:space="0" w:color="auto"/>
              <w:right w:val="nil"/>
            </w:tcBorders>
            <w:shd w:val="clear" w:color="auto" w:fill="auto"/>
            <w:noWrap/>
            <w:vAlign w:val="center"/>
          </w:tcPr>
          <w:p w14:paraId="2676F576" w14:textId="7E1C7146" w:rsidR="00F463EF" w:rsidRPr="00EB683D" w:rsidRDefault="00572CDA" w:rsidP="00F463EF">
            <w:pPr>
              <w:jc w:val="right"/>
              <w:rPr>
                <w:sz w:val="22"/>
                <w:szCs w:val="22"/>
              </w:rPr>
            </w:pPr>
            <w:r>
              <w:rPr>
                <w:sz w:val="22"/>
                <w:szCs w:val="22"/>
              </w:rPr>
              <w:t>(</w:t>
            </w:r>
            <w:r w:rsidR="006850EC">
              <w:rPr>
                <w:sz w:val="22"/>
                <w:szCs w:val="22"/>
              </w:rPr>
              <w:t>14</w:t>
            </w:r>
            <w:r>
              <w:rPr>
                <w:sz w:val="22"/>
                <w:szCs w:val="22"/>
              </w:rPr>
              <w:t>)</w:t>
            </w:r>
          </w:p>
        </w:tc>
        <w:tc>
          <w:tcPr>
            <w:tcW w:w="1105" w:type="dxa"/>
            <w:tcBorders>
              <w:top w:val="nil"/>
              <w:left w:val="nil"/>
              <w:bottom w:val="single" w:sz="4" w:space="0" w:color="auto"/>
              <w:right w:val="nil"/>
            </w:tcBorders>
            <w:shd w:val="clear" w:color="auto" w:fill="auto"/>
            <w:noWrap/>
            <w:vAlign w:val="center"/>
          </w:tcPr>
          <w:p w14:paraId="4CD0EC48" w14:textId="4F7FEEE6" w:rsidR="00F463EF" w:rsidRPr="00EB683D" w:rsidRDefault="00572CDA" w:rsidP="00F463EF">
            <w:pPr>
              <w:jc w:val="right"/>
              <w:rPr>
                <w:sz w:val="22"/>
                <w:szCs w:val="22"/>
              </w:rPr>
            </w:pPr>
            <w:r>
              <w:rPr>
                <w:sz w:val="22"/>
                <w:szCs w:val="22"/>
              </w:rPr>
              <w:t>(</w:t>
            </w:r>
            <w:r w:rsidR="006850EC">
              <w:rPr>
                <w:sz w:val="22"/>
                <w:szCs w:val="22"/>
              </w:rPr>
              <w:t>523</w:t>
            </w:r>
            <w:r>
              <w:rPr>
                <w:sz w:val="22"/>
                <w:szCs w:val="22"/>
              </w:rPr>
              <w:t>)</w:t>
            </w:r>
          </w:p>
        </w:tc>
        <w:tc>
          <w:tcPr>
            <w:tcW w:w="1263" w:type="dxa"/>
            <w:tcBorders>
              <w:top w:val="nil"/>
              <w:left w:val="nil"/>
              <w:bottom w:val="single" w:sz="4" w:space="0" w:color="auto"/>
              <w:right w:val="nil"/>
            </w:tcBorders>
            <w:shd w:val="clear" w:color="auto" w:fill="auto"/>
            <w:noWrap/>
            <w:vAlign w:val="center"/>
          </w:tcPr>
          <w:p w14:paraId="06056578" w14:textId="6B609724" w:rsidR="00F463EF" w:rsidRPr="00ED6E17" w:rsidRDefault="00F463EF" w:rsidP="00F463EF">
            <w:pPr>
              <w:jc w:val="right"/>
              <w:rPr>
                <w:sz w:val="22"/>
                <w:szCs w:val="22"/>
              </w:rPr>
            </w:pPr>
            <w:r>
              <w:rPr>
                <w:sz w:val="22"/>
                <w:szCs w:val="22"/>
              </w:rPr>
              <w:t>(597)</w:t>
            </w:r>
          </w:p>
        </w:tc>
      </w:tr>
      <w:tr w:rsidR="00F463EF" w:rsidRPr="000575FE" w14:paraId="61D63CED" w14:textId="77777777" w:rsidTr="006B6376">
        <w:trPr>
          <w:trHeight w:val="284"/>
        </w:trPr>
        <w:tc>
          <w:tcPr>
            <w:tcW w:w="4068" w:type="dxa"/>
            <w:tcBorders>
              <w:top w:val="nil"/>
              <w:left w:val="nil"/>
              <w:bottom w:val="nil"/>
              <w:right w:val="nil"/>
            </w:tcBorders>
            <w:shd w:val="clear" w:color="auto" w:fill="auto"/>
            <w:noWrap/>
            <w:vAlign w:val="center"/>
          </w:tcPr>
          <w:p w14:paraId="1441611C" w14:textId="77777777" w:rsidR="00F463EF" w:rsidRPr="000575FE" w:rsidRDefault="00F463EF" w:rsidP="00F463EF">
            <w:pPr>
              <w:rPr>
                <w:b/>
                <w:bCs/>
                <w:sz w:val="22"/>
                <w:szCs w:val="22"/>
              </w:rPr>
            </w:pPr>
          </w:p>
        </w:tc>
        <w:tc>
          <w:tcPr>
            <w:tcW w:w="1105" w:type="dxa"/>
            <w:tcBorders>
              <w:top w:val="nil"/>
              <w:left w:val="nil"/>
              <w:bottom w:val="nil"/>
              <w:right w:val="nil"/>
            </w:tcBorders>
            <w:vAlign w:val="center"/>
          </w:tcPr>
          <w:p w14:paraId="2B373262" w14:textId="77777777" w:rsidR="00F463EF" w:rsidRPr="00EB683D" w:rsidRDefault="00F463EF" w:rsidP="00F463EF">
            <w:pPr>
              <w:jc w:val="right"/>
              <w:rPr>
                <w:b/>
                <w:sz w:val="22"/>
                <w:szCs w:val="22"/>
              </w:rPr>
            </w:pPr>
          </w:p>
        </w:tc>
        <w:tc>
          <w:tcPr>
            <w:tcW w:w="1421" w:type="dxa"/>
            <w:tcBorders>
              <w:top w:val="nil"/>
              <w:left w:val="nil"/>
              <w:bottom w:val="nil"/>
              <w:right w:val="nil"/>
            </w:tcBorders>
            <w:shd w:val="clear" w:color="auto" w:fill="auto"/>
            <w:noWrap/>
            <w:vAlign w:val="center"/>
          </w:tcPr>
          <w:p w14:paraId="7F94B0D1" w14:textId="77777777" w:rsidR="00F463EF" w:rsidRPr="00EB683D" w:rsidRDefault="00F463EF" w:rsidP="00F463EF">
            <w:pPr>
              <w:jc w:val="right"/>
              <w:rPr>
                <w:b/>
                <w:sz w:val="22"/>
                <w:szCs w:val="22"/>
              </w:rPr>
            </w:pPr>
          </w:p>
        </w:tc>
        <w:tc>
          <w:tcPr>
            <w:tcW w:w="1105" w:type="dxa"/>
            <w:tcBorders>
              <w:top w:val="nil"/>
              <w:left w:val="nil"/>
              <w:bottom w:val="nil"/>
              <w:right w:val="nil"/>
            </w:tcBorders>
            <w:shd w:val="clear" w:color="auto" w:fill="auto"/>
            <w:noWrap/>
            <w:vAlign w:val="center"/>
          </w:tcPr>
          <w:p w14:paraId="4CBE637F" w14:textId="77777777" w:rsidR="00F463EF" w:rsidRPr="00EB683D" w:rsidRDefault="00F463EF" w:rsidP="00F463EF">
            <w:pPr>
              <w:jc w:val="right"/>
              <w:rPr>
                <w:b/>
                <w:sz w:val="22"/>
                <w:szCs w:val="22"/>
              </w:rPr>
            </w:pPr>
          </w:p>
        </w:tc>
        <w:tc>
          <w:tcPr>
            <w:tcW w:w="1263" w:type="dxa"/>
            <w:tcBorders>
              <w:top w:val="nil"/>
              <w:left w:val="nil"/>
              <w:bottom w:val="nil"/>
              <w:right w:val="nil"/>
            </w:tcBorders>
            <w:shd w:val="clear" w:color="auto" w:fill="auto"/>
            <w:noWrap/>
            <w:vAlign w:val="center"/>
          </w:tcPr>
          <w:p w14:paraId="3EFBED95" w14:textId="77777777" w:rsidR="00F463EF" w:rsidRPr="00ED6E17" w:rsidRDefault="00F463EF" w:rsidP="00F463EF">
            <w:pPr>
              <w:jc w:val="right"/>
              <w:rPr>
                <w:b/>
                <w:sz w:val="22"/>
                <w:szCs w:val="22"/>
              </w:rPr>
            </w:pPr>
          </w:p>
        </w:tc>
      </w:tr>
      <w:tr w:rsidR="00F463EF" w:rsidRPr="000575FE" w14:paraId="74232B9F" w14:textId="77777777" w:rsidTr="006B6376">
        <w:trPr>
          <w:trHeight w:val="284"/>
        </w:trPr>
        <w:tc>
          <w:tcPr>
            <w:tcW w:w="4068" w:type="dxa"/>
            <w:tcBorders>
              <w:top w:val="nil"/>
              <w:left w:val="nil"/>
              <w:bottom w:val="nil"/>
              <w:right w:val="nil"/>
            </w:tcBorders>
            <w:shd w:val="clear" w:color="auto" w:fill="auto"/>
            <w:noWrap/>
            <w:vAlign w:val="center"/>
            <w:hideMark/>
          </w:tcPr>
          <w:p w14:paraId="72EC3B18" w14:textId="77777777" w:rsidR="00F463EF" w:rsidRPr="000575FE" w:rsidRDefault="00F463EF" w:rsidP="00F463EF">
            <w:pPr>
              <w:rPr>
                <w:bCs/>
                <w:sz w:val="22"/>
                <w:szCs w:val="22"/>
              </w:rPr>
            </w:pPr>
            <w:r w:rsidRPr="000575FE">
              <w:rPr>
                <w:b/>
                <w:bCs/>
                <w:sz w:val="22"/>
                <w:szCs w:val="22"/>
              </w:rPr>
              <w:t>Net income from rents and service charges</w:t>
            </w:r>
          </w:p>
        </w:tc>
        <w:tc>
          <w:tcPr>
            <w:tcW w:w="1105" w:type="dxa"/>
            <w:tcBorders>
              <w:top w:val="nil"/>
              <w:left w:val="nil"/>
              <w:bottom w:val="nil"/>
              <w:right w:val="nil"/>
            </w:tcBorders>
            <w:vAlign w:val="center"/>
          </w:tcPr>
          <w:p w14:paraId="6BA3F03E" w14:textId="23072B90" w:rsidR="00F463EF" w:rsidRPr="00EB683D" w:rsidRDefault="00572CDA" w:rsidP="00F463EF">
            <w:pPr>
              <w:jc w:val="right"/>
              <w:rPr>
                <w:b/>
                <w:sz w:val="22"/>
                <w:szCs w:val="22"/>
              </w:rPr>
            </w:pPr>
            <w:r>
              <w:rPr>
                <w:b/>
                <w:sz w:val="22"/>
                <w:szCs w:val="22"/>
              </w:rPr>
              <w:t>46,381</w:t>
            </w:r>
          </w:p>
        </w:tc>
        <w:tc>
          <w:tcPr>
            <w:tcW w:w="1421" w:type="dxa"/>
            <w:tcBorders>
              <w:top w:val="nil"/>
              <w:left w:val="nil"/>
              <w:bottom w:val="nil"/>
              <w:right w:val="nil"/>
            </w:tcBorders>
            <w:shd w:val="clear" w:color="auto" w:fill="auto"/>
            <w:noWrap/>
            <w:vAlign w:val="center"/>
          </w:tcPr>
          <w:p w14:paraId="0B44635A" w14:textId="4E544887" w:rsidR="00F463EF" w:rsidRPr="00EB683D" w:rsidRDefault="00572CDA" w:rsidP="00F463EF">
            <w:pPr>
              <w:jc w:val="right"/>
              <w:rPr>
                <w:b/>
                <w:sz w:val="22"/>
                <w:szCs w:val="22"/>
              </w:rPr>
            </w:pPr>
            <w:r>
              <w:rPr>
                <w:b/>
                <w:sz w:val="22"/>
                <w:szCs w:val="22"/>
              </w:rPr>
              <w:t>1,261</w:t>
            </w:r>
          </w:p>
        </w:tc>
        <w:tc>
          <w:tcPr>
            <w:tcW w:w="1105" w:type="dxa"/>
            <w:tcBorders>
              <w:top w:val="nil"/>
              <w:left w:val="nil"/>
              <w:bottom w:val="nil"/>
              <w:right w:val="nil"/>
            </w:tcBorders>
            <w:shd w:val="clear" w:color="auto" w:fill="auto"/>
            <w:noWrap/>
            <w:vAlign w:val="center"/>
          </w:tcPr>
          <w:p w14:paraId="0A2C0CE6" w14:textId="5038A14F" w:rsidR="00F463EF" w:rsidRPr="00EB683D" w:rsidRDefault="00572CDA" w:rsidP="00F463EF">
            <w:pPr>
              <w:jc w:val="right"/>
              <w:rPr>
                <w:b/>
                <w:sz w:val="22"/>
                <w:szCs w:val="22"/>
              </w:rPr>
            </w:pPr>
            <w:r>
              <w:rPr>
                <w:b/>
                <w:sz w:val="22"/>
                <w:szCs w:val="22"/>
              </w:rPr>
              <w:t>47,642</w:t>
            </w:r>
          </w:p>
        </w:tc>
        <w:tc>
          <w:tcPr>
            <w:tcW w:w="1263" w:type="dxa"/>
            <w:tcBorders>
              <w:top w:val="nil"/>
              <w:left w:val="nil"/>
              <w:bottom w:val="nil"/>
              <w:right w:val="nil"/>
            </w:tcBorders>
            <w:shd w:val="clear" w:color="auto" w:fill="auto"/>
            <w:noWrap/>
            <w:vAlign w:val="center"/>
          </w:tcPr>
          <w:p w14:paraId="56F79BDC" w14:textId="6E223502" w:rsidR="00F463EF" w:rsidRPr="00ED6E17" w:rsidRDefault="00F463EF" w:rsidP="00F463EF">
            <w:pPr>
              <w:jc w:val="right"/>
              <w:rPr>
                <w:b/>
                <w:sz w:val="22"/>
                <w:szCs w:val="22"/>
              </w:rPr>
            </w:pPr>
            <w:r>
              <w:rPr>
                <w:b/>
                <w:sz w:val="22"/>
                <w:szCs w:val="22"/>
              </w:rPr>
              <w:t>46,022</w:t>
            </w:r>
          </w:p>
        </w:tc>
      </w:tr>
      <w:tr w:rsidR="00F463EF" w:rsidRPr="000575FE" w14:paraId="20B53F3C" w14:textId="77777777" w:rsidTr="006B6376">
        <w:trPr>
          <w:trHeight w:val="284"/>
        </w:trPr>
        <w:tc>
          <w:tcPr>
            <w:tcW w:w="4068" w:type="dxa"/>
            <w:tcBorders>
              <w:top w:val="nil"/>
              <w:left w:val="nil"/>
              <w:bottom w:val="nil"/>
              <w:right w:val="nil"/>
            </w:tcBorders>
            <w:shd w:val="clear" w:color="auto" w:fill="auto"/>
            <w:noWrap/>
            <w:vAlign w:val="center"/>
            <w:hideMark/>
          </w:tcPr>
          <w:p w14:paraId="044D77C3" w14:textId="77777777" w:rsidR="00F463EF" w:rsidRPr="000575FE" w:rsidRDefault="00F463EF" w:rsidP="00F463EF">
            <w:pPr>
              <w:rPr>
                <w:sz w:val="22"/>
                <w:szCs w:val="22"/>
              </w:rPr>
            </w:pPr>
            <w:r w:rsidRPr="000575FE">
              <w:rPr>
                <w:sz w:val="22"/>
                <w:szCs w:val="22"/>
              </w:rPr>
              <w:t>Grants released from deferred income</w:t>
            </w:r>
          </w:p>
        </w:tc>
        <w:tc>
          <w:tcPr>
            <w:tcW w:w="1105" w:type="dxa"/>
            <w:tcBorders>
              <w:top w:val="nil"/>
              <w:left w:val="nil"/>
              <w:right w:val="nil"/>
            </w:tcBorders>
            <w:vAlign w:val="center"/>
          </w:tcPr>
          <w:p w14:paraId="2AF83734" w14:textId="0C1583FD" w:rsidR="00F463EF" w:rsidRPr="00EB683D" w:rsidRDefault="00572CDA" w:rsidP="00F463EF">
            <w:pPr>
              <w:jc w:val="right"/>
              <w:rPr>
                <w:sz w:val="22"/>
                <w:szCs w:val="22"/>
              </w:rPr>
            </w:pPr>
            <w:r>
              <w:rPr>
                <w:sz w:val="22"/>
                <w:szCs w:val="22"/>
              </w:rPr>
              <w:t>5,470</w:t>
            </w:r>
          </w:p>
        </w:tc>
        <w:tc>
          <w:tcPr>
            <w:tcW w:w="1421" w:type="dxa"/>
            <w:tcBorders>
              <w:top w:val="nil"/>
              <w:left w:val="nil"/>
              <w:right w:val="nil"/>
            </w:tcBorders>
            <w:shd w:val="clear" w:color="auto" w:fill="auto"/>
            <w:noWrap/>
            <w:vAlign w:val="center"/>
          </w:tcPr>
          <w:p w14:paraId="0F6A84AF" w14:textId="46883FB9" w:rsidR="00F463EF" w:rsidRPr="00EB683D" w:rsidRDefault="00572CDA" w:rsidP="00F463EF">
            <w:pPr>
              <w:jc w:val="right"/>
              <w:rPr>
                <w:sz w:val="22"/>
                <w:szCs w:val="22"/>
              </w:rPr>
            </w:pPr>
            <w:r>
              <w:rPr>
                <w:sz w:val="22"/>
                <w:szCs w:val="22"/>
              </w:rPr>
              <w:t>149</w:t>
            </w:r>
          </w:p>
        </w:tc>
        <w:tc>
          <w:tcPr>
            <w:tcW w:w="1105" w:type="dxa"/>
            <w:tcBorders>
              <w:top w:val="nil"/>
              <w:left w:val="nil"/>
              <w:right w:val="nil"/>
            </w:tcBorders>
            <w:shd w:val="clear" w:color="auto" w:fill="auto"/>
            <w:noWrap/>
            <w:vAlign w:val="center"/>
          </w:tcPr>
          <w:p w14:paraId="7AB2B32A" w14:textId="24E2DD80" w:rsidR="00F463EF" w:rsidRPr="00EB683D" w:rsidRDefault="00B47FD8" w:rsidP="00F463EF">
            <w:pPr>
              <w:jc w:val="right"/>
              <w:rPr>
                <w:sz w:val="22"/>
                <w:szCs w:val="22"/>
              </w:rPr>
            </w:pPr>
            <w:r>
              <w:rPr>
                <w:sz w:val="22"/>
                <w:szCs w:val="22"/>
              </w:rPr>
              <w:t>5,619</w:t>
            </w:r>
          </w:p>
        </w:tc>
        <w:tc>
          <w:tcPr>
            <w:tcW w:w="1263" w:type="dxa"/>
            <w:tcBorders>
              <w:top w:val="nil"/>
              <w:left w:val="nil"/>
              <w:right w:val="nil"/>
            </w:tcBorders>
            <w:shd w:val="clear" w:color="auto" w:fill="auto"/>
            <w:noWrap/>
            <w:vAlign w:val="center"/>
          </w:tcPr>
          <w:p w14:paraId="3490590E" w14:textId="2BB74751" w:rsidR="00F463EF" w:rsidRPr="00ED6E17" w:rsidRDefault="00F463EF" w:rsidP="00F463EF">
            <w:pPr>
              <w:jc w:val="right"/>
              <w:rPr>
                <w:sz w:val="22"/>
                <w:szCs w:val="22"/>
              </w:rPr>
            </w:pPr>
            <w:r>
              <w:rPr>
                <w:sz w:val="22"/>
                <w:szCs w:val="22"/>
              </w:rPr>
              <w:t>3,624</w:t>
            </w:r>
          </w:p>
        </w:tc>
      </w:tr>
      <w:tr w:rsidR="00F463EF" w:rsidRPr="000575FE" w14:paraId="50B02587" w14:textId="77777777" w:rsidTr="006B6376">
        <w:trPr>
          <w:trHeight w:val="284"/>
        </w:trPr>
        <w:tc>
          <w:tcPr>
            <w:tcW w:w="4068" w:type="dxa"/>
            <w:tcBorders>
              <w:top w:val="nil"/>
              <w:left w:val="nil"/>
              <w:bottom w:val="nil"/>
              <w:right w:val="nil"/>
            </w:tcBorders>
            <w:shd w:val="clear" w:color="auto" w:fill="auto"/>
            <w:noWrap/>
            <w:vAlign w:val="center"/>
          </w:tcPr>
          <w:p w14:paraId="6447AFC5" w14:textId="3F2821D4" w:rsidR="00F463EF" w:rsidRPr="000575FE" w:rsidRDefault="007102E4" w:rsidP="00F463EF">
            <w:pPr>
              <w:rPr>
                <w:sz w:val="22"/>
                <w:szCs w:val="22"/>
              </w:rPr>
            </w:pPr>
            <w:r>
              <w:rPr>
                <w:sz w:val="22"/>
                <w:szCs w:val="22"/>
              </w:rPr>
              <w:t xml:space="preserve">Other </w:t>
            </w:r>
            <w:r w:rsidR="00F463EF">
              <w:rPr>
                <w:sz w:val="22"/>
                <w:szCs w:val="22"/>
              </w:rPr>
              <w:t xml:space="preserve">Revenue </w:t>
            </w:r>
            <w:r>
              <w:rPr>
                <w:sz w:val="22"/>
                <w:szCs w:val="22"/>
              </w:rPr>
              <w:t>G</w:t>
            </w:r>
            <w:r w:rsidR="00F463EF">
              <w:rPr>
                <w:sz w:val="22"/>
                <w:szCs w:val="22"/>
              </w:rPr>
              <w:t xml:space="preserve">rants </w:t>
            </w:r>
          </w:p>
        </w:tc>
        <w:tc>
          <w:tcPr>
            <w:tcW w:w="1105" w:type="dxa"/>
            <w:tcBorders>
              <w:top w:val="nil"/>
              <w:left w:val="nil"/>
              <w:right w:val="nil"/>
            </w:tcBorders>
            <w:vAlign w:val="center"/>
          </w:tcPr>
          <w:p w14:paraId="2D2F03A4" w14:textId="5F703EB2" w:rsidR="00F463EF" w:rsidRPr="00EB683D" w:rsidRDefault="00B47FD8" w:rsidP="00F463EF">
            <w:pPr>
              <w:jc w:val="right"/>
              <w:rPr>
                <w:sz w:val="22"/>
                <w:szCs w:val="22"/>
              </w:rPr>
            </w:pPr>
            <w:r>
              <w:rPr>
                <w:sz w:val="22"/>
                <w:szCs w:val="22"/>
              </w:rPr>
              <w:t>6,</w:t>
            </w:r>
            <w:r w:rsidR="00960751">
              <w:rPr>
                <w:sz w:val="22"/>
                <w:szCs w:val="22"/>
              </w:rPr>
              <w:t>25</w:t>
            </w:r>
            <w:r w:rsidR="00033D19">
              <w:rPr>
                <w:sz w:val="22"/>
                <w:szCs w:val="22"/>
              </w:rPr>
              <w:t>7</w:t>
            </w:r>
          </w:p>
        </w:tc>
        <w:tc>
          <w:tcPr>
            <w:tcW w:w="1421" w:type="dxa"/>
            <w:tcBorders>
              <w:top w:val="nil"/>
              <w:left w:val="nil"/>
              <w:right w:val="nil"/>
            </w:tcBorders>
            <w:shd w:val="clear" w:color="auto" w:fill="auto"/>
            <w:noWrap/>
            <w:vAlign w:val="center"/>
          </w:tcPr>
          <w:p w14:paraId="7FAB73B4" w14:textId="180EEA51" w:rsidR="00F463EF" w:rsidRPr="00EB683D" w:rsidRDefault="00960751" w:rsidP="00F463EF">
            <w:pPr>
              <w:jc w:val="right"/>
              <w:rPr>
                <w:sz w:val="22"/>
                <w:szCs w:val="22"/>
              </w:rPr>
            </w:pPr>
            <w:r>
              <w:rPr>
                <w:sz w:val="22"/>
                <w:szCs w:val="22"/>
              </w:rPr>
              <w:t>170</w:t>
            </w:r>
          </w:p>
        </w:tc>
        <w:tc>
          <w:tcPr>
            <w:tcW w:w="1105" w:type="dxa"/>
            <w:tcBorders>
              <w:top w:val="nil"/>
              <w:left w:val="nil"/>
              <w:right w:val="nil"/>
            </w:tcBorders>
            <w:shd w:val="clear" w:color="auto" w:fill="auto"/>
            <w:noWrap/>
            <w:vAlign w:val="center"/>
          </w:tcPr>
          <w:p w14:paraId="07C14659" w14:textId="07822663" w:rsidR="00F463EF" w:rsidRPr="00EB683D" w:rsidRDefault="00960751" w:rsidP="00F463EF">
            <w:pPr>
              <w:jc w:val="right"/>
              <w:rPr>
                <w:sz w:val="22"/>
                <w:szCs w:val="22"/>
              </w:rPr>
            </w:pPr>
            <w:r>
              <w:rPr>
                <w:sz w:val="22"/>
                <w:szCs w:val="22"/>
              </w:rPr>
              <w:t>6,42</w:t>
            </w:r>
            <w:r w:rsidR="00033D19">
              <w:rPr>
                <w:sz w:val="22"/>
                <w:szCs w:val="22"/>
              </w:rPr>
              <w:t>7</w:t>
            </w:r>
          </w:p>
        </w:tc>
        <w:tc>
          <w:tcPr>
            <w:tcW w:w="1263" w:type="dxa"/>
            <w:tcBorders>
              <w:top w:val="nil"/>
              <w:left w:val="nil"/>
              <w:right w:val="nil"/>
            </w:tcBorders>
            <w:shd w:val="clear" w:color="auto" w:fill="auto"/>
            <w:noWrap/>
            <w:vAlign w:val="center"/>
          </w:tcPr>
          <w:p w14:paraId="1CB46C6C" w14:textId="3F7E7EC1" w:rsidR="00F463EF" w:rsidRPr="00ED6E17" w:rsidRDefault="00F463EF" w:rsidP="00F463EF">
            <w:pPr>
              <w:jc w:val="right"/>
              <w:rPr>
                <w:sz w:val="22"/>
                <w:szCs w:val="22"/>
              </w:rPr>
            </w:pPr>
            <w:r>
              <w:rPr>
                <w:sz w:val="22"/>
                <w:szCs w:val="22"/>
              </w:rPr>
              <w:t>3,346</w:t>
            </w:r>
          </w:p>
        </w:tc>
      </w:tr>
      <w:tr w:rsidR="00F463EF" w:rsidRPr="000575FE" w14:paraId="05610C58" w14:textId="77777777" w:rsidTr="006B6376">
        <w:trPr>
          <w:trHeight w:val="284"/>
        </w:trPr>
        <w:tc>
          <w:tcPr>
            <w:tcW w:w="4068" w:type="dxa"/>
            <w:tcBorders>
              <w:top w:val="nil"/>
              <w:left w:val="nil"/>
              <w:bottom w:val="nil"/>
              <w:right w:val="nil"/>
            </w:tcBorders>
            <w:shd w:val="clear" w:color="auto" w:fill="auto"/>
            <w:noWrap/>
            <w:vAlign w:val="center"/>
          </w:tcPr>
          <w:p w14:paraId="1549BE62" w14:textId="77777777" w:rsidR="00F463EF" w:rsidRPr="000575FE" w:rsidRDefault="00F463EF" w:rsidP="00F463EF">
            <w:pPr>
              <w:rPr>
                <w:b/>
                <w:bCs/>
                <w:sz w:val="22"/>
                <w:szCs w:val="22"/>
              </w:rPr>
            </w:pPr>
          </w:p>
        </w:tc>
        <w:tc>
          <w:tcPr>
            <w:tcW w:w="1105" w:type="dxa"/>
            <w:tcBorders>
              <w:left w:val="nil"/>
              <w:bottom w:val="single" w:sz="4" w:space="0" w:color="auto"/>
              <w:right w:val="nil"/>
            </w:tcBorders>
            <w:vAlign w:val="center"/>
          </w:tcPr>
          <w:p w14:paraId="49196302" w14:textId="77777777" w:rsidR="00F463EF" w:rsidRPr="00EB683D" w:rsidRDefault="00F463EF" w:rsidP="00F463EF">
            <w:pPr>
              <w:jc w:val="right"/>
              <w:rPr>
                <w:b/>
                <w:sz w:val="22"/>
                <w:szCs w:val="22"/>
              </w:rPr>
            </w:pPr>
          </w:p>
        </w:tc>
        <w:tc>
          <w:tcPr>
            <w:tcW w:w="1421" w:type="dxa"/>
            <w:tcBorders>
              <w:left w:val="nil"/>
              <w:bottom w:val="single" w:sz="4" w:space="0" w:color="auto"/>
              <w:right w:val="nil"/>
            </w:tcBorders>
            <w:shd w:val="clear" w:color="auto" w:fill="auto"/>
            <w:noWrap/>
            <w:vAlign w:val="center"/>
          </w:tcPr>
          <w:p w14:paraId="6DF82BE9" w14:textId="77777777" w:rsidR="00F463EF" w:rsidRPr="00EB683D" w:rsidRDefault="00F463EF" w:rsidP="00F463EF">
            <w:pPr>
              <w:jc w:val="right"/>
              <w:rPr>
                <w:b/>
                <w:sz w:val="22"/>
                <w:szCs w:val="22"/>
              </w:rPr>
            </w:pPr>
          </w:p>
        </w:tc>
        <w:tc>
          <w:tcPr>
            <w:tcW w:w="1105" w:type="dxa"/>
            <w:tcBorders>
              <w:left w:val="nil"/>
              <w:bottom w:val="single" w:sz="4" w:space="0" w:color="auto"/>
              <w:right w:val="nil"/>
            </w:tcBorders>
            <w:shd w:val="clear" w:color="auto" w:fill="auto"/>
            <w:noWrap/>
            <w:vAlign w:val="center"/>
          </w:tcPr>
          <w:p w14:paraId="3D5476B8" w14:textId="77777777" w:rsidR="00F463EF" w:rsidRPr="00EB683D" w:rsidRDefault="00F463EF" w:rsidP="00F463EF">
            <w:pPr>
              <w:jc w:val="right"/>
              <w:rPr>
                <w:b/>
                <w:sz w:val="22"/>
                <w:szCs w:val="22"/>
              </w:rPr>
            </w:pPr>
          </w:p>
        </w:tc>
        <w:tc>
          <w:tcPr>
            <w:tcW w:w="1263" w:type="dxa"/>
            <w:tcBorders>
              <w:left w:val="nil"/>
              <w:bottom w:val="single" w:sz="4" w:space="0" w:color="auto"/>
              <w:right w:val="nil"/>
            </w:tcBorders>
            <w:shd w:val="clear" w:color="auto" w:fill="auto"/>
            <w:noWrap/>
            <w:vAlign w:val="center"/>
          </w:tcPr>
          <w:p w14:paraId="6C5B4B34" w14:textId="77777777" w:rsidR="00F463EF" w:rsidRPr="00ED6E17" w:rsidRDefault="00F463EF" w:rsidP="00F463EF">
            <w:pPr>
              <w:jc w:val="right"/>
              <w:rPr>
                <w:b/>
                <w:sz w:val="22"/>
                <w:szCs w:val="22"/>
              </w:rPr>
            </w:pPr>
          </w:p>
        </w:tc>
      </w:tr>
      <w:tr w:rsidR="00F463EF" w:rsidRPr="00E803CA" w14:paraId="11A55E75" w14:textId="77777777" w:rsidTr="006B6376">
        <w:trPr>
          <w:trHeight w:val="284"/>
        </w:trPr>
        <w:tc>
          <w:tcPr>
            <w:tcW w:w="4068" w:type="dxa"/>
            <w:tcBorders>
              <w:top w:val="nil"/>
              <w:left w:val="nil"/>
              <w:bottom w:val="nil"/>
              <w:right w:val="nil"/>
            </w:tcBorders>
            <w:shd w:val="clear" w:color="auto" w:fill="auto"/>
            <w:noWrap/>
            <w:vAlign w:val="center"/>
            <w:hideMark/>
          </w:tcPr>
          <w:p w14:paraId="77234895" w14:textId="77777777" w:rsidR="00F463EF" w:rsidRPr="00E803CA" w:rsidRDefault="00F463EF" w:rsidP="00F463EF">
            <w:pPr>
              <w:rPr>
                <w:b/>
                <w:bCs/>
                <w:sz w:val="22"/>
                <w:szCs w:val="22"/>
              </w:rPr>
            </w:pPr>
            <w:r w:rsidRPr="00E803CA">
              <w:rPr>
                <w:b/>
                <w:bCs/>
                <w:sz w:val="22"/>
                <w:szCs w:val="22"/>
              </w:rPr>
              <w:t>Total turnover from affordable letting activities</w:t>
            </w:r>
          </w:p>
        </w:tc>
        <w:tc>
          <w:tcPr>
            <w:tcW w:w="1105" w:type="dxa"/>
            <w:tcBorders>
              <w:top w:val="single" w:sz="4" w:space="0" w:color="auto"/>
              <w:left w:val="nil"/>
              <w:bottom w:val="single" w:sz="4" w:space="0" w:color="auto"/>
              <w:right w:val="nil"/>
            </w:tcBorders>
            <w:vAlign w:val="center"/>
          </w:tcPr>
          <w:p w14:paraId="1FA47A4F" w14:textId="01FFC1A5" w:rsidR="00F463EF" w:rsidRPr="00E803CA" w:rsidRDefault="00B47FD8" w:rsidP="00F463EF">
            <w:pPr>
              <w:jc w:val="right"/>
              <w:rPr>
                <w:b/>
                <w:sz w:val="22"/>
                <w:szCs w:val="22"/>
              </w:rPr>
            </w:pPr>
            <w:r>
              <w:rPr>
                <w:b/>
                <w:sz w:val="22"/>
                <w:szCs w:val="22"/>
              </w:rPr>
              <w:t>58,</w:t>
            </w:r>
            <w:r w:rsidR="00960751">
              <w:rPr>
                <w:b/>
                <w:sz w:val="22"/>
                <w:szCs w:val="22"/>
              </w:rPr>
              <w:t>10</w:t>
            </w:r>
            <w:r w:rsidR="00033D19">
              <w:rPr>
                <w:b/>
                <w:sz w:val="22"/>
                <w:szCs w:val="22"/>
              </w:rPr>
              <w:t>8</w:t>
            </w:r>
          </w:p>
        </w:tc>
        <w:tc>
          <w:tcPr>
            <w:tcW w:w="1421" w:type="dxa"/>
            <w:tcBorders>
              <w:top w:val="single" w:sz="4" w:space="0" w:color="auto"/>
              <w:left w:val="nil"/>
              <w:bottom w:val="single" w:sz="4" w:space="0" w:color="auto"/>
              <w:right w:val="nil"/>
            </w:tcBorders>
            <w:shd w:val="clear" w:color="auto" w:fill="auto"/>
            <w:noWrap/>
            <w:vAlign w:val="center"/>
          </w:tcPr>
          <w:p w14:paraId="03F4FE0C" w14:textId="107CDF1A" w:rsidR="00F463EF" w:rsidRPr="00E803CA" w:rsidRDefault="00960751" w:rsidP="00F463EF">
            <w:pPr>
              <w:jc w:val="right"/>
              <w:rPr>
                <w:b/>
                <w:sz w:val="22"/>
                <w:szCs w:val="22"/>
              </w:rPr>
            </w:pPr>
            <w:r>
              <w:rPr>
                <w:b/>
                <w:sz w:val="22"/>
                <w:szCs w:val="22"/>
              </w:rPr>
              <w:t>1,580</w:t>
            </w:r>
          </w:p>
        </w:tc>
        <w:tc>
          <w:tcPr>
            <w:tcW w:w="1105" w:type="dxa"/>
            <w:tcBorders>
              <w:top w:val="single" w:sz="4" w:space="0" w:color="auto"/>
              <w:left w:val="nil"/>
              <w:bottom w:val="single" w:sz="4" w:space="0" w:color="auto"/>
              <w:right w:val="nil"/>
            </w:tcBorders>
            <w:shd w:val="clear" w:color="auto" w:fill="auto"/>
            <w:noWrap/>
            <w:vAlign w:val="center"/>
          </w:tcPr>
          <w:p w14:paraId="67EE6D38" w14:textId="67E9FFA6" w:rsidR="00F463EF" w:rsidRPr="00E803CA" w:rsidRDefault="00960751" w:rsidP="00F463EF">
            <w:pPr>
              <w:jc w:val="right"/>
              <w:rPr>
                <w:b/>
                <w:sz w:val="22"/>
                <w:szCs w:val="22"/>
              </w:rPr>
            </w:pPr>
            <w:r>
              <w:rPr>
                <w:b/>
                <w:sz w:val="22"/>
                <w:szCs w:val="22"/>
              </w:rPr>
              <w:t>59,68</w:t>
            </w:r>
            <w:r w:rsidR="00033D19">
              <w:rPr>
                <w:b/>
                <w:sz w:val="22"/>
                <w:szCs w:val="22"/>
              </w:rPr>
              <w:t>8</w:t>
            </w:r>
          </w:p>
        </w:tc>
        <w:tc>
          <w:tcPr>
            <w:tcW w:w="1263" w:type="dxa"/>
            <w:tcBorders>
              <w:top w:val="single" w:sz="4" w:space="0" w:color="auto"/>
              <w:left w:val="nil"/>
              <w:bottom w:val="single" w:sz="4" w:space="0" w:color="auto"/>
              <w:right w:val="nil"/>
            </w:tcBorders>
            <w:shd w:val="clear" w:color="auto" w:fill="auto"/>
            <w:noWrap/>
            <w:vAlign w:val="center"/>
          </w:tcPr>
          <w:p w14:paraId="40E0F860" w14:textId="4E7D71D8" w:rsidR="00F463EF" w:rsidRPr="00E803CA" w:rsidRDefault="00F463EF" w:rsidP="00F463EF">
            <w:pPr>
              <w:jc w:val="right"/>
              <w:rPr>
                <w:b/>
                <w:sz w:val="22"/>
                <w:szCs w:val="22"/>
              </w:rPr>
            </w:pPr>
            <w:r w:rsidRPr="00E803CA">
              <w:rPr>
                <w:b/>
                <w:sz w:val="22"/>
                <w:szCs w:val="22"/>
              </w:rPr>
              <w:t>52,992</w:t>
            </w:r>
          </w:p>
        </w:tc>
      </w:tr>
      <w:tr w:rsidR="00F463EF" w:rsidRPr="00E803CA" w14:paraId="0860D351" w14:textId="77777777" w:rsidTr="006B6376">
        <w:trPr>
          <w:trHeight w:val="284"/>
        </w:trPr>
        <w:tc>
          <w:tcPr>
            <w:tcW w:w="4068" w:type="dxa"/>
            <w:tcBorders>
              <w:top w:val="nil"/>
              <w:left w:val="nil"/>
              <w:bottom w:val="nil"/>
              <w:right w:val="nil"/>
            </w:tcBorders>
            <w:shd w:val="clear" w:color="auto" w:fill="auto"/>
            <w:noWrap/>
            <w:vAlign w:val="center"/>
            <w:hideMark/>
          </w:tcPr>
          <w:p w14:paraId="10257158" w14:textId="77777777" w:rsidR="00F463EF" w:rsidRPr="00E803CA" w:rsidRDefault="00F463EF" w:rsidP="00F463EF">
            <w:pPr>
              <w:rPr>
                <w:sz w:val="22"/>
                <w:szCs w:val="22"/>
              </w:rPr>
            </w:pPr>
          </w:p>
        </w:tc>
        <w:tc>
          <w:tcPr>
            <w:tcW w:w="1105" w:type="dxa"/>
            <w:tcBorders>
              <w:top w:val="single" w:sz="4" w:space="0" w:color="auto"/>
              <w:left w:val="nil"/>
              <w:bottom w:val="nil"/>
              <w:right w:val="nil"/>
            </w:tcBorders>
            <w:vAlign w:val="center"/>
          </w:tcPr>
          <w:p w14:paraId="0779F159" w14:textId="77777777" w:rsidR="00F463EF" w:rsidRPr="00E803CA" w:rsidRDefault="00F463EF" w:rsidP="00F463EF">
            <w:pPr>
              <w:jc w:val="right"/>
              <w:rPr>
                <w:sz w:val="22"/>
                <w:szCs w:val="22"/>
              </w:rPr>
            </w:pPr>
          </w:p>
        </w:tc>
        <w:tc>
          <w:tcPr>
            <w:tcW w:w="1421" w:type="dxa"/>
            <w:tcBorders>
              <w:top w:val="single" w:sz="4" w:space="0" w:color="auto"/>
              <w:left w:val="nil"/>
              <w:bottom w:val="nil"/>
              <w:right w:val="nil"/>
            </w:tcBorders>
            <w:shd w:val="clear" w:color="auto" w:fill="auto"/>
            <w:noWrap/>
            <w:vAlign w:val="center"/>
          </w:tcPr>
          <w:p w14:paraId="6C2C9588" w14:textId="77777777" w:rsidR="00F463EF" w:rsidRPr="00E803CA" w:rsidRDefault="00F463EF" w:rsidP="00F463EF">
            <w:pPr>
              <w:jc w:val="right"/>
              <w:rPr>
                <w:sz w:val="22"/>
                <w:szCs w:val="22"/>
              </w:rPr>
            </w:pPr>
          </w:p>
        </w:tc>
        <w:tc>
          <w:tcPr>
            <w:tcW w:w="1105" w:type="dxa"/>
            <w:tcBorders>
              <w:top w:val="single" w:sz="4" w:space="0" w:color="auto"/>
              <w:left w:val="nil"/>
              <w:bottom w:val="nil"/>
              <w:right w:val="nil"/>
            </w:tcBorders>
            <w:shd w:val="clear" w:color="auto" w:fill="auto"/>
            <w:noWrap/>
            <w:vAlign w:val="center"/>
          </w:tcPr>
          <w:p w14:paraId="6CF1C055" w14:textId="77777777" w:rsidR="00F463EF" w:rsidRPr="00E803CA" w:rsidRDefault="00F463EF" w:rsidP="00F463EF">
            <w:pPr>
              <w:jc w:val="right"/>
              <w:rPr>
                <w:sz w:val="22"/>
                <w:szCs w:val="22"/>
              </w:rPr>
            </w:pPr>
          </w:p>
        </w:tc>
        <w:tc>
          <w:tcPr>
            <w:tcW w:w="1263" w:type="dxa"/>
            <w:tcBorders>
              <w:top w:val="single" w:sz="4" w:space="0" w:color="auto"/>
              <w:left w:val="nil"/>
              <w:bottom w:val="nil"/>
              <w:right w:val="nil"/>
            </w:tcBorders>
            <w:shd w:val="clear" w:color="auto" w:fill="auto"/>
            <w:noWrap/>
            <w:vAlign w:val="center"/>
          </w:tcPr>
          <w:p w14:paraId="116C7212" w14:textId="77777777" w:rsidR="00F463EF" w:rsidRPr="00E803CA" w:rsidRDefault="00F463EF" w:rsidP="00F463EF">
            <w:pPr>
              <w:jc w:val="right"/>
              <w:rPr>
                <w:sz w:val="22"/>
                <w:szCs w:val="22"/>
              </w:rPr>
            </w:pPr>
          </w:p>
        </w:tc>
      </w:tr>
      <w:tr w:rsidR="00F463EF" w:rsidRPr="00E803CA" w14:paraId="76C9F217" w14:textId="77777777" w:rsidTr="00CB7336">
        <w:trPr>
          <w:trHeight w:val="80"/>
        </w:trPr>
        <w:tc>
          <w:tcPr>
            <w:tcW w:w="4068" w:type="dxa"/>
            <w:tcBorders>
              <w:top w:val="nil"/>
              <w:left w:val="nil"/>
              <w:bottom w:val="nil"/>
              <w:right w:val="nil"/>
            </w:tcBorders>
            <w:shd w:val="clear" w:color="auto" w:fill="auto"/>
            <w:noWrap/>
            <w:vAlign w:val="center"/>
          </w:tcPr>
          <w:p w14:paraId="05977570" w14:textId="77777777" w:rsidR="00F463EF" w:rsidRPr="00E803CA" w:rsidRDefault="00F463EF" w:rsidP="00F463EF">
            <w:pPr>
              <w:rPr>
                <w:sz w:val="22"/>
                <w:szCs w:val="22"/>
              </w:rPr>
            </w:pPr>
            <w:r w:rsidRPr="00E803CA">
              <w:rPr>
                <w:sz w:val="22"/>
                <w:szCs w:val="22"/>
              </w:rPr>
              <w:t>Management and maintenance administration costs</w:t>
            </w:r>
          </w:p>
        </w:tc>
        <w:tc>
          <w:tcPr>
            <w:tcW w:w="1105" w:type="dxa"/>
            <w:tcBorders>
              <w:top w:val="nil"/>
              <w:left w:val="nil"/>
              <w:bottom w:val="nil"/>
              <w:right w:val="nil"/>
            </w:tcBorders>
            <w:vAlign w:val="center"/>
          </w:tcPr>
          <w:p w14:paraId="1E810735" w14:textId="511BC9A9" w:rsidR="00F463EF" w:rsidRPr="00E803CA" w:rsidRDefault="00E73A98" w:rsidP="00F463EF">
            <w:pPr>
              <w:jc w:val="right"/>
              <w:rPr>
                <w:sz w:val="22"/>
                <w:szCs w:val="22"/>
              </w:rPr>
            </w:pPr>
            <w:r>
              <w:rPr>
                <w:sz w:val="22"/>
                <w:szCs w:val="22"/>
              </w:rPr>
              <w:t>(10,</w:t>
            </w:r>
            <w:r w:rsidR="00CD5EC6">
              <w:rPr>
                <w:sz w:val="22"/>
                <w:szCs w:val="22"/>
              </w:rPr>
              <w:t>8</w:t>
            </w:r>
            <w:r w:rsidR="00DD1934">
              <w:rPr>
                <w:sz w:val="22"/>
                <w:szCs w:val="22"/>
              </w:rPr>
              <w:t>14</w:t>
            </w:r>
            <w:r>
              <w:rPr>
                <w:sz w:val="22"/>
                <w:szCs w:val="22"/>
              </w:rPr>
              <w:t>)</w:t>
            </w:r>
          </w:p>
        </w:tc>
        <w:tc>
          <w:tcPr>
            <w:tcW w:w="1421" w:type="dxa"/>
            <w:tcBorders>
              <w:top w:val="nil"/>
              <w:left w:val="nil"/>
              <w:bottom w:val="nil"/>
              <w:right w:val="nil"/>
            </w:tcBorders>
            <w:shd w:val="clear" w:color="auto" w:fill="auto"/>
            <w:noWrap/>
            <w:vAlign w:val="center"/>
          </w:tcPr>
          <w:p w14:paraId="56FE3499" w14:textId="3A8FE8F7" w:rsidR="00F463EF" w:rsidRPr="00E803CA" w:rsidRDefault="00E73A98" w:rsidP="00F463EF">
            <w:pPr>
              <w:jc w:val="right"/>
              <w:rPr>
                <w:sz w:val="22"/>
                <w:szCs w:val="22"/>
              </w:rPr>
            </w:pPr>
            <w:r>
              <w:rPr>
                <w:sz w:val="22"/>
                <w:szCs w:val="22"/>
              </w:rPr>
              <w:t>(2</w:t>
            </w:r>
            <w:r w:rsidR="00CD5EC6">
              <w:rPr>
                <w:sz w:val="22"/>
                <w:szCs w:val="22"/>
              </w:rPr>
              <w:t>94</w:t>
            </w:r>
            <w:r>
              <w:rPr>
                <w:sz w:val="22"/>
                <w:szCs w:val="22"/>
              </w:rPr>
              <w:t>)</w:t>
            </w:r>
          </w:p>
        </w:tc>
        <w:tc>
          <w:tcPr>
            <w:tcW w:w="1105" w:type="dxa"/>
            <w:tcBorders>
              <w:top w:val="nil"/>
              <w:left w:val="nil"/>
              <w:bottom w:val="nil"/>
              <w:right w:val="nil"/>
            </w:tcBorders>
            <w:shd w:val="clear" w:color="auto" w:fill="auto"/>
            <w:noWrap/>
            <w:vAlign w:val="center"/>
          </w:tcPr>
          <w:p w14:paraId="100AF898" w14:textId="34B75C7D" w:rsidR="00F463EF" w:rsidRPr="00E803CA" w:rsidRDefault="00E73A98" w:rsidP="00F463EF">
            <w:pPr>
              <w:jc w:val="right"/>
              <w:rPr>
                <w:sz w:val="22"/>
                <w:szCs w:val="22"/>
              </w:rPr>
            </w:pPr>
            <w:r>
              <w:rPr>
                <w:sz w:val="22"/>
                <w:szCs w:val="22"/>
              </w:rPr>
              <w:t>(</w:t>
            </w:r>
            <w:r w:rsidR="00CD5EC6">
              <w:rPr>
                <w:sz w:val="22"/>
                <w:szCs w:val="22"/>
              </w:rPr>
              <w:t>11,10</w:t>
            </w:r>
            <w:r w:rsidR="00DD1934">
              <w:rPr>
                <w:sz w:val="22"/>
                <w:szCs w:val="22"/>
              </w:rPr>
              <w:t>8</w:t>
            </w:r>
            <w:r>
              <w:rPr>
                <w:sz w:val="22"/>
                <w:szCs w:val="22"/>
              </w:rPr>
              <w:t>)</w:t>
            </w:r>
          </w:p>
        </w:tc>
        <w:tc>
          <w:tcPr>
            <w:tcW w:w="1263" w:type="dxa"/>
            <w:tcBorders>
              <w:top w:val="nil"/>
              <w:left w:val="nil"/>
              <w:bottom w:val="nil"/>
              <w:right w:val="nil"/>
            </w:tcBorders>
            <w:shd w:val="clear" w:color="auto" w:fill="auto"/>
            <w:noWrap/>
            <w:vAlign w:val="center"/>
          </w:tcPr>
          <w:p w14:paraId="0FEF9F96" w14:textId="3EC34239" w:rsidR="00F463EF" w:rsidRPr="00E803CA" w:rsidRDefault="00F463EF" w:rsidP="00F463EF">
            <w:pPr>
              <w:jc w:val="right"/>
              <w:rPr>
                <w:sz w:val="22"/>
                <w:szCs w:val="22"/>
              </w:rPr>
            </w:pPr>
            <w:r w:rsidRPr="00E803CA">
              <w:rPr>
                <w:sz w:val="22"/>
                <w:szCs w:val="22"/>
              </w:rPr>
              <w:t>(10,802)</w:t>
            </w:r>
          </w:p>
        </w:tc>
      </w:tr>
      <w:tr w:rsidR="00F463EF" w:rsidRPr="00E803CA" w14:paraId="4C2EDE81" w14:textId="77777777" w:rsidTr="006B6376">
        <w:trPr>
          <w:trHeight w:val="284"/>
        </w:trPr>
        <w:tc>
          <w:tcPr>
            <w:tcW w:w="4068" w:type="dxa"/>
            <w:tcBorders>
              <w:top w:val="nil"/>
              <w:left w:val="nil"/>
              <w:bottom w:val="nil"/>
              <w:right w:val="nil"/>
            </w:tcBorders>
            <w:shd w:val="clear" w:color="auto" w:fill="auto"/>
            <w:noWrap/>
            <w:vAlign w:val="center"/>
            <w:hideMark/>
          </w:tcPr>
          <w:p w14:paraId="3C5949D4" w14:textId="77777777" w:rsidR="00F463EF" w:rsidRPr="00E803CA" w:rsidRDefault="00F463EF" w:rsidP="00F463EF">
            <w:pPr>
              <w:rPr>
                <w:sz w:val="22"/>
                <w:szCs w:val="22"/>
              </w:rPr>
            </w:pPr>
            <w:r w:rsidRPr="00E803CA">
              <w:rPr>
                <w:sz w:val="22"/>
                <w:szCs w:val="22"/>
              </w:rPr>
              <w:t>Service costs</w:t>
            </w:r>
          </w:p>
        </w:tc>
        <w:tc>
          <w:tcPr>
            <w:tcW w:w="1105" w:type="dxa"/>
            <w:tcBorders>
              <w:top w:val="nil"/>
              <w:left w:val="nil"/>
              <w:bottom w:val="nil"/>
              <w:right w:val="nil"/>
            </w:tcBorders>
            <w:vAlign w:val="center"/>
          </w:tcPr>
          <w:p w14:paraId="48720C07" w14:textId="59E074CB" w:rsidR="00F463EF" w:rsidRPr="00E803CA" w:rsidRDefault="00E73A98" w:rsidP="00F463EF">
            <w:pPr>
              <w:jc w:val="right"/>
              <w:rPr>
                <w:sz w:val="22"/>
                <w:szCs w:val="22"/>
              </w:rPr>
            </w:pPr>
            <w:r>
              <w:rPr>
                <w:sz w:val="22"/>
                <w:szCs w:val="22"/>
              </w:rPr>
              <w:t>(228)</w:t>
            </w:r>
          </w:p>
        </w:tc>
        <w:tc>
          <w:tcPr>
            <w:tcW w:w="1421" w:type="dxa"/>
            <w:tcBorders>
              <w:top w:val="nil"/>
              <w:left w:val="nil"/>
              <w:bottom w:val="nil"/>
              <w:right w:val="nil"/>
            </w:tcBorders>
            <w:shd w:val="clear" w:color="auto" w:fill="auto"/>
            <w:noWrap/>
            <w:vAlign w:val="center"/>
          </w:tcPr>
          <w:p w14:paraId="5A44435B" w14:textId="7F1FD1EA" w:rsidR="00F463EF" w:rsidRPr="00E803CA" w:rsidRDefault="00E73A98" w:rsidP="00F463EF">
            <w:pPr>
              <w:jc w:val="right"/>
              <w:rPr>
                <w:sz w:val="22"/>
                <w:szCs w:val="22"/>
              </w:rPr>
            </w:pPr>
            <w:r>
              <w:rPr>
                <w:sz w:val="22"/>
                <w:szCs w:val="22"/>
              </w:rPr>
              <w:t>(6)</w:t>
            </w:r>
          </w:p>
        </w:tc>
        <w:tc>
          <w:tcPr>
            <w:tcW w:w="1105" w:type="dxa"/>
            <w:tcBorders>
              <w:top w:val="nil"/>
              <w:left w:val="nil"/>
              <w:bottom w:val="nil"/>
              <w:right w:val="nil"/>
            </w:tcBorders>
            <w:shd w:val="clear" w:color="auto" w:fill="auto"/>
            <w:noWrap/>
            <w:vAlign w:val="center"/>
          </w:tcPr>
          <w:p w14:paraId="25206666" w14:textId="252CA631" w:rsidR="00F463EF" w:rsidRPr="00E803CA" w:rsidRDefault="00E73A98" w:rsidP="00F463EF">
            <w:pPr>
              <w:jc w:val="right"/>
              <w:rPr>
                <w:sz w:val="22"/>
                <w:szCs w:val="22"/>
              </w:rPr>
            </w:pPr>
            <w:r>
              <w:rPr>
                <w:sz w:val="22"/>
                <w:szCs w:val="22"/>
              </w:rPr>
              <w:t>(234)</w:t>
            </w:r>
          </w:p>
        </w:tc>
        <w:tc>
          <w:tcPr>
            <w:tcW w:w="1263" w:type="dxa"/>
            <w:tcBorders>
              <w:top w:val="nil"/>
              <w:left w:val="nil"/>
              <w:bottom w:val="nil"/>
              <w:right w:val="nil"/>
            </w:tcBorders>
            <w:shd w:val="clear" w:color="000000" w:fill="auto"/>
            <w:noWrap/>
            <w:vAlign w:val="center"/>
          </w:tcPr>
          <w:p w14:paraId="67052A26" w14:textId="4A666270" w:rsidR="00F463EF" w:rsidRPr="00E803CA" w:rsidRDefault="00F463EF" w:rsidP="00F463EF">
            <w:pPr>
              <w:jc w:val="right"/>
              <w:rPr>
                <w:sz w:val="22"/>
                <w:szCs w:val="22"/>
              </w:rPr>
            </w:pPr>
            <w:r w:rsidRPr="00E803CA">
              <w:rPr>
                <w:sz w:val="22"/>
                <w:szCs w:val="22"/>
              </w:rPr>
              <w:t>(141)</w:t>
            </w:r>
          </w:p>
        </w:tc>
      </w:tr>
      <w:tr w:rsidR="00F463EF" w:rsidRPr="00E803CA" w14:paraId="4386D283" w14:textId="77777777" w:rsidTr="006B6376">
        <w:trPr>
          <w:trHeight w:val="284"/>
        </w:trPr>
        <w:tc>
          <w:tcPr>
            <w:tcW w:w="4068" w:type="dxa"/>
            <w:tcBorders>
              <w:top w:val="nil"/>
              <w:left w:val="nil"/>
              <w:bottom w:val="nil"/>
              <w:right w:val="nil"/>
            </w:tcBorders>
            <w:shd w:val="clear" w:color="auto" w:fill="auto"/>
            <w:noWrap/>
            <w:vAlign w:val="center"/>
            <w:hideMark/>
          </w:tcPr>
          <w:p w14:paraId="3D1AC784" w14:textId="77777777" w:rsidR="00F463EF" w:rsidRPr="00E803CA" w:rsidRDefault="00F463EF" w:rsidP="00F463EF">
            <w:pPr>
              <w:rPr>
                <w:sz w:val="22"/>
                <w:szCs w:val="22"/>
              </w:rPr>
            </w:pPr>
            <w:r w:rsidRPr="00E803CA">
              <w:rPr>
                <w:sz w:val="22"/>
                <w:szCs w:val="22"/>
              </w:rPr>
              <w:t>Planned and cyclical maintenance including major repairs costs</w:t>
            </w:r>
          </w:p>
        </w:tc>
        <w:tc>
          <w:tcPr>
            <w:tcW w:w="1105" w:type="dxa"/>
            <w:tcBorders>
              <w:top w:val="nil"/>
              <w:left w:val="nil"/>
              <w:bottom w:val="nil"/>
              <w:right w:val="nil"/>
            </w:tcBorders>
            <w:vAlign w:val="center"/>
          </w:tcPr>
          <w:p w14:paraId="4764E5D3" w14:textId="4D57C100" w:rsidR="00F463EF" w:rsidRPr="00E803CA" w:rsidRDefault="00E73A98" w:rsidP="00F463EF">
            <w:pPr>
              <w:jc w:val="right"/>
              <w:rPr>
                <w:sz w:val="22"/>
                <w:szCs w:val="22"/>
              </w:rPr>
            </w:pPr>
            <w:r>
              <w:rPr>
                <w:sz w:val="22"/>
                <w:szCs w:val="22"/>
              </w:rPr>
              <w:t>(2,716)</w:t>
            </w:r>
          </w:p>
        </w:tc>
        <w:tc>
          <w:tcPr>
            <w:tcW w:w="1421" w:type="dxa"/>
            <w:tcBorders>
              <w:top w:val="nil"/>
              <w:left w:val="nil"/>
              <w:bottom w:val="nil"/>
              <w:right w:val="nil"/>
            </w:tcBorders>
            <w:shd w:val="clear" w:color="auto" w:fill="auto"/>
            <w:noWrap/>
            <w:vAlign w:val="center"/>
          </w:tcPr>
          <w:p w14:paraId="04D1A573" w14:textId="2AFB5EE8" w:rsidR="00F463EF" w:rsidRPr="00E803CA" w:rsidRDefault="00E73A98" w:rsidP="00F463EF">
            <w:pPr>
              <w:jc w:val="right"/>
              <w:rPr>
                <w:sz w:val="22"/>
                <w:szCs w:val="22"/>
              </w:rPr>
            </w:pPr>
            <w:r>
              <w:rPr>
                <w:sz w:val="22"/>
                <w:szCs w:val="22"/>
              </w:rPr>
              <w:t>(74)</w:t>
            </w:r>
          </w:p>
        </w:tc>
        <w:tc>
          <w:tcPr>
            <w:tcW w:w="1105" w:type="dxa"/>
            <w:tcBorders>
              <w:top w:val="nil"/>
              <w:left w:val="nil"/>
              <w:bottom w:val="nil"/>
              <w:right w:val="nil"/>
            </w:tcBorders>
            <w:shd w:val="clear" w:color="auto" w:fill="auto"/>
            <w:noWrap/>
            <w:vAlign w:val="center"/>
          </w:tcPr>
          <w:p w14:paraId="10BC50B6" w14:textId="4A8D1515" w:rsidR="00F463EF" w:rsidRPr="00E803CA" w:rsidRDefault="00E73A98" w:rsidP="00F463EF">
            <w:pPr>
              <w:jc w:val="right"/>
              <w:rPr>
                <w:sz w:val="22"/>
                <w:szCs w:val="22"/>
              </w:rPr>
            </w:pPr>
            <w:r>
              <w:rPr>
                <w:sz w:val="22"/>
                <w:szCs w:val="22"/>
              </w:rPr>
              <w:t>(2,790)</w:t>
            </w:r>
          </w:p>
        </w:tc>
        <w:tc>
          <w:tcPr>
            <w:tcW w:w="1263" w:type="dxa"/>
            <w:tcBorders>
              <w:top w:val="nil"/>
              <w:left w:val="nil"/>
              <w:bottom w:val="nil"/>
              <w:right w:val="nil"/>
            </w:tcBorders>
            <w:shd w:val="clear" w:color="000000" w:fill="auto"/>
            <w:noWrap/>
            <w:vAlign w:val="center"/>
          </w:tcPr>
          <w:p w14:paraId="23711030" w14:textId="7AD5EB64" w:rsidR="00F463EF" w:rsidRPr="00E803CA" w:rsidRDefault="00F463EF" w:rsidP="00F463EF">
            <w:pPr>
              <w:jc w:val="right"/>
              <w:rPr>
                <w:sz w:val="22"/>
                <w:szCs w:val="22"/>
              </w:rPr>
            </w:pPr>
            <w:r w:rsidRPr="00E803CA">
              <w:rPr>
                <w:sz w:val="22"/>
                <w:szCs w:val="22"/>
              </w:rPr>
              <w:t>(3,688)</w:t>
            </w:r>
          </w:p>
        </w:tc>
      </w:tr>
      <w:tr w:rsidR="00F463EF" w:rsidRPr="00E803CA" w14:paraId="55398968" w14:textId="77777777" w:rsidTr="006B6376">
        <w:trPr>
          <w:trHeight w:val="284"/>
        </w:trPr>
        <w:tc>
          <w:tcPr>
            <w:tcW w:w="4068" w:type="dxa"/>
            <w:tcBorders>
              <w:top w:val="nil"/>
              <w:left w:val="nil"/>
              <w:bottom w:val="nil"/>
              <w:right w:val="nil"/>
            </w:tcBorders>
            <w:shd w:val="clear" w:color="auto" w:fill="auto"/>
            <w:noWrap/>
            <w:vAlign w:val="center"/>
            <w:hideMark/>
          </w:tcPr>
          <w:p w14:paraId="2646B399" w14:textId="77777777" w:rsidR="00F463EF" w:rsidRPr="00E803CA" w:rsidRDefault="00F463EF" w:rsidP="00F463EF">
            <w:pPr>
              <w:rPr>
                <w:b/>
                <w:bCs/>
                <w:sz w:val="22"/>
                <w:szCs w:val="22"/>
              </w:rPr>
            </w:pPr>
            <w:r w:rsidRPr="00E803CA">
              <w:rPr>
                <w:sz w:val="22"/>
                <w:szCs w:val="22"/>
              </w:rPr>
              <w:t>Reactive maintenance costs</w:t>
            </w:r>
          </w:p>
        </w:tc>
        <w:tc>
          <w:tcPr>
            <w:tcW w:w="1105" w:type="dxa"/>
            <w:tcBorders>
              <w:top w:val="nil"/>
              <w:left w:val="nil"/>
              <w:bottom w:val="nil"/>
              <w:right w:val="nil"/>
            </w:tcBorders>
            <w:vAlign w:val="center"/>
          </w:tcPr>
          <w:p w14:paraId="0164BD6B" w14:textId="3FCD6A2B" w:rsidR="00F463EF" w:rsidRPr="00AA583E" w:rsidRDefault="00E73A98" w:rsidP="00F463EF">
            <w:pPr>
              <w:jc w:val="right"/>
              <w:rPr>
                <w:sz w:val="22"/>
                <w:szCs w:val="22"/>
              </w:rPr>
            </w:pPr>
            <w:r w:rsidRPr="00AA583E">
              <w:rPr>
                <w:sz w:val="22"/>
                <w:szCs w:val="22"/>
              </w:rPr>
              <w:t>(11,</w:t>
            </w:r>
            <w:r w:rsidR="00B32A99" w:rsidRPr="00AA583E">
              <w:rPr>
                <w:sz w:val="22"/>
                <w:szCs w:val="22"/>
              </w:rPr>
              <w:t>4</w:t>
            </w:r>
            <w:r w:rsidR="002E5CFB" w:rsidRPr="00AA583E">
              <w:rPr>
                <w:sz w:val="22"/>
                <w:szCs w:val="22"/>
              </w:rPr>
              <w:t>9</w:t>
            </w:r>
            <w:r w:rsidR="00B93116" w:rsidRPr="00AA583E">
              <w:rPr>
                <w:sz w:val="22"/>
                <w:szCs w:val="22"/>
              </w:rPr>
              <w:t>3</w:t>
            </w:r>
            <w:r w:rsidRPr="00AA583E">
              <w:rPr>
                <w:sz w:val="22"/>
                <w:szCs w:val="22"/>
              </w:rPr>
              <w:t>)</w:t>
            </w:r>
          </w:p>
        </w:tc>
        <w:tc>
          <w:tcPr>
            <w:tcW w:w="1421" w:type="dxa"/>
            <w:tcBorders>
              <w:top w:val="nil"/>
              <w:left w:val="nil"/>
              <w:bottom w:val="nil"/>
              <w:right w:val="nil"/>
            </w:tcBorders>
            <w:shd w:val="clear" w:color="auto" w:fill="auto"/>
            <w:noWrap/>
            <w:vAlign w:val="center"/>
          </w:tcPr>
          <w:p w14:paraId="10C35444" w14:textId="67297451" w:rsidR="00F463EF" w:rsidRPr="00AA583E" w:rsidRDefault="00E73A98" w:rsidP="00F463EF">
            <w:pPr>
              <w:jc w:val="right"/>
              <w:rPr>
                <w:sz w:val="22"/>
                <w:szCs w:val="22"/>
              </w:rPr>
            </w:pPr>
            <w:r w:rsidRPr="00AA583E">
              <w:rPr>
                <w:sz w:val="22"/>
                <w:szCs w:val="22"/>
              </w:rPr>
              <w:t>(3</w:t>
            </w:r>
            <w:r w:rsidR="00B32A99" w:rsidRPr="00AA583E">
              <w:rPr>
                <w:sz w:val="22"/>
                <w:szCs w:val="22"/>
              </w:rPr>
              <w:t>11</w:t>
            </w:r>
            <w:r w:rsidRPr="00AA583E">
              <w:rPr>
                <w:sz w:val="22"/>
                <w:szCs w:val="22"/>
              </w:rPr>
              <w:t>)</w:t>
            </w:r>
          </w:p>
        </w:tc>
        <w:tc>
          <w:tcPr>
            <w:tcW w:w="1105" w:type="dxa"/>
            <w:tcBorders>
              <w:top w:val="nil"/>
              <w:left w:val="nil"/>
              <w:bottom w:val="nil"/>
              <w:right w:val="nil"/>
            </w:tcBorders>
            <w:shd w:val="clear" w:color="auto" w:fill="auto"/>
            <w:noWrap/>
            <w:vAlign w:val="center"/>
          </w:tcPr>
          <w:p w14:paraId="64C2912E" w14:textId="6B317799" w:rsidR="00F463EF" w:rsidRPr="00AA583E" w:rsidRDefault="00E73A98" w:rsidP="00F463EF">
            <w:pPr>
              <w:jc w:val="right"/>
              <w:rPr>
                <w:sz w:val="22"/>
                <w:szCs w:val="22"/>
              </w:rPr>
            </w:pPr>
            <w:r w:rsidRPr="00AA583E">
              <w:rPr>
                <w:sz w:val="22"/>
                <w:szCs w:val="22"/>
              </w:rPr>
              <w:t>(</w:t>
            </w:r>
            <w:r w:rsidR="00711E6E" w:rsidRPr="00AA583E">
              <w:rPr>
                <w:sz w:val="22"/>
                <w:szCs w:val="22"/>
              </w:rPr>
              <w:t>11,</w:t>
            </w:r>
            <w:r w:rsidR="002E5CFB" w:rsidRPr="00AA583E">
              <w:rPr>
                <w:sz w:val="22"/>
                <w:szCs w:val="22"/>
              </w:rPr>
              <w:t>80</w:t>
            </w:r>
            <w:r w:rsidR="00B93116" w:rsidRPr="00AA583E">
              <w:rPr>
                <w:sz w:val="22"/>
                <w:szCs w:val="22"/>
              </w:rPr>
              <w:t>4</w:t>
            </w:r>
            <w:r w:rsidRPr="00AA583E">
              <w:rPr>
                <w:sz w:val="22"/>
                <w:szCs w:val="22"/>
              </w:rPr>
              <w:t>)</w:t>
            </w:r>
          </w:p>
        </w:tc>
        <w:tc>
          <w:tcPr>
            <w:tcW w:w="1263" w:type="dxa"/>
            <w:tcBorders>
              <w:top w:val="nil"/>
              <w:left w:val="nil"/>
              <w:right w:val="nil"/>
            </w:tcBorders>
            <w:shd w:val="clear" w:color="auto" w:fill="auto"/>
            <w:noWrap/>
            <w:vAlign w:val="center"/>
          </w:tcPr>
          <w:p w14:paraId="17488C42" w14:textId="50B8271F" w:rsidR="00F463EF" w:rsidRPr="00E803CA" w:rsidRDefault="00F463EF" w:rsidP="00F463EF">
            <w:pPr>
              <w:jc w:val="right"/>
              <w:rPr>
                <w:sz w:val="22"/>
                <w:szCs w:val="22"/>
              </w:rPr>
            </w:pPr>
            <w:r w:rsidRPr="00E803CA">
              <w:rPr>
                <w:sz w:val="22"/>
                <w:szCs w:val="22"/>
              </w:rPr>
              <w:t>(11,273)</w:t>
            </w:r>
          </w:p>
        </w:tc>
      </w:tr>
      <w:tr w:rsidR="00F463EF" w:rsidRPr="00E803CA" w14:paraId="493B3C43" w14:textId="77777777" w:rsidTr="006B6376">
        <w:trPr>
          <w:trHeight w:val="284"/>
        </w:trPr>
        <w:tc>
          <w:tcPr>
            <w:tcW w:w="4068" w:type="dxa"/>
            <w:tcBorders>
              <w:top w:val="nil"/>
              <w:left w:val="nil"/>
              <w:bottom w:val="nil"/>
              <w:right w:val="nil"/>
            </w:tcBorders>
            <w:shd w:val="clear" w:color="auto" w:fill="auto"/>
            <w:noWrap/>
            <w:vAlign w:val="center"/>
            <w:hideMark/>
          </w:tcPr>
          <w:p w14:paraId="1B5934EC" w14:textId="77777777" w:rsidR="00F463EF" w:rsidRPr="00E803CA" w:rsidRDefault="00F463EF" w:rsidP="00F463EF">
            <w:pPr>
              <w:rPr>
                <w:b/>
                <w:bCs/>
                <w:sz w:val="22"/>
                <w:szCs w:val="22"/>
              </w:rPr>
            </w:pPr>
            <w:r w:rsidRPr="00E803CA">
              <w:rPr>
                <w:sz w:val="22"/>
                <w:szCs w:val="22"/>
              </w:rPr>
              <w:t>Bad debts – rents and service charges</w:t>
            </w:r>
          </w:p>
        </w:tc>
        <w:tc>
          <w:tcPr>
            <w:tcW w:w="1105" w:type="dxa"/>
            <w:tcBorders>
              <w:top w:val="nil"/>
              <w:left w:val="nil"/>
              <w:right w:val="nil"/>
            </w:tcBorders>
            <w:vAlign w:val="center"/>
          </w:tcPr>
          <w:p w14:paraId="485008EB" w14:textId="4502D899" w:rsidR="00F463EF" w:rsidRPr="00AA583E" w:rsidRDefault="008217A8" w:rsidP="00F463EF">
            <w:pPr>
              <w:jc w:val="right"/>
              <w:rPr>
                <w:sz w:val="22"/>
                <w:szCs w:val="22"/>
              </w:rPr>
            </w:pPr>
            <w:r w:rsidRPr="00AA583E">
              <w:rPr>
                <w:sz w:val="22"/>
                <w:szCs w:val="22"/>
              </w:rPr>
              <w:t>(</w:t>
            </w:r>
            <w:r w:rsidR="00FE5EC5" w:rsidRPr="00AA583E">
              <w:rPr>
                <w:sz w:val="22"/>
                <w:szCs w:val="22"/>
              </w:rPr>
              <w:t>461</w:t>
            </w:r>
            <w:r w:rsidRPr="00AA583E">
              <w:rPr>
                <w:sz w:val="22"/>
                <w:szCs w:val="22"/>
              </w:rPr>
              <w:t>)</w:t>
            </w:r>
          </w:p>
        </w:tc>
        <w:tc>
          <w:tcPr>
            <w:tcW w:w="1421" w:type="dxa"/>
            <w:tcBorders>
              <w:top w:val="nil"/>
              <w:left w:val="nil"/>
              <w:right w:val="nil"/>
            </w:tcBorders>
            <w:shd w:val="clear" w:color="auto" w:fill="auto"/>
            <w:noWrap/>
            <w:vAlign w:val="center"/>
          </w:tcPr>
          <w:p w14:paraId="4172E847" w14:textId="4083B881" w:rsidR="00F463EF" w:rsidRPr="00AA583E" w:rsidRDefault="008217A8" w:rsidP="00F463EF">
            <w:pPr>
              <w:jc w:val="right"/>
              <w:rPr>
                <w:sz w:val="22"/>
                <w:szCs w:val="22"/>
              </w:rPr>
            </w:pPr>
            <w:r w:rsidRPr="00AA583E">
              <w:rPr>
                <w:sz w:val="22"/>
                <w:szCs w:val="22"/>
              </w:rPr>
              <w:t>(1</w:t>
            </w:r>
            <w:r w:rsidR="00FE5EC5" w:rsidRPr="00AA583E">
              <w:rPr>
                <w:sz w:val="22"/>
                <w:szCs w:val="22"/>
              </w:rPr>
              <w:t>3</w:t>
            </w:r>
            <w:r w:rsidRPr="00AA583E">
              <w:rPr>
                <w:sz w:val="22"/>
                <w:szCs w:val="22"/>
              </w:rPr>
              <w:t>)</w:t>
            </w:r>
          </w:p>
        </w:tc>
        <w:tc>
          <w:tcPr>
            <w:tcW w:w="1105" w:type="dxa"/>
            <w:tcBorders>
              <w:top w:val="nil"/>
              <w:left w:val="nil"/>
              <w:right w:val="nil"/>
            </w:tcBorders>
            <w:shd w:val="clear" w:color="auto" w:fill="auto"/>
            <w:noWrap/>
            <w:vAlign w:val="center"/>
          </w:tcPr>
          <w:p w14:paraId="3E379AFC" w14:textId="72C2A221" w:rsidR="00F463EF" w:rsidRPr="00AA583E" w:rsidRDefault="008217A8" w:rsidP="00F463EF">
            <w:pPr>
              <w:jc w:val="right"/>
              <w:rPr>
                <w:sz w:val="22"/>
                <w:szCs w:val="22"/>
              </w:rPr>
            </w:pPr>
            <w:r w:rsidRPr="00AA583E">
              <w:rPr>
                <w:sz w:val="22"/>
                <w:szCs w:val="22"/>
              </w:rPr>
              <w:t>(</w:t>
            </w:r>
            <w:r w:rsidR="00FE5EC5" w:rsidRPr="00AA583E">
              <w:rPr>
                <w:sz w:val="22"/>
                <w:szCs w:val="22"/>
              </w:rPr>
              <w:t>474</w:t>
            </w:r>
            <w:r w:rsidRPr="00AA583E">
              <w:rPr>
                <w:sz w:val="22"/>
                <w:szCs w:val="22"/>
              </w:rPr>
              <w:t>)</w:t>
            </w:r>
          </w:p>
        </w:tc>
        <w:tc>
          <w:tcPr>
            <w:tcW w:w="1263" w:type="dxa"/>
            <w:tcBorders>
              <w:top w:val="nil"/>
              <w:left w:val="nil"/>
              <w:right w:val="nil"/>
            </w:tcBorders>
            <w:shd w:val="clear" w:color="000000" w:fill="auto"/>
            <w:noWrap/>
            <w:vAlign w:val="center"/>
          </w:tcPr>
          <w:p w14:paraId="76417BE7" w14:textId="78AFED37" w:rsidR="00F463EF" w:rsidRPr="00E803CA" w:rsidRDefault="00F463EF" w:rsidP="00F463EF">
            <w:pPr>
              <w:jc w:val="right"/>
              <w:rPr>
                <w:sz w:val="22"/>
                <w:szCs w:val="22"/>
              </w:rPr>
            </w:pPr>
            <w:r w:rsidRPr="00E803CA">
              <w:rPr>
                <w:sz w:val="22"/>
                <w:szCs w:val="22"/>
              </w:rPr>
              <w:t>(161)</w:t>
            </w:r>
          </w:p>
        </w:tc>
      </w:tr>
      <w:tr w:rsidR="00F463EF" w:rsidRPr="00E803CA" w14:paraId="15DD294B" w14:textId="77777777" w:rsidTr="006B6376">
        <w:trPr>
          <w:trHeight w:val="284"/>
        </w:trPr>
        <w:tc>
          <w:tcPr>
            <w:tcW w:w="4068" w:type="dxa"/>
            <w:tcBorders>
              <w:top w:val="nil"/>
              <w:left w:val="nil"/>
              <w:bottom w:val="nil"/>
              <w:right w:val="nil"/>
            </w:tcBorders>
            <w:noWrap/>
            <w:vAlign w:val="center"/>
            <w:hideMark/>
          </w:tcPr>
          <w:p w14:paraId="38CC6595" w14:textId="77777777" w:rsidR="00F463EF" w:rsidRPr="00E803CA" w:rsidRDefault="00F463EF" w:rsidP="00F463EF">
            <w:pPr>
              <w:rPr>
                <w:sz w:val="22"/>
                <w:szCs w:val="22"/>
              </w:rPr>
            </w:pPr>
            <w:r w:rsidRPr="00E803CA">
              <w:rPr>
                <w:sz w:val="22"/>
                <w:szCs w:val="22"/>
              </w:rPr>
              <w:t>Depreciation of affordable let properties</w:t>
            </w:r>
          </w:p>
        </w:tc>
        <w:tc>
          <w:tcPr>
            <w:tcW w:w="1105" w:type="dxa"/>
            <w:tcBorders>
              <w:top w:val="nil"/>
              <w:left w:val="nil"/>
              <w:right w:val="nil"/>
            </w:tcBorders>
            <w:vAlign w:val="center"/>
          </w:tcPr>
          <w:p w14:paraId="1461E005" w14:textId="7687DA8B" w:rsidR="00F463EF" w:rsidRPr="00AA583E" w:rsidRDefault="008217A8" w:rsidP="00F463EF">
            <w:pPr>
              <w:jc w:val="right"/>
              <w:rPr>
                <w:sz w:val="22"/>
                <w:szCs w:val="22"/>
              </w:rPr>
            </w:pPr>
            <w:r w:rsidRPr="00AA583E">
              <w:rPr>
                <w:sz w:val="22"/>
                <w:szCs w:val="22"/>
              </w:rPr>
              <w:t>(12,661)</w:t>
            </w:r>
          </w:p>
        </w:tc>
        <w:tc>
          <w:tcPr>
            <w:tcW w:w="1421" w:type="dxa"/>
            <w:tcBorders>
              <w:top w:val="nil"/>
              <w:left w:val="nil"/>
              <w:right w:val="nil"/>
            </w:tcBorders>
            <w:shd w:val="clear" w:color="auto" w:fill="auto"/>
            <w:noWrap/>
            <w:vAlign w:val="center"/>
          </w:tcPr>
          <w:p w14:paraId="09DBDFF5" w14:textId="3716420C" w:rsidR="00F463EF" w:rsidRPr="00AA583E" w:rsidRDefault="008217A8" w:rsidP="00F463EF">
            <w:pPr>
              <w:jc w:val="right"/>
              <w:rPr>
                <w:sz w:val="22"/>
                <w:szCs w:val="22"/>
              </w:rPr>
            </w:pPr>
            <w:r w:rsidRPr="00AA583E">
              <w:rPr>
                <w:sz w:val="22"/>
                <w:szCs w:val="22"/>
              </w:rPr>
              <w:t>(344)</w:t>
            </w:r>
          </w:p>
        </w:tc>
        <w:tc>
          <w:tcPr>
            <w:tcW w:w="1105" w:type="dxa"/>
            <w:tcBorders>
              <w:top w:val="nil"/>
              <w:left w:val="nil"/>
              <w:right w:val="nil"/>
            </w:tcBorders>
            <w:shd w:val="clear" w:color="auto" w:fill="auto"/>
            <w:noWrap/>
            <w:vAlign w:val="center"/>
          </w:tcPr>
          <w:p w14:paraId="46DCB948" w14:textId="53FFE86E" w:rsidR="00F463EF" w:rsidRPr="00AA583E" w:rsidRDefault="008217A8" w:rsidP="00F463EF">
            <w:pPr>
              <w:jc w:val="right"/>
              <w:rPr>
                <w:sz w:val="22"/>
                <w:szCs w:val="22"/>
              </w:rPr>
            </w:pPr>
            <w:r w:rsidRPr="00AA583E">
              <w:rPr>
                <w:sz w:val="22"/>
                <w:szCs w:val="22"/>
              </w:rPr>
              <w:t>(13,005)</w:t>
            </w:r>
          </w:p>
        </w:tc>
        <w:tc>
          <w:tcPr>
            <w:tcW w:w="1263" w:type="dxa"/>
            <w:tcBorders>
              <w:top w:val="nil"/>
              <w:left w:val="nil"/>
              <w:right w:val="nil"/>
            </w:tcBorders>
            <w:shd w:val="clear" w:color="auto" w:fill="auto"/>
            <w:noWrap/>
            <w:vAlign w:val="center"/>
          </w:tcPr>
          <w:p w14:paraId="1CBCE656" w14:textId="10B4B0D7" w:rsidR="00F463EF" w:rsidRPr="00E803CA" w:rsidRDefault="00F463EF" w:rsidP="00F463EF">
            <w:pPr>
              <w:jc w:val="right"/>
              <w:rPr>
                <w:sz w:val="22"/>
                <w:szCs w:val="22"/>
              </w:rPr>
            </w:pPr>
            <w:r w:rsidRPr="00E803CA">
              <w:rPr>
                <w:sz w:val="22"/>
                <w:szCs w:val="22"/>
              </w:rPr>
              <w:t>(12,153)</w:t>
            </w:r>
          </w:p>
        </w:tc>
      </w:tr>
      <w:tr w:rsidR="00F463EF" w:rsidRPr="00E803CA" w14:paraId="1F3A9D8E" w14:textId="77777777" w:rsidTr="006B6376">
        <w:trPr>
          <w:trHeight w:val="284"/>
        </w:trPr>
        <w:tc>
          <w:tcPr>
            <w:tcW w:w="4068" w:type="dxa"/>
            <w:tcBorders>
              <w:top w:val="nil"/>
              <w:left w:val="nil"/>
              <w:bottom w:val="nil"/>
              <w:right w:val="nil"/>
            </w:tcBorders>
            <w:shd w:val="clear" w:color="auto" w:fill="auto"/>
            <w:noWrap/>
            <w:vAlign w:val="center"/>
            <w:hideMark/>
          </w:tcPr>
          <w:p w14:paraId="6085D0A0" w14:textId="77777777" w:rsidR="00F463EF" w:rsidRPr="00E803CA" w:rsidRDefault="00F463EF" w:rsidP="00F463EF">
            <w:pPr>
              <w:rPr>
                <w:b/>
                <w:bCs/>
                <w:sz w:val="22"/>
                <w:szCs w:val="22"/>
              </w:rPr>
            </w:pPr>
          </w:p>
          <w:p w14:paraId="08A174AD" w14:textId="77777777" w:rsidR="00F463EF" w:rsidRPr="00E803CA" w:rsidRDefault="00F463EF" w:rsidP="00F463EF">
            <w:pPr>
              <w:rPr>
                <w:sz w:val="22"/>
                <w:szCs w:val="22"/>
              </w:rPr>
            </w:pPr>
            <w:r w:rsidRPr="00E803CA">
              <w:rPr>
                <w:b/>
                <w:bCs/>
                <w:sz w:val="22"/>
                <w:szCs w:val="22"/>
              </w:rPr>
              <w:t>Operating costs from social letting activities</w:t>
            </w:r>
          </w:p>
        </w:tc>
        <w:tc>
          <w:tcPr>
            <w:tcW w:w="1105" w:type="dxa"/>
            <w:tcBorders>
              <w:top w:val="single" w:sz="4" w:space="0" w:color="auto"/>
              <w:left w:val="nil"/>
              <w:bottom w:val="single" w:sz="4" w:space="0" w:color="auto"/>
              <w:right w:val="nil"/>
            </w:tcBorders>
            <w:vAlign w:val="center"/>
          </w:tcPr>
          <w:p w14:paraId="3505CF90" w14:textId="24FACBF6" w:rsidR="00F463EF" w:rsidRPr="00AA583E" w:rsidRDefault="008217A8" w:rsidP="00F463EF">
            <w:pPr>
              <w:jc w:val="right"/>
              <w:rPr>
                <w:b/>
                <w:sz w:val="22"/>
                <w:szCs w:val="22"/>
              </w:rPr>
            </w:pPr>
            <w:r w:rsidRPr="00AA583E">
              <w:rPr>
                <w:b/>
                <w:sz w:val="22"/>
                <w:szCs w:val="22"/>
              </w:rPr>
              <w:t>(38,</w:t>
            </w:r>
            <w:r w:rsidR="007B609E" w:rsidRPr="00AA583E">
              <w:rPr>
                <w:b/>
                <w:sz w:val="22"/>
                <w:szCs w:val="22"/>
              </w:rPr>
              <w:t>3</w:t>
            </w:r>
            <w:r w:rsidR="002E5CFB" w:rsidRPr="00AA583E">
              <w:rPr>
                <w:b/>
                <w:sz w:val="22"/>
                <w:szCs w:val="22"/>
              </w:rPr>
              <w:t>7</w:t>
            </w:r>
            <w:r w:rsidR="00B93116" w:rsidRPr="00AA583E">
              <w:rPr>
                <w:b/>
                <w:sz w:val="22"/>
                <w:szCs w:val="22"/>
              </w:rPr>
              <w:t>3</w:t>
            </w:r>
            <w:r w:rsidRPr="00AA583E">
              <w:rPr>
                <w:b/>
                <w:sz w:val="22"/>
                <w:szCs w:val="22"/>
              </w:rPr>
              <w:t>)</w:t>
            </w:r>
          </w:p>
        </w:tc>
        <w:tc>
          <w:tcPr>
            <w:tcW w:w="1421" w:type="dxa"/>
            <w:tcBorders>
              <w:top w:val="single" w:sz="4" w:space="0" w:color="auto"/>
              <w:left w:val="nil"/>
              <w:bottom w:val="single" w:sz="4" w:space="0" w:color="auto"/>
              <w:right w:val="nil"/>
            </w:tcBorders>
            <w:shd w:val="clear" w:color="auto" w:fill="auto"/>
            <w:noWrap/>
            <w:vAlign w:val="center"/>
          </w:tcPr>
          <w:p w14:paraId="3AF8A26D" w14:textId="51E755A9" w:rsidR="00F463EF" w:rsidRPr="00AA583E" w:rsidRDefault="008217A8" w:rsidP="00F463EF">
            <w:pPr>
              <w:jc w:val="right"/>
              <w:rPr>
                <w:b/>
                <w:sz w:val="22"/>
                <w:szCs w:val="22"/>
              </w:rPr>
            </w:pPr>
            <w:r w:rsidRPr="00AA583E">
              <w:rPr>
                <w:b/>
                <w:sz w:val="22"/>
                <w:szCs w:val="22"/>
              </w:rPr>
              <w:t>(1,0</w:t>
            </w:r>
            <w:r w:rsidR="007B609E" w:rsidRPr="00AA583E">
              <w:rPr>
                <w:b/>
                <w:sz w:val="22"/>
                <w:szCs w:val="22"/>
              </w:rPr>
              <w:t>42</w:t>
            </w:r>
            <w:r w:rsidRPr="00AA583E">
              <w:rPr>
                <w:b/>
                <w:sz w:val="22"/>
                <w:szCs w:val="22"/>
              </w:rPr>
              <w:t>)</w:t>
            </w:r>
          </w:p>
        </w:tc>
        <w:tc>
          <w:tcPr>
            <w:tcW w:w="1105" w:type="dxa"/>
            <w:tcBorders>
              <w:top w:val="single" w:sz="4" w:space="0" w:color="auto"/>
              <w:left w:val="nil"/>
              <w:bottom w:val="single" w:sz="4" w:space="0" w:color="auto"/>
              <w:right w:val="nil"/>
            </w:tcBorders>
            <w:shd w:val="clear" w:color="auto" w:fill="auto"/>
            <w:noWrap/>
            <w:vAlign w:val="center"/>
          </w:tcPr>
          <w:p w14:paraId="03CAE7A4" w14:textId="0DEBFA13" w:rsidR="00F463EF" w:rsidRPr="00AA583E" w:rsidRDefault="008217A8" w:rsidP="00F463EF">
            <w:pPr>
              <w:jc w:val="right"/>
              <w:rPr>
                <w:b/>
                <w:sz w:val="22"/>
                <w:szCs w:val="22"/>
              </w:rPr>
            </w:pPr>
            <w:r w:rsidRPr="00AA583E">
              <w:rPr>
                <w:b/>
                <w:sz w:val="22"/>
                <w:szCs w:val="22"/>
              </w:rPr>
              <w:t>(39,</w:t>
            </w:r>
            <w:r w:rsidR="002E5CFB" w:rsidRPr="00AA583E">
              <w:rPr>
                <w:b/>
                <w:sz w:val="22"/>
                <w:szCs w:val="22"/>
              </w:rPr>
              <w:t>41</w:t>
            </w:r>
            <w:r w:rsidR="00B93116" w:rsidRPr="00AA583E">
              <w:rPr>
                <w:b/>
                <w:sz w:val="22"/>
                <w:szCs w:val="22"/>
              </w:rPr>
              <w:t>5</w:t>
            </w:r>
            <w:r w:rsidRPr="00AA583E">
              <w:rPr>
                <w:b/>
                <w:sz w:val="22"/>
                <w:szCs w:val="22"/>
              </w:rPr>
              <w:t>)</w:t>
            </w:r>
          </w:p>
        </w:tc>
        <w:tc>
          <w:tcPr>
            <w:tcW w:w="1263" w:type="dxa"/>
            <w:tcBorders>
              <w:top w:val="single" w:sz="4" w:space="0" w:color="auto"/>
              <w:left w:val="nil"/>
              <w:bottom w:val="single" w:sz="4" w:space="0" w:color="auto"/>
              <w:right w:val="nil"/>
            </w:tcBorders>
            <w:shd w:val="clear" w:color="auto" w:fill="auto"/>
            <w:noWrap/>
            <w:vAlign w:val="center"/>
          </w:tcPr>
          <w:p w14:paraId="1A252CF6" w14:textId="7B43FC5B" w:rsidR="00F463EF" w:rsidRPr="00E803CA" w:rsidRDefault="00F463EF" w:rsidP="00F463EF">
            <w:pPr>
              <w:jc w:val="right"/>
              <w:rPr>
                <w:b/>
                <w:sz w:val="22"/>
                <w:szCs w:val="22"/>
              </w:rPr>
            </w:pPr>
            <w:r w:rsidRPr="00E803CA">
              <w:rPr>
                <w:b/>
                <w:sz w:val="22"/>
                <w:szCs w:val="22"/>
              </w:rPr>
              <w:t>(38,218)</w:t>
            </w:r>
          </w:p>
        </w:tc>
      </w:tr>
      <w:tr w:rsidR="00F463EF" w:rsidRPr="00E803CA" w14:paraId="6528552D" w14:textId="77777777" w:rsidTr="006B6376">
        <w:trPr>
          <w:trHeight w:val="284"/>
        </w:trPr>
        <w:tc>
          <w:tcPr>
            <w:tcW w:w="4068" w:type="dxa"/>
            <w:tcBorders>
              <w:top w:val="nil"/>
              <w:left w:val="nil"/>
              <w:bottom w:val="nil"/>
              <w:right w:val="nil"/>
            </w:tcBorders>
            <w:shd w:val="clear" w:color="auto" w:fill="auto"/>
            <w:noWrap/>
            <w:vAlign w:val="center"/>
            <w:hideMark/>
          </w:tcPr>
          <w:p w14:paraId="26BB0F4E" w14:textId="77777777" w:rsidR="00F463EF" w:rsidRPr="00E803CA" w:rsidRDefault="00F463EF" w:rsidP="00F463EF">
            <w:pPr>
              <w:rPr>
                <w:sz w:val="22"/>
                <w:szCs w:val="22"/>
              </w:rPr>
            </w:pPr>
          </w:p>
        </w:tc>
        <w:tc>
          <w:tcPr>
            <w:tcW w:w="1105" w:type="dxa"/>
            <w:tcBorders>
              <w:top w:val="single" w:sz="4" w:space="0" w:color="auto"/>
              <w:left w:val="nil"/>
              <w:bottom w:val="single" w:sz="4" w:space="0" w:color="auto"/>
              <w:right w:val="nil"/>
            </w:tcBorders>
            <w:vAlign w:val="center"/>
          </w:tcPr>
          <w:p w14:paraId="7146D815" w14:textId="77777777" w:rsidR="00F463EF" w:rsidRPr="00AA583E" w:rsidRDefault="00F463EF" w:rsidP="00F463EF">
            <w:pPr>
              <w:jc w:val="right"/>
              <w:rPr>
                <w:sz w:val="22"/>
                <w:szCs w:val="22"/>
              </w:rPr>
            </w:pPr>
          </w:p>
        </w:tc>
        <w:tc>
          <w:tcPr>
            <w:tcW w:w="1421" w:type="dxa"/>
            <w:tcBorders>
              <w:top w:val="single" w:sz="4" w:space="0" w:color="auto"/>
              <w:left w:val="nil"/>
              <w:bottom w:val="single" w:sz="4" w:space="0" w:color="auto"/>
              <w:right w:val="nil"/>
            </w:tcBorders>
            <w:shd w:val="clear" w:color="auto" w:fill="auto"/>
            <w:noWrap/>
            <w:vAlign w:val="center"/>
          </w:tcPr>
          <w:p w14:paraId="45DC9909" w14:textId="77777777" w:rsidR="00F463EF" w:rsidRPr="00AA583E" w:rsidRDefault="00F463EF" w:rsidP="00F463EF">
            <w:pPr>
              <w:jc w:val="right"/>
              <w:rPr>
                <w:sz w:val="22"/>
                <w:szCs w:val="22"/>
              </w:rPr>
            </w:pPr>
          </w:p>
        </w:tc>
        <w:tc>
          <w:tcPr>
            <w:tcW w:w="1105" w:type="dxa"/>
            <w:tcBorders>
              <w:top w:val="single" w:sz="4" w:space="0" w:color="auto"/>
              <w:left w:val="nil"/>
              <w:bottom w:val="single" w:sz="4" w:space="0" w:color="auto"/>
              <w:right w:val="nil"/>
            </w:tcBorders>
            <w:shd w:val="clear" w:color="auto" w:fill="auto"/>
            <w:noWrap/>
            <w:vAlign w:val="center"/>
          </w:tcPr>
          <w:p w14:paraId="69E620FA" w14:textId="77777777" w:rsidR="00F463EF" w:rsidRPr="00AA583E" w:rsidRDefault="00F463EF" w:rsidP="00F463EF">
            <w:pPr>
              <w:jc w:val="right"/>
              <w:rPr>
                <w:sz w:val="22"/>
                <w:szCs w:val="22"/>
              </w:rPr>
            </w:pPr>
          </w:p>
        </w:tc>
        <w:tc>
          <w:tcPr>
            <w:tcW w:w="1263" w:type="dxa"/>
            <w:tcBorders>
              <w:top w:val="single" w:sz="4" w:space="0" w:color="auto"/>
              <w:left w:val="nil"/>
              <w:bottom w:val="single" w:sz="4" w:space="0" w:color="auto"/>
              <w:right w:val="nil"/>
            </w:tcBorders>
            <w:shd w:val="clear" w:color="auto" w:fill="auto"/>
            <w:noWrap/>
            <w:vAlign w:val="center"/>
          </w:tcPr>
          <w:p w14:paraId="3C8C15AD" w14:textId="77777777" w:rsidR="00F463EF" w:rsidRPr="00E803CA" w:rsidRDefault="00F463EF" w:rsidP="00F463EF">
            <w:pPr>
              <w:jc w:val="right"/>
              <w:rPr>
                <w:sz w:val="22"/>
                <w:szCs w:val="22"/>
              </w:rPr>
            </w:pPr>
          </w:p>
        </w:tc>
      </w:tr>
      <w:tr w:rsidR="00F463EF" w:rsidRPr="00E803CA" w14:paraId="3D6C771D" w14:textId="77777777" w:rsidTr="006B6376">
        <w:trPr>
          <w:trHeight w:val="284"/>
        </w:trPr>
        <w:tc>
          <w:tcPr>
            <w:tcW w:w="4068" w:type="dxa"/>
            <w:tcBorders>
              <w:top w:val="nil"/>
              <w:left w:val="nil"/>
              <w:bottom w:val="nil"/>
              <w:right w:val="nil"/>
            </w:tcBorders>
            <w:shd w:val="clear" w:color="auto" w:fill="auto"/>
            <w:noWrap/>
            <w:vAlign w:val="center"/>
            <w:hideMark/>
          </w:tcPr>
          <w:p w14:paraId="57589C8D" w14:textId="77777777" w:rsidR="00F463EF" w:rsidRPr="00E803CA" w:rsidRDefault="00F463EF" w:rsidP="00F463EF">
            <w:pPr>
              <w:rPr>
                <w:sz w:val="22"/>
                <w:szCs w:val="22"/>
              </w:rPr>
            </w:pPr>
            <w:r w:rsidRPr="00E803CA">
              <w:rPr>
                <w:b/>
                <w:sz w:val="22"/>
                <w:szCs w:val="22"/>
              </w:rPr>
              <w:t xml:space="preserve">Operating surplus from social lettings </w:t>
            </w:r>
          </w:p>
        </w:tc>
        <w:tc>
          <w:tcPr>
            <w:tcW w:w="1105" w:type="dxa"/>
            <w:tcBorders>
              <w:top w:val="single" w:sz="4" w:space="0" w:color="auto"/>
              <w:left w:val="nil"/>
              <w:bottom w:val="single" w:sz="4" w:space="0" w:color="auto"/>
              <w:right w:val="nil"/>
            </w:tcBorders>
            <w:vAlign w:val="center"/>
          </w:tcPr>
          <w:p w14:paraId="7D7ABB10" w14:textId="6981BFF8" w:rsidR="00F463EF" w:rsidRPr="00AA583E" w:rsidRDefault="008217A8" w:rsidP="00F463EF">
            <w:pPr>
              <w:jc w:val="right"/>
              <w:rPr>
                <w:b/>
                <w:sz w:val="22"/>
                <w:szCs w:val="22"/>
              </w:rPr>
            </w:pPr>
            <w:r w:rsidRPr="00AA583E">
              <w:rPr>
                <w:b/>
                <w:sz w:val="22"/>
                <w:szCs w:val="22"/>
              </w:rPr>
              <w:t>19,</w:t>
            </w:r>
            <w:r w:rsidR="00912B1F" w:rsidRPr="00AA583E">
              <w:rPr>
                <w:b/>
                <w:sz w:val="22"/>
                <w:szCs w:val="22"/>
              </w:rPr>
              <w:t>7</w:t>
            </w:r>
            <w:r w:rsidR="006615D5" w:rsidRPr="00AA583E">
              <w:rPr>
                <w:b/>
                <w:sz w:val="22"/>
                <w:szCs w:val="22"/>
              </w:rPr>
              <w:t>3</w:t>
            </w:r>
            <w:r w:rsidR="008729F2" w:rsidRPr="00AA583E">
              <w:rPr>
                <w:b/>
                <w:sz w:val="22"/>
                <w:szCs w:val="22"/>
              </w:rPr>
              <w:t>5</w:t>
            </w:r>
          </w:p>
        </w:tc>
        <w:tc>
          <w:tcPr>
            <w:tcW w:w="1421" w:type="dxa"/>
            <w:tcBorders>
              <w:top w:val="single" w:sz="4" w:space="0" w:color="auto"/>
              <w:left w:val="nil"/>
              <w:bottom w:val="single" w:sz="4" w:space="0" w:color="auto"/>
              <w:right w:val="nil"/>
            </w:tcBorders>
            <w:shd w:val="clear" w:color="auto" w:fill="auto"/>
            <w:noWrap/>
            <w:vAlign w:val="center"/>
          </w:tcPr>
          <w:p w14:paraId="68675FF4" w14:textId="406DCEF6" w:rsidR="00F463EF" w:rsidRPr="00AA583E" w:rsidRDefault="00912B1F" w:rsidP="00F463EF">
            <w:pPr>
              <w:jc w:val="right"/>
              <w:rPr>
                <w:b/>
                <w:sz w:val="22"/>
                <w:szCs w:val="22"/>
              </w:rPr>
            </w:pPr>
            <w:r w:rsidRPr="00AA583E">
              <w:rPr>
                <w:b/>
                <w:sz w:val="22"/>
                <w:szCs w:val="22"/>
              </w:rPr>
              <w:t>538</w:t>
            </w:r>
          </w:p>
        </w:tc>
        <w:tc>
          <w:tcPr>
            <w:tcW w:w="1105" w:type="dxa"/>
            <w:tcBorders>
              <w:top w:val="single" w:sz="4" w:space="0" w:color="auto"/>
              <w:left w:val="nil"/>
              <w:bottom w:val="single" w:sz="4" w:space="0" w:color="auto"/>
              <w:right w:val="nil"/>
            </w:tcBorders>
            <w:shd w:val="clear" w:color="auto" w:fill="auto"/>
            <w:noWrap/>
            <w:vAlign w:val="center"/>
          </w:tcPr>
          <w:p w14:paraId="7EE184EB" w14:textId="244916FF" w:rsidR="00F463EF" w:rsidRPr="00AA583E" w:rsidRDefault="00912B1F" w:rsidP="00F463EF">
            <w:pPr>
              <w:jc w:val="right"/>
              <w:rPr>
                <w:b/>
                <w:sz w:val="22"/>
                <w:szCs w:val="22"/>
              </w:rPr>
            </w:pPr>
            <w:r w:rsidRPr="00AA583E">
              <w:rPr>
                <w:b/>
                <w:sz w:val="22"/>
                <w:szCs w:val="22"/>
              </w:rPr>
              <w:t>20,</w:t>
            </w:r>
            <w:r w:rsidR="006615D5" w:rsidRPr="00AA583E">
              <w:rPr>
                <w:b/>
                <w:sz w:val="22"/>
                <w:szCs w:val="22"/>
              </w:rPr>
              <w:t>27</w:t>
            </w:r>
            <w:r w:rsidR="008729F2" w:rsidRPr="00AA583E">
              <w:rPr>
                <w:b/>
                <w:sz w:val="22"/>
                <w:szCs w:val="22"/>
              </w:rPr>
              <w:t>3</w:t>
            </w:r>
          </w:p>
        </w:tc>
        <w:tc>
          <w:tcPr>
            <w:tcW w:w="1263" w:type="dxa"/>
            <w:tcBorders>
              <w:top w:val="single" w:sz="4" w:space="0" w:color="auto"/>
              <w:left w:val="nil"/>
              <w:bottom w:val="single" w:sz="4" w:space="0" w:color="auto"/>
              <w:right w:val="nil"/>
            </w:tcBorders>
            <w:shd w:val="clear" w:color="auto" w:fill="auto"/>
            <w:noWrap/>
            <w:vAlign w:val="center"/>
          </w:tcPr>
          <w:p w14:paraId="2CB52C2D" w14:textId="639703C7" w:rsidR="00F463EF" w:rsidRPr="00E803CA" w:rsidRDefault="00F463EF" w:rsidP="00F463EF">
            <w:pPr>
              <w:jc w:val="right"/>
              <w:rPr>
                <w:b/>
                <w:sz w:val="22"/>
                <w:szCs w:val="22"/>
              </w:rPr>
            </w:pPr>
            <w:r w:rsidRPr="00E803CA">
              <w:rPr>
                <w:b/>
                <w:sz w:val="22"/>
                <w:szCs w:val="22"/>
              </w:rPr>
              <w:t>14,774</w:t>
            </w:r>
          </w:p>
        </w:tc>
      </w:tr>
      <w:tr w:rsidR="006B6376" w:rsidRPr="00E803CA" w14:paraId="69D10F2D" w14:textId="77777777" w:rsidTr="006B6376">
        <w:trPr>
          <w:trHeight w:val="284"/>
        </w:trPr>
        <w:tc>
          <w:tcPr>
            <w:tcW w:w="4068" w:type="dxa"/>
            <w:tcBorders>
              <w:top w:val="nil"/>
              <w:left w:val="nil"/>
              <w:bottom w:val="nil"/>
              <w:right w:val="nil"/>
            </w:tcBorders>
            <w:shd w:val="clear" w:color="auto" w:fill="auto"/>
            <w:noWrap/>
            <w:vAlign w:val="center"/>
            <w:hideMark/>
          </w:tcPr>
          <w:p w14:paraId="0522794B" w14:textId="77777777" w:rsidR="006B6376" w:rsidRPr="00E803CA" w:rsidRDefault="006B6376" w:rsidP="008B3871">
            <w:pPr>
              <w:rPr>
                <w:sz w:val="22"/>
                <w:szCs w:val="22"/>
              </w:rPr>
            </w:pPr>
          </w:p>
        </w:tc>
        <w:tc>
          <w:tcPr>
            <w:tcW w:w="1105" w:type="dxa"/>
            <w:tcBorders>
              <w:top w:val="single" w:sz="4" w:space="0" w:color="auto"/>
              <w:left w:val="nil"/>
              <w:right w:val="nil"/>
            </w:tcBorders>
            <w:vAlign w:val="center"/>
          </w:tcPr>
          <w:p w14:paraId="1693D8FD" w14:textId="77777777" w:rsidR="006B6376" w:rsidRPr="00E803CA" w:rsidRDefault="006B6376" w:rsidP="008B3871">
            <w:pPr>
              <w:jc w:val="right"/>
              <w:rPr>
                <w:sz w:val="22"/>
                <w:szCs w:val="22"/>
              </w:rPr>
            </w:pPr>
          </w:p>
        </w:tc>
        <w:tc>
          <w:tcPr>
            <w:tcW w:w="1421" w:type="dxa"/>
            <w:tcBorders>
              <w:top w:val="single" w:sz="4" w:space="0" w:color="auto"/>
              <w:left w:val="nil"/>
              <w:right w:val="nil"/>
            </w:tcBorders>
            <w:shd w:val="clear" w:color="auto" w:fill="auto"/>
            <w:noWrap/>
            <w:vAlign w:val="center"/>
          </w:tcPr>
          <w:p w14:paraId="40F811DD" w14:textId="77777777" w:rsidR="006B6376" w:rsidRPr="00E803CA" w:rsidRDefault="006B6376" w:rsidP="008B3871">
            <w:pPr>
              <w:jc w:val="right"/>
              <w:rPr>
                <w:sz w:val="22"/>
                <w:szCs w:val="22"/>
              </w:rPr>
            </w:pPr>
          </w:p>
        </w:tc>
        <w:tc>
          <w:tcPr>
            <w:tcW w:w="1105" w:type="dxa"/>
            <w:tcBorders>
              <w:top w:val="single" w:sz="4" w:space="0" w:color="auto"/>
              <w:left w:val="nil"/>
              <w:right w:val="nil"/>
            </w:tcBorders>
            <w:shd w:val="clear" w:color="auto" w:fill="auto"/>
            <w:noWrap/>
            <w:vAlign w:val="center"/>
          </w:tcPr>
          <w:p w14:paraId="2556FDBF" w14:textId="77777777" w:rsidR="006B6376" w:rsidRPr="00E803CA" w:rsidRDefault="006B6376" w:rsidP="008B3871">
            <w:pPr>
              <w:jc w:val="right"/>
              <w:rPr>
                <w:sz w:val="22"/>
                <w:szCs w:val="22"/>
              </w:rPr>
            </w:pPr>
          </w:p>
        </w:tc>
        <w:tc>
          <w:tcPr>
            <w:tcW w:w="1263" w:type="dxa"/>
            <w:tcBorders>
              <w:top w:val="single" w:sz="4" w:space="0" w:color="auto"/>
              <w:left w:val="nil"/>
              <w:right w:val="nil"/>
            </w:tcBorders>
            <w:shd w:val="clear" w:color="auto" w:fill="auto"/>
            <w:noWrap/>
            <w:vAlign w:val="center"/>
          </w:tcPr>
          <w:p w14:paraId="15514502" w14:textId="77777777" w:rsidR="006B6376" w:rsidRPr="00E803CA" w:rsidRDefault="006B6376" w:rsidP="008B3871">
            <w:pPr>
              <w:jc w:val="right"/>
              <w:rPr>
                <w:sz w:val="22"/>
                <w:szCs w:val="22"/>
              </w:rPr>
            </w:pPr>
          </w:p>
        </w:tc>
      </w:tr>
      <w:tr w:rsidR="00F463EF" w:rsidRPr="00E803CA" w14:paraId="14C3F21A" w14:textId="77777777" w:rsidTr="006B6376">
        <w:trPr>
          <w:trHeight w:val="284"/>
        </w:trPr>
        <w:tc>
          <w:tcPr>
            <w:tcW w:w="4068" w:type="dxa"/>
            <w:tcBorders>
              <w:top w:val="nil"/>
              <w:left w:val="nil"/>
              <w:bottom w:val="nil"/>
              <w:right w:val="nil"/>
            </w:tcBorders>
            <w:shd w:val="clear" w:color="auto" w:fill="auto"/>
            <w:vAlign w:val="center"/>
            <w:hideMark/>
          </w:tcPr>
          <w:p w14:paraId="14402D0F" w14:textId="034CA574" w:rsidR="00F463EF" w:rsidRPr="00E803CA" w:rsidRDefault="00F463EF" w:rsidP="00F463EF">
            <w:pPr>
              <w:rPr>
                <w:sz w:val="22"/>
                <w:szCs w:val="22"/>
              </w:rPr>
            </w:pPr>
            <w:r w:rsidRPr="00E803CA">
              <w:rPr>
                <w:sz w:val="22"/>
                <w:szCs w:val="22"/>
              </w:rPr>
              <w:t xml:space="preserve">Operating surplus from social lettings for the previous reporting period </w:t>
            </w:r>
          </w:p>
        </w:tc>
        <w:tc>
          <w:tcPr>
            <w:tcW w:w="1105" w:type="dxa"/>
            <w:tcBorders>
              <w:left w:val="nil"/>
              <w:bottom w:val="single" w:sz="4" w:space="0" w:color="auto"/>
              <w:right w:val="nil"/>
            </w:tcBorders>
            <w:vAlign w:val="center"/>
          </w:tcPr>
          <w:p w14:paraId="7D0D47A7" w14:textId="61049C51" w:rsidR="00F463EF" w:rsidRPr="00E803CA" w:rsidRDefault="00F463EF" w:rsidP="00F463EF">
            <w:pPr>
              <w:jc w:val="right"/>
              <w:rPr>
                <w:b/>
                <w:sz w:val="22"/>
                <w:szCs w:val="22"/>
              </w:rPr>
            </w:pPr>
            <w:r w:rsidRPr="00E803CA">
              <w:rPr>
                <w:b/>
                <w:sz w:val="22"/>
                <w:szCs w:val="22"/>
              </w:rPr>
              <w:t>14,38</w:t>
            </w:r>
            <w:r>
              <w:rPr>
                <w:b/>
                <w:sz w:val="22"/>
                <w:szCs w:val="22"/>
              </w:rPr>
              <w:t>3</w:t>
            </w:r>
          </w:p>
        </w:tc>
        <w:tc>
          <w:tcPr>
            <w:tcW w:w="1421" w:type="dxa"/>
            <w:tcBorders>
              <w:left w:val="nil"/>
              <w:bottom w:val="single" w:sz="4" w:space="0" w:color="auto"/>
              <w:right w:val="nil"/>
            </w:tcBorders>
            <w:shd w:val="clear" w:color="auto" w:fill="auto"/>
            <w:noWrap/>
            <w:vAlign w:val="center"/>
          </w:tcPr>
          <w:p w14:paraId="0182BC25" w14:textId="23BC6243" w:rsidR="00F463EF" w:rsidRPr="00E803CA" w:rsidRDefault="00F463EF" w:rsidP="00F463EF">
            <w:pPr>
              <w:jc w:val="right"/>
              <w:rPr>
                <w:b/>
                <w:sz w:val="22"/>
                <w:szCs w:val="22"/>
              </w:rPr>
            </w:pPr>
            <w:r w:rsidRPr="00E803CA">
              <w:rPr>
                <w:b/>
                <w:sz w:val="22"/>
                <w:szCs w:val="22"/>
              </w:rPr>
              <w:t>391</w:t>
            </w:r>
          </w:p>
        </w:tc>
        <w:tc>
          <w:tcPr>
            <w:tcW w:w="1105" w:type="dxa"/>
            <w:tcBorders>
              <w:top w:val="nil"/>
              <w:left w:val="nil"/>
              <w:bottom w:val="single" w:sz="4" w:space="0" w:color="auto"/>
              <w:right w:val="nil"/>
            </w:tcBorders>
            <w:shd w:val="clear" w:color="auto" w:fill="auto"/>
            <w:noWrap/>
            <w:vAlign w:val="center"/>
          </w:tcPr>
          <w:p w14:paraId="1F1CE38C" w14:textId="14A89420" w:rsidR="00F463EF" w:rsidRPr="00E803CA" w:rsidRDefault="00F463EF" w:rsidP="00F463EF">
            <w:pPr>
              <w:jc w:val="right"/>
              <w:rPr>
                <w:sz w:val="22"/>
                <w:szCs w:val="22"/>
              </w:rPr>
            </w:pPr>
            <w:r w:rsidRPr="00E803CA">
              <w:rPr>
                <w:b/>
                <w:sz w:val="22"/>
                <w:szCs w:val="22"/>
              </w:rPr>
              <w:t>14,774</w:t>
            </w:r>
          </w:p>
        </w:tc>
        <w:tc>
          <w:tcPr>
            <w:tcW w:w="1263" w:type="dxa"/>
            <w:tcBorders>
              <w:top w:val="nil"/>
              <w:left w:val="nil"/>
              <w:right w:val="nil"/>
            </w:tcBorders>
            <w:shd w:val="clear" w:color="auto" w:fill="auto"/>
            <w:noWrap/>
            <w:vAlign w:val="center"/>
            <w:hideMark/>
          </w:tcPr>
          <w:p w14:paraId="3252278C" w14:textId="77777777" w:rsidR="00F463EF" w:rsidRPr="00E803CA" w:rsidRDefault="00F463EF" w:rsidP="00F463EF">
            <w:pPr>
              <w:jc w:val="right"/>
              <w:rPr>
                <w:sz w:val="22"/>
                <w:szCs w:val="22"/>
              </w:rPr>
            </w:pPr>
          </w:p>
        </w:tc>
      </w:tr>
    </w:tbl>
    <w:p w14:paraId="550EF36D" w14:textId="5CE00C64" w:rsidR="00BD6427" w:rsidRPr="00E803CA" w:rsidRDefault="00281296" w:rsidP="009376CF">
      <w:pPr>
        <w:pStyle w:val="BodyText"/>
        <w:rPr>
          <w:b/>
          <w:bCs/>
          <w:sz w:val="24"/>
        </w:rPr>
      </w:pPr>
      <w:r w:rsidRPr="00E803CA">
        <w:rPr>
          <w:b/>
          <w:bCs/>
          <w:sz w:val="24"/>
        </w:rPr>
        <w:tab/>
      </w:r>
    </w:p>
    <w:p w14:paraId="7D0E431B" w14:textId="77777777" w:rsidR="00403E8C" w:rsidRPr="00E803CA" w:rsidRDefault="00403E8C" w:rsidP="009376CF">
      <w:pPr>
        <w:pStyle w:val="BodyText"/>
        <w:rPr>
          <w:b/>
          <w:bCs/>
          <w:sz w:val="24"/>
        </w:rPr>
      </w:pPr>
    </w:p>
    <w:p w14:paraId="6AF7EE0B" w14:textId="77777777" w:rsidR="006B6376" w:rsidRPr="00E803CA" w:rsidRDefault="006B6376" w:rsidP="00403E8C">
      <w:pPr>
        <w:pStyle w:val="BodyText"/>
        <w:rPr>
          <w:b/>
          <w:bCs/>
          <w:sz w:val="22"/>
          <w:szCs w:val="22"/>
        </w:rPr>
      </w:pPr>
    </w:p>
    <w:p w14:paraId="32376735" w14:textId="77777777" w:rsidR="006B6376" w:rsidRPr="00E803CA" w:rsidRDefault="006B6376" w:rsidP="00403E8C">
      <w:pPr>
        <w:pStyle w:val="BodyText"/>
        <w:rPr>
          <w:b/>
          <w:bCs/>
          <w:sz w:val="22"/>
          <w:szCs w:val="22"/>
        </w:rPr>
      </w:pPr>
    </w:p>
    <w:p w14:paraId="351A2A97" w14:textId="77777777" w:rsidR="006B6376" w:rsidRPr="00E803CA" w:rsidRDefault="006B6376" w:rsidP="00403E8C">
      <w:pPr>
        <w:pStyle w:val="BodyText"/>
        <w:rPr>
          <w:b/>
          <w:bCs/>
          <w:sz w:val="22"/>
          <w:szCs w:val="22"/>
        </w:rPr>
      </w:pPr>
    </w:p>
    <w:p w14:paraId="12A2B6A0" w14:textId="77777777" w:rsidR="006B6376" w:rsidRPr="00E803CA" w:rsidRDefault="006B6376" w:rsidP="00403E8C">
      <w:pPr>
        <w:pStyle w:val="BodyText"/>
        <w:rPr>
          <w:b/>
          <w:bCs/>
          <w:sz w:val="22"/>
          <w:szCs w:val="22"/>
        </w:rPr>
      </w:pPr>
    </w:p>
    <w:p w14:paraId="1FCA5A9B" w14:textId="77777777" w:rsidR="00DF35EB" w:rsidRPr="00E803CA" w:rsidRDefault="00DF35EB">
      <w:pPr>
        <w:rPr>
          <w:b/>
          <w:bCs/>
          <w:sz w:val="22"/>
          <w:szCs w:val="22"/>
        </w:rPr>
      </w:pPr>
      <w:r w:rsidRPr="00E803CA">
        <w:rPr>
          <w:b/>
          <w:bCs/>
          <w:sz w:val="22"/>
          <w:szCs w:val="22"/>
        </w:rPr>
        <w:br w:type="page"/>
      </w:r>
    </w:p>
    <w:p w14:paraId="69DDEC76" w14:textId="705AB031" w:rsidR="009376CF" w:rsidRPr="00E803CA" w:rsidRDefault="009376CF" w:rsidP="00403E8C">
      <w:pPr>
        <w:pStyle w:val="BodyText"/>
        <w:rPr>
          <w:b/>
          <w:bCs/>
          <w:sz w:val="22"/>
          <w:szCs w:val="22"/>
        </w:rPr>
      </w:pPr>
      <w:r w:rsidRPr="00E803CA">
        <w:rPr>
          <w:b/>
          <w:bCs/>
          <w:sz w:val="22"/>
          <w:szCs w:val="22"/>
        </w:rPr>
        <w:lastRenderedPageBreak/>
        <w:t xml:space="preserve">NOTES TO THE FINANCIAL STATEMENTS </w:t>
      </w:r>
      <w:r w:rsidR="007B388D" w:rsidRPr="00E803CA">
        <w:rPr>
          <w:b/>
          <w:bCs/>
          <w:sz w:val="22"/>
          <w:szCs w:val="22"/>
        </w:rPr>
        <w:t>FOR T</w:t>
      </w:r>
      <w:r w:rsidR="006A5853" w:rsidRPr="00E803CA">
        <w:rPr>
          <w:b/>
          <w:bCs/>
          <w:sz w:val="22"/>
          <w:szCs w:val="22"/>
        </w:rPr>
        <w:t xml:space="preserve">HE YEAR ENDED 31 MARCH </w:t>
      </w:r>
      <w:r w:rsidR="00302D41" w:rsidRPr="00E803CA">
        <w:rPr>
          <w:b/>
          <w:bCs/>
          <w:sz w:val="22"/>
          <w:szCs w:val="22"/>
        </w:rPr>
        <w:t>202</w:t>
      </w:r>
      <w:r w:rsidR="00CA1311">
        <w:rPr>
          <w:b/>
          <w:bCs/>
          <w:sz w:val="22"/>
          <w:szCs w:val="22"/>
        </w:rPr>
        <w:t>4</w:t>
      </w:r>
      <w:r w:rsidRPr="00E803CA">
        <w:rPr>
          <w:b/>
          <w:bCs/>
          <w:sz w:val="22"/>
          <w:szCs w:val="22"/>
        </w:rPr>
        <w:t xml:space="preserve"> (continued)</w:t>
      </w:r>
    </w:p>
    <w:p w14:paraId="29426662" w14:textId="77777777" w:rsidR="00CA6BDF" w:rsidRPr="00E803CA" w:rsidRDefault="00CA6BDF" w:rsidP="00CA6BDF">
      <w:pPr>
        <w:rPr>
          <w:b/>
          <w:bCs/>
          <w:sz w:val="22"/>
        </w:rPr>
      </w:pPr>
    </w:p>
    <w:p w14:paraId="735E7798" w14:textId="18CF0970" w:rsidR="00CA6BDF" w:rsidRPr="00E803CA" w:rsidRDefault="00CA6BDF" w:rsidP="00CA6BDF">
      <w:pPr>
        <w:ind w:left="720" w:hanging="720"/>
      </w:pPr>
      <w:r w:rsidRPr="00E803CA">
        <w:rPr>
          <w:b/>
          <w:sz w:val="22"/>
          <w:szCs w:val="22"/>
        </w:rPr>
        <w:t>5.</w:t>
      </w:r>
      <w:r w:rsidRPr="00E803CA">
        <w:rPr>
          <w:b/>
          <w:sz w:val="22"/>
          <w:szCs w:val="22"/>
        </w:rPr>
        <w:tab/>
        <w:t xml:space="preserve">Particulars of turnover, operating costs and operating surplus from other activities </w:t>
      </w:r>
    </w:p>
    <w:tbl>
      <w:tblPr>
        <w:tblpPr w:leftFromText="180" w:rightFromText="180" w:vertAnchor="text" w:horzAnchor="margin" w:tblpX="-953" w:tblpY="38"/>
        <w:tblW w:w="10419" w:type="dxa"/>
        <w:tblLayout w:type="fixed"/>
        <w:tblLook w:val="04A0" w:firstRow="1" w:lastRow="0" w:firstColumn="1" w:lastColumn="0" w:noHBand="0" w:noVBand="1"/>
      </w:tblPr>
      <w:tblGrid>
        <w:gridCol w:w="2253"/>
        <w:gridCol w:w="1361"/>
        <w:gridCol w:w="1361"/>
        <w:gridCol w:w="1361"/>
        <w:gridCol w:w="1361"/>
        <w:gridCol w:w="1361"/>
        <w:gridCol w:w="1361"/>
      </w:tblGrid>
      <w:tr w:rsidR="00F10485" w:rsidRPr="00E803CA" w14:paraId="0763DD7F" w14:textId="77777777" w:rsidTr="004D6DFE">
        <w:trPr>
          <w:trHeight w:val="1286"/>
        </w:trPr>
        <w:tc>
          <w:tcPr>
            <w:tcW w:w="2253" w:type="dxa"/>
            <w:shd w:val="clear" w:color="auto" w:fill="auto"/>
            <w:noWrap/>
            <w:vAlign w:val="bottom"/>
          </w:tcPr>
          <w:p w14:paraId="0A1F09B1" w14:textId="77777777" w:rsidR="0084330C" w:rsidRPr="00E803CA" w:rsidRDefault="0084330C" w:rsidP="0084330C">
            <w:pPr>
              <w:rPr>
                <w:sz w:val="20"/>
                <w:szCs w:val="20"/>
                <w:lang w:eastAsia="en-GB"/>
              </w:rPr>
            </w:pPr>
          </w:p>
        </w:tc>
        <w:tc>
          <w:tcPr>
            <w:tcW w:w="1361" w:type="dxa"/>
            <w:shd w:val="clear" w:color="auto" w:fill="auto"/>
            <w:noWrap/>
            <w:vAlign w:val="bottom"/>
          </w:tcPr>
          <w:p w14:paraId="01FFDCEB" w14:textId="77777777" w:rsidR="0084330C" w:rsidRPr="00E803CA" w:rsidRDefault="0084330C" w:rsidP="0084330C">
            <w:pPr>
              <w:jc w:val="right"/>
              <w:rPr>
                <w:b/>
                <w:bCs/>
                <w:sz w:val="20"/>
                <w:szCs w:val="20"/>
                <w:lang w:eastAsia="en-GB"/>
              </w:rPr>
            </w:pPr>
            <w:r w:rsidRPr="00E803CA">
              <w:rPr>
                <w:b/>
                <w:bCs/>
                <w:sz w:val="20"/>
                <w:szCs w:val="20"/>
                <w:lang w:eastAsia="en-GB"/>
              </w:rPr>
              <w:t>Supporting</w:t>
            </w:r>
          </w:p>
          <w:p w14:paraId="4FCAD3C6" w14:textId="77777777" w:rsidR="0084330C" w:rsidRPr="00E803CA" w:rsidRDefault="0084330C" w:rsidP="0084330C">
            <w:pPr>
              <w:jc w:val="right"/>
              <w:rPr>
                <w:b/>
                <w:bCs/>
                <w:sz w:val="20"/>
                <w:szCs w:val="20"/>
                <w:lang w:eastAsia="en-GB"/>
              </w:rPr>
            </w:pPr>
            <w:r w:rsidRPr="00E803CA">
              <w:rPr>
                <w:b/>
                <w:bCs/>
                <w:sz w:val="20"/>
                <w:szCs w:val="20"/>
                <w:lang w:eastAsia="en-GB"/>
              </w:rPr>
              <w:t>People</w:t>
            </w:r>
          </w:p>
          <w:p w14:paraId="332B39CF" w14:textId="77777777" w:rsidR="0084330C" w:rsidRPr="00E803CA" w:rsidRDefault="0084330C" w:rsidP="0084330C">
            <w:pPr>
              <w:jc w:val="right"/>
              <w:rPr>
                <w:b/>
                <w:bCs/>
                <w:sz w:val="20"/>
                <w:szCs w:val="20"/>
                <w:lang w:eastAsia="en-GB"/>
              </w:rPr>
            </w:pPr>
            <w:r w:rsidRPr="00E803CA">
              <w:rPr>
                <w:b/>
                <w:bCs/>
                <w:sz w:val="20"/>
                <w:szCs w:val="20"/>
                <w:lang w:eastAsia="en-GB"/>
              </w:rPr>
              <w:t>Income</w:t>
            </w:r>
          </w:p>
          <w:p w14:paraId="1C5593BE"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shd w:val="clear" w:color="auto" w:fill="auto"/>
            <w:noWrap/>
            <w:vAlign w:val="bottom"/>
          </w:tcPr>
          <w:p w14:paraId="1A1195D3" w14:textId="77777777" w:rsidR="0084330C" w:rsidRPr="00E803CA" w:rsidRDefault="0084330C" w:rsidP="0084330C">
            <w:pPr>
              <w:jc w:val="right"/>
              <w:rPr>
                <w:b/>
                <w:bCs/>
                <w:sz w:val="20"/>
                <w:szCs w:val="20"/>
                <w:lang w:eastAsia="en-GB"/>
              </w:rPr>
            </w:pPr>
            <w:r w:rsidRPr="00E803CA">
              <w:rPr>
                <w:b/>
                <w:bCs/>
                <w:sz w:val="20"/>
                <w:szCs w:val="20"/>
                <w:lang w:eastAsia="en-GB"/>
              </w:rPr>
              <w:t>Other</w:t>
            </w:r>
          </w:p>
          <w:p w14:paraId="2FAD832A" w14:textId="77777777" w:rsidR="0084330C" w:rsidRPr="00E803CA" w:rsidRDefault="0084330C" w:rsidP="0084330C">
            <w:pPr>
              <w:jc w:val="right"/>
              <w:rPr>
                <w:b/>
                <w:bCs/>
                <w:sz w:val="20"/>
                <w:szCs w:val="20"/>
                <w:lang w:eastAsia="en-GB"/>
              </w:rPr>
            </w:pPr>
            <w:r w:rsidRPr="00E803CA">
              <w:rPr>
                <w:b/>
                <w:bCs/>
                <w:sz w:val="20"/>
                <w:szCs w:val="20"/>
                <w:lang w:eastAsia="en-GB"/>
              </w:rPr>
              <w:t>Income</w:t>
            </w:r>
          </w:p>
          <w:p w14:paraId="2E8DAEFC"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shd w:val="clear" w:color="auto" w:fill="auto"/>
            <w:noWrap/>
            <w:vAlign w:val="bottom"/>
          </w:tcPr>
          <w:p w14:paraId="0C7ED364" w14:textId="77777777" w:rsidR="0084330C" w:rsidRPr="00E803CA" w:rsidRDefault="0084330C" w:rsidP="0084330C">
            <w:pPr>
              <w:jc w:val="right"/>
              <w:rPr>
                <w:b/>
                <w:bCs/>
                <w:sz w:val="20"/>
                <w:szCs w:val="20"/>
                <w:lang w:eastAsia="en-GB"/>
              </w:rPr>
            </w:pPr>
            <w:r w:rsidRPr="00E803CA">
              <w:rPr>
                <w:b/>
                <w:bCs/>
                <w:sz w:val="20"/>
                <w:szCs w:val="20"/>
                <w:lang w:eastAsia="en-GB"/>
              </w:rPr>
              <w:t>Total</w:t>
            </w:r>
          </w:p>
          <w:p w14:paraId="78804EA2" w14:textId="77777777" w:rsidR="0084330C" w:rsidRPr="00E803CA" w:rsidRDefault="0084330C" w:rsidP="0084330C">
            <w:pPr>
              <w:jc w:val="right"/>
              <w:rPr>
                <w:b/>
                <w:bCs/>
                <w:sz w:val="20"/>
                <w:szCs w:val="20"/>
                <w:lang w:eastAsia="en-GB"/>
              </w:rPr>
            </w:pPr>
            <w:r w:rsidRPr="00E803CA">
              <w:rPr>
                <w:b/>
                <w:bCs/>
                <w:sz w:val="20"/>
                <w:szCs w:val="20"/>
                <w:lang w:eastAsia="en-GB"/>
              </w:rPr>
              <w:t>Turnover</w:t>
            </w:r>
          </w:p>
          <w:p w14:paraId="6D559C9A"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shd w:val="clear" w:color="auto" w:fill="auto"/>
            <w:noWrap/>
            <w:vAlign w:val="bottom"/>
          </w:tcPr>
          <w:p w14:paraId="0865B49D" w14:textId="77777777" w:rsidR="0084330C" w:rsidRPr="00E803CA" w:rsidRDefault="0084330C" w:rsidP="0084330C">
            <w:pPr>
              <w:jc w:val="right"/>
              <w:rPr>
                <w:b/>
                <w:bCs/>
                <w:sz w:val="20"/>
                <w:szCs w:val="20"/>
                <w:lang w:eastAsia="en-GB"/>
              </w:rPr>
            </w:pPr>
            <w:r w:rsidRPr="00E803CA">
              <w:rPr>
                <w:b/>
                <w:bCs/>
                <w:sz w:val="20"/>
                <w:szCs w:val="20"/>
                <w:lang w:eastAsia="en-GB"/>
              </w:rPr>
              <w:t>Operating</w:t>
            </w:r>
          </w:p>
          <w:p w14:paraId="40CE9778" w14:textId="77777777" w:rsidR="0084330C" w:rsidRPr="00E803CA" w:rsidRDefault="0084330C" w:rsidP="0084330C">
            <w:pPr>
              <w:jc w:val="right"/>
              <w:rPr>
                <w:b/>
                <w:bCs/>
                <w:sz w:val="20"/>
                <w:szCs w:val="20"/>
                <w:lang w:eastAsia="en-GB"/>
              </w:rPr>
            </w:pPr>
            <w:r w:rsidRPr="00E803CA">
              <w:rPr>
                <w:b/>
                <w:bCs/>
                <w:sz w:val="20"/>
                <w:szCs w:val="20"/>
                <w:lang w:eastAsia="en-GB"/>
              </w:rPr>
              <w:t>Costs</w:t>
            </w:r>
          </w:p>
          <w:p w14:paraId="5095A56B"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shd w:val="clear" w:color="auto" w:fill="auto"/>
            <w:noWrap/>
            <w:vAlign w:val="bottom"/>
          </w:tcPr>
          <w:p w14:paraId="17F7D702" w14:textId="52158A9E" w:rsidR="0084330C" w:rsidRPr="00E803CA" w:rsidRDefault="0084330C" w:rsidP="0084330C">
            <w:pPr>
              <w:jc w:val="right"/>
              <w:rPr>
                <w:b/>
                <w:bCs/>
                <w:sz w:val="20"/>
                <w:szCs w:val="20"/>
                <w:lang w:eastAsia="en-GB"/>
              </w:rPr>
            </w:pPr>
            <w:r w:rsidRPr="00E803CA">
              <w:rPr>
                <w:b/>
                <w:bCs/>
                <w:sz w:val="20"/>
                <w:szCs w:val="20"/>
                <w:lang w:eastAsia="en-GB"/>
              </w:rPr>
              <w:t>202</w:t>
            </w:r>
            <w:r w:rsidR="00814891">
              <w:rPr>
                <w:b/>
                <w:bCs/>
                <w:sz w:val="20"/>
                <w:szCs w:val="20"/>
                <w:lang w:eastAsia="en-GB"/>
              </w:rPr>
              <w:t>4</w:t>
            </w:r>
          </w:p>
          <w:p w14:paraId="1A00391A" w14:textId="77777777" w:rsidR="0084330C" w:rsidRPr="00E803CA" w:rsidRDefault="0084330C" w:rsidP="0084330C">
            <w:pPr>
              <w:jc w:val="right"/>
              <w:rPr>
                <w:b/>
                <w:bCs/>
                <w:sz w:val="20"/>
                <w:szCs w:val="20"/>
                <w:lang w:eastAsia="en-GB"/>
              </w:rPr>
            </w:pPr>
            <w:r w:rsidRPr="00E803CA">
              <w:rPr>
                <w:b/>
                <w:bCs/>
                <w:sz w:val="20"/>
                <w:szCs w:val="20"/>
                <w:lang w:eastAsia="en-GB"/>
              </w:rPr>
              <w:t>Operating</w:t>
            </w:r>
          </w:p>
          <w:p w14:paraId="159B57F7" w14:textId="77777777" w:rsidR="0084330C" w:rsidRPr="00E803CA" w:rsidRDefault="0084330C" w:rsidP="0084330C">
            <w:pPr>
              <w:jc w:val="right"/>
              <w:rPr>
                <w:b/>
                <w:bCs/>
                <w:sz w:val="20"/>
                <w:szCs w:val="20"/>
                <w:lang w:eastAsia="en-GB"/>
              </w:rPr>
            </w:pPr>
            <w:r w:rsidRPr="00E803CA">
              <w:rPr>
                <w:b/>
                <w:bCs/>
                <w:sz w:val="20"/>
                <w:szCs w:val="20"/>
                <w:lang w:eastAsia="en-GB"/>
              </w:rPr>
              <w:t>Surplus</w:t>
            </w:r>
          </w:p>
          <w:p w14:paraId="038A5715" w14:textId="77777777" w:rsidR="0084330C" w:rsidRPr="00E803CA" w:rsidRDefault="0084330C" w:rsidP="0084330C">
            <w:pPr>
              <w:jc w:val="right"/>
              <w:rPr>
                <w:b/>
                <w:bCs/>
                <w:sz w:val="20"/>
                <w:szCs w:val="20"/>
                <w:lang w:eastAsia="en-GB"/>
              </w:rPr>
            </w:pPr>
            <w:r w:rsidRPr="00E803CA">
              <w:rPr>
                <w:b/>
                <w:bCs/>
                <w:sz w:val="20"/>
                <w:szCs w:val="20"/>
                <w:lang w:eastAsia="en-GB"/>
              </w:rPr>
              <w:t>/(deficit)</w:t>
            </w:r>
          </w:p>
          <w:p w14:paraId="6D3B6484" w14:textId="77777777" w:rsidR="0084330C" w:rsidRPr="00E803CA" w:rsidRDefault="0084330C" w:rsidP="0084330C">
            <w:pPr>
              <w:jc w:val="right"/>
              <w:rPr>
                <w:b/>
                <w:bCs/>
                <w:sz w:val="20"/>
                <w:szCs w:val="20"/>
                <w:lang w:eastAsia="en-GB"/>
              </w:rPr>
            </w:pPr>
            <w:r w:rsidRPr="00E803CA">
              <w:rPr>
                <w:b/>
                <w:bCs/>
                <w:sz w:val="20"/>
                <w:szCs w:val="20"/>
                <w:lang w:eastAsia="en-GB"/>
              </w:rPr>
              <w:t>£’000</w:t>
            </w:r>
          </w:p>
        </w:tc>
        <w:tc>
          <w:tcPr>
            <w:tcW w:w="1361" w:type="dxa"/>
            <w:shd w:val="clear" w:color="auto" w:fill="auto"/>
            <w:noWrap/>
            <w:vAlign w:val="bottom"/>
          </w:tcPr>
          <w:p w14:paraId="623E56A5" w14:textId="35AE7E1F" w:rsidR="0084330C" w:rsidRPr="00E803CA" w:rsidRDefault="0084330C" w:rsidP="0084330C">
            <w:pPr>
              <w:jc w:val="right"/>
              <w:rPr>
                <w:b/>
                <w:bCs/>
                <w:sz w:val="20"/>
                <w:szCs w:val="20"/>
                <w:lang w:eastAsia="en-GB"/>
              </w:rPr>
            </w:pPr>
            <w:r w:rsidRPr="00E803CA">
              <w:rPr>
                <w:b/>
                <w:bCs/>
                <w:sz w:val="20"/>
                <w:szCs w:val="20"/>
                <w:lang w:eastAsia="en-GB"/>
              </w:rPr>
              <w:t>202</w:t>
            </w:r>
            <w:r w:rsidR="00814891">
              <w:rPr>
                <w:b/>
                <w:bCs/>
                <w:sz w:val="20"/>
                <w:szCs w:val="20"/>
                <w:lang w:eastAsia="en-GB"/>
              </w:rPr>
              <w:t>3</w:t>
            </w:r>
          </w:p>
          <w:p w14:paraId="0C8EDE4C" w14:textId="77777777" w:rsidR="0084330C" w:rsidRPr="00E803CA" w:rsidRDefault="0084330C" w:rsidP="0084330C">
            <w:pPr>
              <w:jc w:val="right"/>
              <w:rPr>
                <w:b/>
                <w:bCs/>
                <w:sz w:val="20"/>
                <w:szCs w:val="20"/>
                <w:lang w:eastAsia="en-GB"/>
              </w:rPr>
            </w:pPr>
            <w:r w:rsidRPr="00E803CA">
              <w:rPr>
                <w:b/>
                <w:bCs/>
                <w:sz w:val="20"/>
                <w:szCs w:val="20"/>
                <w:lang w:eastAsia="en-GB"/>
              </w:rPr>
              <w:t>Operating</w:t>
            </w:r>
          </w:p>
          <w:p w14:paraId="5FF2C1BB" w14:textId="77777777" w:rsidR="0084330C" w:rsidRPr="00E803CA" w:rsidRDefault="0084330C" w:rsidP="0084330C">
            <w:pPr>
              <w:jc w:val="right"/>
              <w:rPr>
                <w:b/>
                <w:bCs/>
                <w:sz w:val="20"/>
                <w:szCs w:val="20"/>
                <w:lang w:eastAsia="en-GB"/>
              </w:rPr>
            </w:pPr>
            <w:r w:rsidRPr="00E803CA">
              <w:rPr>
                <w:b/>
                <w:bCs/>
                <w:sz w:val="20"/>
                <w:szCs w:val="20"/>
                <w:lang w:eastAsia="en-GB"/>
              </w:rPr>
              <w:t>Surplus</w:t>
            </w:r>
          </w:p>
          <w:p w14:paraId="7EFEFEA4" w14:textId="77777777" w:rsidR="0084330C" w:rsidRPr="00E803CA" w:rsidRDefault="0084330C" w:rsidP="0084330C">
            <w:pPr>
              <w:jc w:val="right"/>
              <w:rPr>
                <w:b/>
                <w:bCs/>
                <w:sz w:val="20"/>
                <w:szCs w:val="20"/>
                <w:lang w:eastAsia="en-GB"/>
              </w:rPr>
            </w:pPr>
            <w:r w:rsidRPr="00E803CA">
              <w:rPr>
                <w:b/>
                <w:bCs/>
                <w:sz w:val="20"/>
                <w:szCs w:val="20"/>
                <w:lang w:eastAsia="en-GB"/>
              </w:rPr>
              <w:t>/(deficit)</w:t>
            </w:r>
          </w:p>
          <w:p w14:paraId="1F8689DE" w14:textId="177BE65F" w:rsidR="0084330C" w:rsidRPr="00E803CA" w:rsidRDefault="0084330C" w:rsidP="0084330C">
            <w:pPr>
              <w:jc w:val="right"/>
              <w:rPr>
                <w:b/>
                <w:bCs/>
                <w:sz w:val="20"/>
                <w:szCs w:val="20"/>
                <w:lang w:eastAsia="en-GB"/>
              </w:rPr>
            </w:pPr>
            <w:r w:rsidRPr="00E803CA">
              <w:rPr>
                <w:b/>
                <w:bCs/>
                <w:sz w:val="20"/>
                <w:szCs w:val="20"/>
                <w:lang w:eastAsia="en-GB"/>
              </w:rPr>
              <w:t>£’000</w:t>
            </w:r>
          </w:p>
        </w:tc>
      </w:tr>
      <w:tr w:rsidR="00F10485" w:rsidRPr="00E803CA" w14:paraId="1D65BAAE" w14:textId="77777777" w:rsidTr="004D6DFE">
        <w:trPr>
          <w:trHeight w:val="319"/>
        </w:trPr>
        <w:tc>
          <w:tcPr>
            <w:tcW w:w="2253" w:type="dxa"/>
            <w:shd w:val="clear" w:color="auto" w:fill="auto"/>
            <w:vAlign w:val="center"/>
          </w:tcPr>
          <w:p w14:paraId="1D350E6E" w14:textId="77777777" w:rsidR="00CA1311" w:rsidRPr="00E803CA" w:rsidRDefault="00CA1311" w:rsidP="00CA1311">
            <w:pPr>
              <w:rPr>
                <w:sz w:val="20"/>
                <w:szCs w:val="20"/>
              </w:rPr>
            </w:pPr>
            <w:r w:rsidRPr="00E803CA">
              <w:rPr>
                <w:sz w:val="20"/>
                <w:szCs w:val="20"/>
              </w:rPr>
              <w:t>Wider role</w:t>
            </w:r>
          </w:p>
        </w:tc>
        <w:tc>
          <w:tcPr>
            <w:tcW w:w="1361" w:type="dxa"/>
            <w:shd w:val="clear" w:color="auto" w:fill="auto"/>
            <w:noWrap/>
            <w:vAlign w:val="center"/>
          </w:tcPr>
          <w:p w14:paraId="590844D2" w14:textId="3287797B" w:rsidR="00CA1311" w:rsidRPr="00E803CA" w:rsidRDefault="006D4C6A" w:rsidP="00CA1311">
            <w:pPr>
              <w:jc w:val="right"/>
              <w:rPr>
                <w:sz w:val="20"/>
                <w:szCs w:val="20"/>
              </w:rPr>
            </w:pPr>
            <w:r>
              <w:rPr>
                <w:sz w:val="20"/>
                <w:szCs w:val="20"/>
              </w:rPr>
              <w:t>-</w:t>
            </w:r>
          </w:p>
        </w:tc>
        <w:tc>
          <w:tcPr>
            <w:tcW w:w="1361" w:type="dxa"/>
            <w:shd w:val="clear" w:color="auto" w:fill="auto"/>
            <w:noWrap/>
            <w:vAlign w:val="center"/>
          </w:tcPr>
          <w:p w14:paraId="2D45053B" w14:textId="7B07E9A4" w:rsidR="00CA1311" w:rsidRPr="00E803CA" w:rsidRDefault="009F5F96" w:rsidP="00CA1311">
            <w:pPr>
              <w:jc w:val="right"/>
              <w:rPr>
                <w:sz w:val="20"/>
                <w:szCs w:val="20"/>
              </w:rPr>
            </w:pPr>
            <w:r>
              <w:rPr>
                <w:sz w:val="20"/>
                <w:szCs w:val="20"/>
              </w:rPr>
              <w:t>769</w:t>
            </w:r>
          </w:p>
        </w:tc>
        <w:tc>
          <w:tcPr>
            <w:tcW w:w="1361" w:type="dxa"/>
            <w:shd w:val="clear" w:color="auto" w:fill="auto"/>
            <w:noWrap/>
            <w:vAlign w:val="center"/>
          </w:tcPr>
          <w:p w14:paraId="4BE67336" w14:textId="5B9142B6" w:rsidR="00CA1311" w:rsidRPr="00F4705F" w:rsidRDefault="009F5F96" w:rsidP="00CA1311">
            <w:pPr>
              <w:jc w:val="right"/>
              <w:rPr>
                <w:b/>
                <w:bCs/>
                <w:sz w:val="20"/>
                <w:szCs w:val="20"/>
                <w:lang w:eastAsia="en-GB"/>
              </w:rPr>
            </w:pPr>
            <w:r w:rsidRPr="00F4705F">
              <w:rPr>
                <w:b/>
                <w:bCs/>
                <w:sz w:val="20"/>
                <w:szCs w:val="20"/>
                <w:lang w:eastAsia="en-GB"/>
              </w:rPr>
              <w:t>769</w:t>
            </w:r>
          </w:p>
        </w:tc>
        <w:tc>
          <w:tcPr>
            <w:tcW w:w="1361" w:type="dxa"/>
            <w:shd w:val="clear" w:color="auto" w:fill="auto"/>
            <w:noWrap/>
            <w:vAlign w:val="center"/>
          </w:tcPr>
          <w:p w14:paraId="62DEC318" w14:textId="0C117F9C" w:rsidR="00CA1311" w:rsidRPr="00F4705F" w:rsidRDefault="00956C07" w:rsidP="00CA1311">
            <w:pPr>
              <w:jc w:val="right"/>
              <w:rPr>
                <w:sz w:val="20"/>
                <w:szCs w:val="20"/>
              </w:rPr>
            </w:pPr>
            <w:r w:rsidRPr="00F4705F">
              <w:rPr>
                <w:sz w:val="20"/>
                <w:szCs w:val="20"/>
              </w:rPr>
              <w:t>(</w:t>
            </w:r>
            <w:r w:rsidR="009F5F96" w:rsidRPr="00F4705F">
              <w:rPr>
                <w:sz w:val="20"/>
                <w:szCs w:val="20"/>
              </w:rPr>
              <w:t>1,3</w:t>
            </w:r>
            <w:r w:rsidR="001E7953" w:rsidRPr="00F4705F">
              <w:rPr>
                <w:sz w:val="20"/>
                <w:szCs w:val="20"/>
              </w:rPr>
              <w:t>79</w:t>
            </w:r>
            <w:r w:rsidRPr="00F4705F">
              <w:rPr>
                <w:sz w:val="20"/>
                <w:szCs w:val="20"/>
              </w:rPr>
              <w:t>)</w:t>
            </w:r>
          </w:p>
        </w:tc>
        <w:tc>
          <w:tcPr>
            <w:tcW w:w="1361" w:type="dxa"/>
            <w:shd w:val="clear" w:color="auto" w:fill="auto"/>
            <w:noWrap/>
            <w:vAlign w:val="center"/>
          </w:tcPr>
          <w:p w14:paraId="16EF5FD0" w14:textId="7A040330" w:rsidR="00CA1311" w:rsidRPr="00F4705F" w:rsidRDefault="00956C07" w:rsidP="00CA1311">
            <w:pPr>
              <w:jc w:val="right"/>
              <w:rPr>
                <w:sz w:val="20"/>
                <w:szCs w:val="20"/>
              </w:rPr>
            </w:pPr>
            <w:r w:rsidRPr="00F4705F">
              <w:rPr>
                <w:sz w:val="20"/>
                <w:szCs w:val="20"/>
              </w:rPr>
              <w:t>(</w:t>
            </w:r>
            <w:r w:rsidR="006951D8" w:rsidRPr="00F4705F">
              <w:rPr>
                <w:sz w:val="20"/>
                <w:szCs w:val="20"/>
              </w:rPr>
              <w:t>61</w:t>
            </w:r>
            <w:r w:rsidR="001E7953" w:rsidRPr="00F4705F">
              <w:rPr>
                <w:sz w:val="20"/>
                <w:szCs w:val="20"/>
              </w:rPr>
              <w:t>0</w:t>
            </w:r>
            <w:r w:rsidRPr="00F4705F">
              <w:rPr>
                <w:sz w:val="20"/>
                <w:szCs w:val="20"/>
              </w:rPr>
              <w:t>)</w:t>
            </w:r>
          </w:p>
        </w:tc>
        <w:tc>
          <w:tcPr>
            <w:tcW w:w="1361" w:type="dxa"/>
            <w:shd w:val="clear" w:color="auto" w:fill="auto"/>
            <w:noWrap/>
            <w:vAlign w:val="center"/>
          </w:tcPr>
          <w:p w14:paraId="783B7E35" w14:textId="2628AE91" w:rsidR="00CA1311" w:rsidRPr="00E803CA" w:rsidRDefault="00CA1311" w:rsidP="00CA1311">
            <w:pPr>
              <w:jc w:val="right"/>
              <w:rPr>
                <w:sz w:val="20"/>
                <w:szCs w:val="20"/>
              </w:rPr>
            </w:pPr>
            <w:r w:rsidRPr="00E803CA">
              <w:rPr>
                <w:sz w:val="20"/>
                <w:szCs w:val="20"/>
              </w:rPr>
              <w:t>(1,939)</w:t>
            </w:r>
          </w:p>
        </w:tc>
      </w:tr>
      <w:tr w:rsidR="00F10485" w:rsidRPr="00E803CA" w14:paraId="7AFBE100" w14:textId="77777777" w:rsidTr="004D6DFE">
        <w:trPr>
          <w:trHeight w:val="330"/>
        </w:trPr>
        <w:tc>
          <w:tcPr>
            <w:tcW w:w="2253" w:type="dxa"/>
            <w:shd w:val="clear" w:color="auto" w:fill="auto"/>
            <w:vAlign w:val="center"/>
          </w:tcPr>
          <w:p w14:paraId="54958EEE" w14:textId="77777777" w:rsidR="00CA1311" w:rsidRPr="00E803CA" w:rsidRDefault="00CA1311" w:rsidP="00CA1311">
            <w:pPr>
              <w:rPr>
                <w:sz w:val="20"/>
                <w:szCs w:val="20"/>
              </w:rPr>
            </w:pPr>
            <w:r w:rsidRPr="00E803CA">
              <w:rPr>
                <w:sz w:val="20"/>
                <w:szCs w:val="20"/>
              </w:rPr>
              <w:t>Investment property activities</w:t>
            </w:r>
          </w:p>
        </w:tc>
        <w:tc>
          <w:tcPr>
            <w:tcW w:w="1361" w:type="dxa"/>
            <w:shd w:val="clear" w:color="auto" w:fill="auto"/>
            <w:noWrap/>
            <w:vAlign w:val="center"/>
          </w:tcPr>
          <w:p w14:paraId="759861DF" w14:textId="0704660A" w:rsidR="00CA1311" w:rsidRPr="00E803CA" w:rsidRDefault="00956C07" w:rsidP="00CA1311">
            <w:pPr>
              <w:jc w:val="right"/>
              <w:rPr>
                <w:sz w:val="20"/>
                <w:szCs w:val="20"/>
              </w:rPr>
            </w:pPr>
            <w:r>
              <w:rPr>
                <w:sz w:val="20"/>
                <w:szCs w:val="20"/>
              </w:rPr>
              <w:t>-</w:t>
            </w:r>
          </w:p>
        </w:tc>
        <w:tc>
          <w:tcPr>
            <w:tcW w:w="1361" w:type="dxa"/>
            <w:shd w:val="clear" w:color="auto" w:fill="auto"/>
            <w:noWrap/>
            <w:vAlign w:val="center"/>
          </w:tcPr>
          <w:p w14:paraId="71EFB061" w14:textId="4CD19D3B" w:rsidR="00CA1311" w:rsidRPr="00E803CA" w:rsidRDefault="00D72B44" w:rsidP="00CA1311">
            <w:pPr>
              <w:jc w:val="right"/>
              <w:rPr>
                <w:sz w:val="20"/>
                <w:szCs w:val="20"/>
              </w:rPr>
            </w:pPr>
            <w:r>
              <w:rPr>
                <w:sz w:val="20"/>
                <w:szCs w:val="20"/>
              </w:rPr>
              <w:t>615</w:t>
            </w:r>
          </w:p>
        </w:tc>
        <w:tc>
          <w:tcPr>
            <w:tcW w:w="1361" w:type="dxa"/>
            <w:shd w:val="clear" w:color="auto" w:fill="auto"/>
            <w:noWrap/>
            <w:vAlign w:val="center"/>
          </w:tcPr>
          <w:p w14:paraId="134E698F" w14:textId="6FA28EED" w:rsidR="00CA1311" w:rsidRPr="00F4705F" w:rsidRDefault="00956C07" w:rsidP="00CA1311">
            <w:pPr>
              <w:jc w:val="right"/>
              <w:rPr>
                <w:b/>
                <w:bCs/>
                <w:sz w:val="20"/>
                <w:szCs w:val="20"/>
                <w:lang w:eastAsia="en-GB"/>
              </w:rPr>
            </w:pPr>
            <w:r w:rsidRPr="00F4705F">
              <w:rPr>
                <w:b/>
                <w:bCs/>
                <w:sz w:val="20"/>
                <w:szCs w:val="20"/>
                <w:lang w:eastAsia="en-GB"/>
              </w:rPr>
              <w:t>6</w:t>
            </w:r>
            <w:r w:rsidR="009224A3" w:rsidRPr="00F4705F">
              <w:rPr>
                <w:b/>
                <w:bCs/>
                <w:sz w:val="20"/>
                <w:szCs w:val="20"/>
                <w:lang w:eastAsia="en-GB"/>
              </w:rPr>
              <w:t>15</w:t>
            </w:r>
          </w:p>
        </w:tc>
        <w:tc>
          <w:tcPr>
            <w:tcW w:w="1361" w:type="dxa"/>
            <w:shd w:val="clear" w:color="auto" w:fill="auto"/>
            <w:noWrap/>
            <w:vAlign w:val="center"/>
          </w:tcPr>
          <w:p w14:paraId="42345137" w14:textId="1F2C30CF" w:rsidR="00CA1311" w:rsidRPr="00F4705F" w:rsidRDefault="00956C07" w:rsidP="00CA1311">
            <w:pPr>
              <w:jc w:val="right"/>
              <w:rPr>
                <w:sz w:val="20"/>
                <w:szCs w:val="20"/>
              </w:rPr>
            </w:pPr>
            <w:r w:rsidRPr="00F4705F">
              <w:rPr>
                <w:sz w:val="20"/>
                <w:szCs w:val="20"/>
              </w:rPr>
              <w:t>-</w:t>
            </w:r>
          </w:p>
        </w:tc>
        <w:tc>
          <w:tcPr>
            <w:tcW w:w="1361" w:type="dxa"/>
            <w:shd w:val="clear" w:color="auto" w:fill="auto"/>
            <w:noWrap/>
            <w:vAlign w:val="center"/>
          </w:tcPr>
          <w:p w14:paraId="6C1C82A5" w14:textId="0595F855" w:rsidR="00CA1311" w:rsidRPr="00F4705F" w:rsidRDefault="00603013" w:rsidP="00CA1311">
            <w:pPr>
              <w:jc w:val="right"/>
              <w:rPr>
                <w:sz w:val="20"/>
                <w:szCs w:val="20"/>
              </w:rPr>
            </w:pPr>
            <w:r w:rsidRPr="00F4705F">
              <w:rPr>
                <w:sz w:val="20"/>
                <w:szCs w:val="20"/>
              </w:rPr>
              <w:t>615</w:t>
            </w:r>
          </w:p>
        </w:tc>
        <w:tc>
          <w:tcPr>
            <w:tcW w:w="1361" w:type="dxa"/>
            <w:shd w:val="clear" w:color="auto" w:fill="auto"/>
            <w:noWrap/>
            <w:vAlign w:val="center"/>
          </w:tcPr>
          <w:p w14:paraId="1CCCE1B7" w14:textId="230205EE" w:rsidR="00CA1311" w:rsidRPr="00E803CA" w:rsidRDefault="00CA1311" w:rsidP="00CA1311">
            <w:pPr>
              <w:jc w:val="right"/>
              <w:rPr>
                <w:sz w:val="20"/>
                <w:szCs w:val="20"/>
              </w:rPr>
            </w:pPr>
            <w:r w:rsidRPr="00E803CA">
              <w:rPr>
                <w:sz w:val="20"/>
                <w:szCs w:val="20"/>
              </w:rPr>
              <w:t>650</w:t>
            </w:r>
          </w:p>
        </w:tc>
      </w:tr>
      <w:tr w:rsidR="00F10485" w:rsidRPr="00E803CA" w14:paraId="19EED1FB" w14:textId="77777777" w:rsidTr="004D6DFE">
        <w:trPr>
          <w:trHeight w:val="330"/>
        </w:trPr>
        <w:tc>
          <w:tcPr>
            <w:tcW w:w="2253" w:type="dxa"/>
            <w:shd w:val="clear" w:color="auto" w:fill="auto"/>
            <w:vAlign w:val="center"/>
          </w:tcPr>
          <w:p w14:paraId="2BF3ADB2" w14:textId="77777777" w:rsidR="00CA1311" w:rsidRPr="00E803CA" w:rsidRDefault="00CA1311" w:rsidP="00CA1311">
            <w:pPr>
              <w:rPr>
                <w:sz w:val="20"/>
                <w:szCs w:val="20"/>
              </w:rPr>
            </w:pPr>
            <w:r w:rsidRPr="00E803CA">
              <w:rPr>
                <w:sz w:val="20"/>
                <w:szCs w:val="20"/>
              </w:rPr>
              <w:t>Support activities</w:t>
            </w:r>
          </w:p>
        </w:tc>
        <w:tc>
          <w:tcPr>
            <w:tcW w:w="1361" w:type="dxa"/>
            <w:shd w:val="clear" w:color="auto" w:fill="auto"/>
            <w:noWrap/>
            <w:vAlign w:val="center"/>
          </w:tcPr>
          <w:p w14:paraId="4DBFDF56" w14:textId="51283A4A" w:rsidR="00CA1311" w:rsidRPr="00E803CA" w:rsidRDefault="00660116" w:rsidP="00CA1311">
            <w:pPr>
              <w:jc w:val="right"/>
              <w:rPr>
                <w:sz w:val="20"/>
                <w:szCs w:val="20"/>
              </w:rPr>
            </w:pPr>
            <w:r>
              <w:rPr>
                <w:sz w:val="20"/>
                <w:szCs w:val="20"/>
              </w:rPr>
              <w:t>148</w:t>
            </w:r>
          </w:p>
        </w:tc>
        <w:tc>
          <w:tcPr>
            <w:tcW w:w="1361" w:type="dxa"/>
            <w:shd w:val="clear" w:color="auto" w:fill="auto"/>
            <w:noWrap/>
            <w:vAlign w:val="center"/>
          </w:tcPr>
          <w:p w14:paraId="54E7B3A4" w14:textId="0F5114EF" w:rsidR="00CA1311" w:rsidRPr="00E803CA" w:rsidRDefault="00660116" w:rsidP="00CA1311">
            <w:pPr>
              <w:jc w:val="right"/>
              <w:rPr>
                <w:sz w:val="20"/>
                <w:szCs w:val="20"/>
              </w:rPr>
            </w:pPr>
            <w:r>
              <w:rPr>
                <w:sz w:val="20"/>
                <w:szCs w:val="20"/>
              </w:rPr>
              <w:t>-</w:t>
            </w:r>
          </w:p>
        </w:tc>
        <w:tc>
          <w:tcPr>
            <w:tcW w:w="1361" w:type="dxa"/>
            <w:shd w:val="clear" w:color="auto" w:fill="auto"/>
            <w:noWrap/>
            <w:vAlign w:val="center"/>
          </w:tcPr>
          <w:p w14:paraId="57E38CC5" w14:textId="78CDF27C" w:rsidR="00CA1311" w:rsidRPr="00F4705F" w:rsidRDefault="00660116" w:rsidP="00CA1311">
            <w:pPr>
              <w:jc w:val="right"/>
              <w:rPr>
                <w:b/>
                <w:bCs/>
                <w:sz w:val="20"/>
                <w:szCs w:val="20"/>
                <w:lang w:eastAsia="en-GB"/>
              </w:rPr>
            </w:pPr>
            <w:r w:rsidRPr="00F4705F">
              <w:rPr>
                <w:b/>
                <w:bCs/>
                <w:sz w:val="20"/>
                <w:szCs w:val="20"/>
                <w:lang w:eastAsia="en-GB"/>
              </w:rPr>
              <w:t>148</w:t>
            </w:r>
          </w:p>
        </w:tc>
        <w:tc>
          <w:tcPr>
            <w:tcW w:w="1361" w:type="dxa"/>
            <w:shd w:val="clear" w:color="auto" w:fill="auto"/>
            <w:noWrap/>
            <w:vAlign w:val="center"/>
          </w:tcPr>
          <w:p w14:paraId="4F9C3483" w14:textId="4A605BFD" w:rsidR="00CA1311" w:rsidRPr="00F4705F" w:rsidRDefault="00660116" w:rsidP="00CA1311">
            <w:pPr>
              <w:jc w:val="right"/>
              <w:rPr>
                <w:sz w:val="20"/>
                <w:szCs w:val="20"/>
              </w:rPr>
            </w:pPr>
            <w:r w:rsidRPr="00F4705F">
              <w:rPr>
                <w:sz w:val="20"/>
                <w:szCs w:val="20"/>
              </w:rPr>
              <w:t>(68)</w:t>
            </w:r>
          </w:p>
        </w:tc>
        <w:tc>
          <w:tcPr>
            <w:tcW w:w="1361" w:type="dxa"/>
            <w:shd w:val="clear" w:color="auto" w:fill="auto"/>
            <w:noWrap/>
            <w:vAlign w:val="center"/>
          </w:tcPr>
          <w:p w14:paraId="3697625A" w14:textId="74A7B2CE" w:rsidR="00CA1311" w:rsidRPr="00F4705F" w:rsidRDefault="00660116" w:rsidP="00CA1311">
            <w:pPr>
              <w:jc w:val="right"/>
              <w:rPr>
                <w:sz w:val="20"/>
                <w:szCs w:val="20"/>
              </w:rPr>
            </w:pPr>
            <w:r w:rsidRPr="00F4705F">
              <w:rPr>
                <w:sz w:val="20"/>
                <w:szCs w:val="20"/>
              </w:rPr>
              <w:t>80</w:t>
            </w:r>
          </w:p>
        </w:tc>
        <w:tc>
          <w:tcPr>
            <w:tcW w:w="1361" w:type="dxa"/>
            <w:shd w:val="clear" w:color="auto" w:fill="auto"/>
            <w:noWrap/>
            <w:vAlign w:val="center"/>
          </w:tcPr>
          <w:p w14:paraId="68A4EB96" w14:textId="616F80FC" w:rsidR="00CA1311" w:rsidRPr="00E803CA" w:rsidRDefault="00CA1311" w:rsidP="00CA1311">
            <w:pPr>
              <w:jc w:val="right"/>
              <w:rPr>
                <w:sz w:val="20"/>
                <w:szCs w:val="20"/>
              </w:rPr>
            </w:pPr>
            <w:r w:rsidRPr="00E803CA">
              <w:rPr>
                <w:sz w:val="20"/>
                <w:szCs w:val="20"/>
              </w:rPr>
              <w:t>56</w:t>
            </w:r>
          </w:p>
        </w:tc>
      </w:tr>
      <w:tr w:rsidR="00F10485" w:rsidRPr="00E803CA" w14:paraId="6A058CD7" w14:textId="77777777" w:rsidTr="004D6DFE">
        <w:trPr>
          <w:trHeight w:val="330"/>
        </w:trPr>
        <w:tc>
          <w:tcPr>
            <w:tcW w:w="2253" w:type="dxa"/>
            <w:shd w:val="clear" w:color="auto" w:fill="auto"/>
            <w:vAlign w:val="center"/>
          </w:tcPr>
          <w:p w14:paraId="4F4292BA" w14:textId="77777777" w:rsidR="00CA1311" w:rsidRPr="00E803CA" w:rsidRDefault="00CA1311" w:rsidP="00CA1311">
            <w:pPr>
              <w:rPr>
                <w:sz w:val="20"/>
                <w:szCs w:val="20"/>
              </w:rPr>
            </w:pPr>
            <w:r w:rsidRPr="00E803CA">
              <w:rPr>
                <w:sz w:val="20"/>
                <w:szCs w:val="20"/>
              </w:rPr>
              <w:t>Organisation restructuring</w:t>
            </w:r>
          </w:p>
        </w:tc>
        <w:tc>
          <w:tcPr>
            <w:tcW w:w="1361" w:type="dxa"/>
            <w:shd w:val="clear" w:color="auto" w:fill="auto"/>
            <w:noWrap/>
            <w:vAlign w:val="center"/>
          </w:tcPr>
          <w:p w14:paraId="54A5B6B8" w14:textId="0B95977A" w:rsidR="00CA1311" w:rsidRPr="00E803CA" w:rsidRDefault="00B62531" w:rsidP="00CA1311">
            <w:pPr>
              <w:jc w:val="right"/>
              <w:rPr>
                <w:sz w:val="20"/>
                <w:szCs w:val="20"/>
              </w:rPr>
            </w:pPr>
            <w:r>
              <w:rPr>
                <w:sz w:val="20"/>
                <w:szCs w:val="20"/>
              </w:rPr>
              <w:t>-</w:t>
            </w:r>
          </w:p>
        </w:tc>
        <w:tc>
          <w:tcPr>
            <w:tcW w:w="1361" w:type="dxa"/>
            <w:shd w:val="clear" w:color="auto" w:fill="auto"/>
            <w:noWrap/>
            <w:vAlign w:val="center"/>
          </w:tcPr>
          <w:p w14:paraId="745F9565" w14:textId="04E0DE4B" w:rsidR="00CA1311" w:rsidRPr="00E803CA" w:rsidRDefault="00B62531" w:rsidP="00CA1311">
            <w:pPr>
              <w:jc w:val="right"/>
              <w:rPr>
                <w:sz w:val="20"/>
                <w:szCs w:val="20"/>
              </w:rPr>
            </w:pPr>
            <w:r>
              <w:rPr>
                <w:sz w:val="20"/>
                <w:szCs w:val="20"/>
              </w:rPr>
              <w:t>-</w:t>
            </w:r>
          </w:p>
        </w:tc>
        <w:tc>
          <w:tcPr>
            <w:tcW w:w="1361" w:type="dxa"/>
            <w:shd w:val="clear" w:color="auto" w:fill="auto"/>
            <w:noWrap/>
            <w:vAlign w:val="center"/>
          </w:tcPr>
          <w:p w14:paraId="11F33AC1" w14:textId="41BC94D9" w:rsidR="00CA1311" w:rsidRPr="00F4705F" w:rsidRDefault="00B62531" w:rsidP="00CA1311">
            <w:pPr>
              <w:jc w:val="right"/>
              <w:rPr>
                <w:b/>
                <w:bCs/>
                <w:sz w:val="20"/>
                <w:szCs w:val="20"/>
                <w:lang w:eastAsia="en-GB"/>
              </w:rPr>
            </w:pPr>
            <w:r w:rsidRPr="00F4705F">
              <w:rPr>
                <w:b/>
                <w:bCs/>
                <w:sz w:val="20"/>
                <w:szCs w:val="20"/>
                <w:lang w:eastAsia="en-GB"/>
              </w:rPr>
              <w:t>-</w:t>
            </w:r>
          </w:p>
        </w:tc>
        <w:tc>
          <w:tcPr>
            <w:tcW w:w="1361" w:type="dxa"/>
            <w:shd w:val="clear" w:color="auto" w:fill="auto"/>
            <w:noWrap/>
            <w:vAlign w:val="center"/>
          </w:tcPr>
          <w:p w14:paraId="3B21C9B7" w14:textId="1067B17D" w:rsidR="00CA1311" w:rsidRPr="00F4705F" w:rsidRDefault="00B62531" w:rsidP="00CA1311">
            <w:pPr>
              <w:jc w:val="right"/>
              <w:rPr>
                <w:sz w:val="20"/>
                <w:szCs w:val="20"/>
              </w:rPr>
            </w:pPr>
            <w:r w:rsidRPr="00F4705F">
              <w:rPr>
                <w:sz w:val="20"/>
                <w:szCs w:val="20"/>
              </w:rPr>
              <w:t>(164)</w:t>
            </w:r>
          </w:p>
        </w:tc>
        <w:tc>
          <w:tcPr>
            <w:tcW w:w="1361" w:type="dxa"/>
            <w:shd w:val="clear" w:color="auto" w:fill="auto"/>
            <w:noWrap/>
            <w:vAlign w:val="center"/>
          </w:tcPr>
          <w:p w14:paraId="1A4455E3" w14:textId="200D45FC" w:rsidR="00CA1311" w:rsidRPr="00F4705F" w:rsidRDefault="00B62531" w:rsidP="00CA1311">
            <w:pPr>
              <w:jc w:val="right"/>
              <w:rPr>
                <w:sz w:val="20"/>
                <w:szCs w:val="20"/>
              </w:rPr>
            </w:pPr>
            <w:r w:rsidRPr="00F4705F">
              <w:rPr>
                <w:sz w:val="20"/>
                <w:szCs w:val="20"/>
              </w:rPr>
              <w:t>(164)</w:t>
            </w:r>
          </w:p>
        </w:tc>
        <w:tc>
          <w:tcPr>
            <w:tcW w:w="1361" w:type="dxa"/>
            <w:shd w:val="clear" w:color="auto" w:fill="auto"/>
            <w:noWrap/>
            <w:vAlign w:val="center"/>
          </w:tcPr>
          <w:p w14:paraId="4A9FA83A" w14:textId="53C80894" w:rsidR="00CA1311" w:rsidRPr="00E803CA" w:rsidRDefault="00CA1311" w:rsidP="00CA1311">
            <w:pPr>
              <w:jc w:val="right"/>
              <w:rPr>
                <w:sz w:val="20"/>
                <w:szCs w:val="20"/>
              </w:rPr>
            </w:pPr>
            <w:r w:rsidRPr="00E803CA">
              <w:rPr>
                <w:sz w:val="20"/>
                <w:szCs w:val="20"/>
              </w:rPr>
              <w:t>(221)</w:t>
            </w:r>
          </w:p>
        </w:tc>
      </w:tr>
      <w:tr w:rsidR="00F10485" w:rsidRPr="00E803CA" w14:paraId="18479940" w14:textId="77777777" w:rsidTr="004D6DFE">
        <w:trPr>
          <w:trHeight w:val="330"/>
        </w:trPr>
        <w:tc>
          <w:tcPr>
            <w:tcW w:w="2253" w:type="dxa"/>
            <w:shd w:val="clear" w:color="auto" w:fill="auto"/>
            <w:vAlign w:val="center"/>
          </w:tcPr>
          <w:p w14:paraId="71F8F0CA" w14:textId="77777777" w:rsidR="00CA1311" w:rsidRPr="00E803CA" w:rsidRDefault="00CA1311" w:rsidP="00CA1311">
            <w:pPr>
              <w:rPr>
                <w:sz w:val="20"/>
                <w:szCs w:val="20"/>
              </w:rPr>
            </w:pPr>
            <w:r w:rsidRPr="00E803CA">
              <w:rPr>
                <w:sz w:val="20"/>
                <w:szCs w:val="20"/>
              </w:rPr>
              <w:t>Environmental grants</w:t>
            </w:r>
          </w:p>
        </w:tc>
        <w:tc>
          <w:tcPr>
            <w:tcW w:w="1361" w:type="dxa"/>
            <w:shd w:val="clear" w:color="auto" w:fill="auto"/>
            <w:noWrap/>
            <w:vAlign w:val="center"/>
          </w:tcPr>
          <w:p w14:paraId="39F4C1BA" w14:textId="3842A7CB" w:rsidR="00CA1311" w:rsidRPr="00E803CA" w:rsidRDefault="00B62531" w:rsidP="00CA1311">
            <w:pPr>
              <w:jc w:val="right"/>
              <w:rPr>
                <w:sz w:val="20"/>
                <w:szCs w:val="20"/>
              </w:rPr>
            </w:pPr>
            <w:r>
              <w:rPr>
                <w:sz w:val="20"/>
                <w:szCs w:val="20"/>
              </w:rPr>
              <w:t>-</w:t>
            </w:r>
          </w:p>
        </w:tc>
        <w:tc>
          <w:tcPr>
            <w:tcW w:w="1361" w:type="dxa"/>
            <w:shd w:val="clear" w:color="auto" w:fill="auto"/>
            <w:noWrap/>
            <w:vAlign w:val="center"/>
          </w:tcPr>
          <w:p w14:paraId="7DB8D91A" w14:textId="702BE904" w:rsidR="00CA1311" w:rsidRPr="00E803CA" w:rsidRDefault="00B62531" w:rsidP="00CA1311">
            <w:pPr>
              <w:jc w:val="right"/>
              <w:rPr>
                <w:sz w:val="20"/>
                <w:szCs w:val="20"/>
              </w:rPr>
            </w:pPr>
            <w:r>
              <w:rPr>
                <w:sz w:val="20"/>
                <w:szCs w:val="20"/>
              </w:rPr>
              <w:t>-</w:t>
            </w:r>
          </w:p>
        </w:tc>
        <w:tc>
          <w:tcPr>
            <w:tcW w:w="1361" w:type="dxa"/>
            <w:shd w:val="clear" w:color="auto" w:fill="auto"/>
            <w:noWrap/>
            <w:vAlign w:val="center"/>
          </w:tcPr>
          <w:p w14:paraId="376DC729" w14:textId="5F972939" w:rsidR="00CA1311" w:rsidRPr="00F4705F" w:rsidRDefault="00B62531" w:rsidP="00CA1311">
            <w:pPr>
              <w:jc w:val="right"/>
              <w:rPr>
                <w:b/>
                <w:bCs/>
                <w:sz w:val="20"/>
                <w:szCs w:val="20"/>
                <w:lang w:eastAsia="en-GB"/>
              </w:rPr>
            </w:pPr>
            <w:r w:rsidRPr="00F4705F">
              <w:rPr>
                <w:b/>
                <w:bCs/>
                <w:sz w:val="20"/>
                <w:szCs w:val="20"/>
                <w:lang w:eastAsia="en-GB"/>
              </w:rPr>
              <w:t>-</w:t>
            </w:r>
          </w:p>
        </w:tc>
        <w:tc>
          <w:tcPr>
            <w:tcW w:w="1361" w:type="dxa"/>
            <w:shd w:val="clear" w:color="auto" w:fill="auto"/>
            <w:noWrap/>
            <w:vAlign w:val="center"/>
          </w:tcPr>
          <w:p w14:paraId="097E4E88" w14:textId="451569C4" w:rsidR="00CA1311" w:rsidRPr="00F4705F" w:rsidRDefault="00B62531" w:rsidP="00CA1311">
            <w:pPr>
              <w:jc w:val="right"/>
              <w:rPr>
                <w:sz w:val="20"/>
                <w:szCs w:val="20"/>
              </w:rPr>
            </w:pPr>
            <w:r w:rsidRPr="00F4705F">
              <w:rPr>
                <w:sz w:val="20"/>
                <w:szCs w:val="20"/>
              </w:rPr>
              <w:t>-</w:t>
            </w:r>
          </w:p>
        </w:tc>
        <w:tc>
          <w:tcPr>
            <w:tcW w:w="1361" w:type="dxa"/>
            <w:shd w:val="clear" w:color="auto" w:fill="auto"/>
            <w:noWrap/>
            <w:vAlign w:val="center"/>
          </w:tcPr>
          <w:p w14:paraId="4D977AB1" w14:textId="618759EB" w:rsidR="00CA1311" w:rsidRPr="00F4705F" w:rsidRDefault="00B62531" w:rsidP="00CA1311">
            <w:pPr>
              <w:jc w:val="right"/>
              <w:rPr>
                <w:sz w:val="20"/>
                <w:szCs w:val="20"/>
              </w:rPr>
            </w:pPr>
            <w:r w:rsidRPr="00F4705F">
              <w:rPr>
                <w:sz w:val="20"/>
                <w:szCs w:val="20"/>
              </w:rPr>
              <w:t>-</w:t>
            </w:r>
          </w:p>
        </w:tc>
        <w:tc>
          <w:tcPr>
            <w:tcW w:w="1361" w:type="dxa"/>
            <w:shd w:val="clear" w:color="auto" w:fill="auto"/>
            <w:noWrap/>
            <w:vAlign w:val="center"/>
          </w:tcPr>
          <w:p w14:paraId="474AB67C" w14:textId="1A872055" w:rsidR="00CA1311" w:rsidRPr="00E803CA" w:rsidRDefault="00CA1311" w:rsidP="00CA1311">
            <w:pPr>
              <w:jc w:val="right"/>
              <w:rPr>
                <w:sz w:val="20"/>
                <w:szCs w:val="20"/>
              </w:rPr>
            </w:pPr>
            <w:r w:rsidRPr="00E803CA">
              <w:rPr>
                <w:sz w:val="20"/>
                <w:szCs w:val="20"/>
              </w:rPr>
              <w:t>992</w:t>
            </w:r>
          </w:p>
        </w:tc>
      </w:tr>
      <w:tr w:rsidR="00F10485" w:rsidRPr="00E803CA" w14:paraId="73308B5C" w14:textId="77777777" w:rsidTr="004D6DFE">
        <w:trPr>
          <w:trHeight w:val="266"/>
        </w:trPr>
        <w:tc>
          <w:tcPr>
            <w:tcW w:w="2253" w:type="dxa"/>
            <w:shd w:val="clear" w:color="auto" w:fill="auto"/>
            <w:vAlign w:val="center"/>
          </w:tcPr>
          <w:p w14:paraId="0DCEFCCD" w14:textId="77777777" w:rsidR="00CA1311" w:rsidRPr="00E803CA" w:rsidRDefault="00CA1311" w:rsidP="00CA1311">
            <w:pPr>
              <w:rPr>
                <w:sz w:val="20"/>
                <w:szCs w:val="20"/>
              </w:rPr>
            </w:pPr>
            <w:r w:rsidRPr="00E803CA">
              <w:rPr>
                <w:sz w:val="20"/>
                <w:szCs w:val="20"/>
              </w:rPr>
              <w:t>Other income</w:t>
            </w:r>
          </w:p>
        </w:tc>
        <w:tc>
          <w:tcPr>
            <w:tcW w:w="1361" w:type="dxa"/>
            <w:shd w:val="clear" w:color="auto" w:fill="auto"/>
            <w:noWrap/>
            <w:vAlign w:val="center"/>
          </w:tcPr>
          <w:p w14:paraId="57F878E8" w14:textId="3EC3BB53" w:rsidR="00CA1311" w:rsidRPr="00E803CA" w:rsidRDefault="00B77928" w:rsidP="00CA1311">
            <w:pPr>
              <w:jc w:val="right"/>
              <w:rPr>
                <w:sz w:val="20"/>
                <w:szCs w:val="20"/>
              </w:rPr>
            </w:pPr>
            <w:r>
              <w:rPr>
                <w:sz w:val="20"/>
                <w:szCs w:val="20"/>
              </w:rPr>
              <w:t>-</w:t>
            </w:r>
          </w:p>
        </w:tc>
        <w:tc>
          <w:tcPr>
            <w:tcW w:w="1361" w:type="dxa"/>
            <w:shd w:val="clear" w:color="auto" w:fill="auto"/>
            <w:noWrap/>
            <w:vAlign w:val="center"/>
          </w:tcPr>
          <w:p w14:paraId="724336B8" w14:textId="62C18C76" w:rsidR="00CA1311" w:rsidRPr="00E803CA" w:rsidRDefault="00B77928" w:rsidP="00CA1311">
            <w:pPr>
              <w:jc w:val="right"/>
              <w:rPr>
                <w:sz w:val="20"/>
                <w:szCs w:val="20"/>
              </w:rPr>
            </w:pPr>
            <w:r>
              <w:rPr>
                <w:sz w:val="20"/>
                <w:szCs w:val="20"/>
              </w:rPr>
              <w:t>1,6</w:t>
            </w:r>
            <w:r w:rsidR="00603013">
              <w:rPr>
                <w:sz w:val="20"/>
                <w:szCs w:val="20"/>
              </w:rPr>
              <w:t>05</w:t>
            </w:r>
          </w:p>
        </w:tc>
        <w:tc>
          <w:tcPr>
            <w:tcW w:w="1361" w:type="dxa"/>
            <w:shd w:val="clear" w:color="auto" w:fill="auto"/>
            <w:noWrap/>
            <w:vAlign w:val="center"/>
          </w:tcPr>
          <w:p w14:paraId="179713E7" w14:textId="7A8C9BBA" w:rsidR="00CA1311" w:rsidRPr="00F4705F" w:rsidRDefault="00B77928" w:rsidP="00CA1311">
            <w:pPr>
              <w:jc w:val="right"/>
              <w:rPr>
                <w:b/>
                <w:bCs/>
                <w:sz w:val="20"/>
                <w:szCs w:val="20"/>
                <w:lang w:eastAsia="en-GB"/>
              </w:rPr>
            </w:pPr>
            <w:r w:rsidRPr="00F4705F">
              <w:rPr>
                <w:b/>
                <w:bCs/>
                <w:sz w:val="20"/>
                <w:szCs w:val="20"/>
                <w:lang w:eastAsia="en-GB"/>
              </w:rPr>
              <w:t>1,6</w:t>
            </w:r>
            <w:r w:rsidR="009224A3" w:rsidRPr="00F4705F">
              <w:rPr>
                <w:b/>
                <w:bCs/>
                <w:sz w:val="20"/>
                <w:szCs w:val="20"/>
                <w:lang w:eastAsia="en-GB"/>
              </w:rPr>
              <w:t>05</w:t>
            </w:r>
          </w:p>
        </w:tc>
        <w:tc>
          <w:tcPr>
            <w:tcW w:w="1361" w:type="dxa"/>
            <w:shd w:val="clear" w:color="auto" w:fill="auto"/>
            <w:noWrap/>
            <w:vAlign w:val="center"/>
          </w:tcPr>
          <w:p w14:paraId="19E33D7E" w14:textId="74FEAA1B" w:rsidR="00CA1311" w:rsidRPr="00F4705F" w:rsidRDefault="00B77928" w:rsidP="00CA1311">
            <w:pPr>
              <w:jc w:val="right"/>
              <w:rPr>
                <w:sz w:val="20"/>
                <w:szCs w:val="20"/>
              </w:rPr>
            </w:pPr>
            <w:r w:rsidRPr="00F4705F">
              <w:rPr>
                <w:sz w:val="20"/>
                <w:szCs w:val="20"/>
              </w:rPr>
              <w:t>-</w:t>
            </w:r>
          </w:p>
        </w:tc>
        <w:tc>
          <w:tcPr>
            <w:tcW w:w="1361" w:type="dxa"/>
            <w:shd w:val="clear" w:color="auto" w:fill="auto"/>
            <w:noWrap/>
            <w:vAlign w:val="center"/>
          </w:tcPr>
          <w:p w14:paraId="3DBAC392" w14:textId="666D72E2" w:rsidR="00CA1311" w:rsidRPr="00F4705F" w:rsidRDefault="00B77928" w:rsidP="00CA1311">
            <w:pPr>
              <w:jc w:val="right"/>
              <w:rPr>
                <w:sz w:val="20"/>
                <w:szCs w:val="20"/>
              </w:rPr>
            </w:pPr>
            <w:r w:rsidRPr="00F4705F">
              <w:rPr>
                <w:sz w:val="20"/>
                <w:szCs w:val="20"/>
              </w:rPr>
              <w:t>1,6</w:t>
            </w:r>
            <w:r w:rsidR="00603013" w:rsidRPr="00F4705F">
              <w:rPr>
                <w:sz w:val="20"/>
                <w:szCs w:val="20"/>
              </w:rPr>
              <w:t>05</w:t>
            </w:r>
          </w:p>
        </w:tc>
        <w:tc>
          <w:tcPr>
            <w:tcW w:w="1361" w:type="dxa"/>
            <w:shd w:val="clear" w:color="auto" w:fill="auto"/>
            <w:noWrap/>
            <w:vAlign w:val="center"/>
          </w:tcPr>
          <w:p w14:paraId="40ED85BD" w14:textId="33BB41AF" w:rsidR="00CA1311" w:rsidRPr="00E803CA" w:rsidRDefault="00CA1311" w:rsidP="00CA1311">
            <w:pPr>
              <w:jc w:val="right"/>
              <w:rPr>
                <w:sz w:val="20"/>
                <w:szCs w:val="20"/>
              </w:rPr>
            </w:pPr>
            <w:r w:rsidRPr="00E803CA">
              <w:rPr>
                <w:sz w:val="20"/>
                <w:szCs w:val="20"/>
              </w:rPr>
              <w:t>923</w:t>
            </w:r>
          </w:p>
        </w:tc>
      </w:tr>
      <w:tr w:rsidR="00F10485" w:rsidRPr="005E541C" w14:paraId="70BBCCCA" w14:textId="77777777" w:rsidTr="004D6DFE">
        <w:trPr>
          <w:trHeight w:val="266"/>
        </w:trPr>
        <w:tc>
          <w:tcPr>
            <w:tcW w:w="2253" w:type="dxa"/>
            <w:shd w:val="clear" w:color="auto" w:fill="auto"/>
            <w:vAlign w:val="center"/>
          </w:tcPr>
          <w:p w14:paraId="285F3140" w14:textId="77777777" w:rsidR="00CA1311" w:rsidRPr="00E803CA" w:rsidRDefault="00CA1311" w:rsidP="00CA1311">
            <w:pPr>
              <w:rPr>
                <w:sz w:val="20"/>
                <w:szCs w:val="20"/>
              </w:rPr>
            </w:pPr>
            <w:r w:rsidRPr="00E803CA">
              <w:rPr>
                <w:sz w:val="20"/>
                <w:szCs w:val="20"/>
              </w:rPr>
              <w:t>Depreciation</w:t>
            </w:r>
          </w:p>
        </w:tc>
        <w:tc>
          <w:tcPr>
            <w:tcW w:w="1361" w:type="dxa"/>
            <w:shd w:val="clear" w:color="auto" w:fill="auto"/>
            <w:noWrap/>
            <w:vAlign w:val="center"/>
          </w:tcPr>
          <w:p w14:paraId="4AD4847B" w14:textId="3023E52C" w:rsidR="00CA1311" w:rsidRPr="00E803CA" w:rsidRDefault="00B77928" w:rsidP="00CA1311">
            <w:pPr>
              <w:jc w:val="right"/>
              <w:rPr>
                <w:sz w:val="20"/>
                <w:szCs w:val="20"/>
              </w:rPr>
            </w:pPr>
            <w:r>
              <w:rPr>
                <w:sz w:val="20"/>
                <w:szCs w:val="20"/>
              </w:rPr>
              <w:t>-</w:t>
            </w:r>
          </w:p>
        </w:tc>
        <w:tc>
          <w:tcPr>
            <w:tcW w:w="1361" w:type="dxa"/>
            <w:shd w:val="clear" w:color="auto" w:fill="auto"/>
            <w:noWrap/>
            <w:vAlign w:val="center"/>
          </w:tcPr>
          <w:p w14:paraId="55EB515A" w14:textId="6C1BA55E" w:rsidR="00CA1311" w:rsidRPr="00E803CA" w:rsidRDefault="00B77928" w:rsidP="00CA1311">
            <w:pPr>
              <w:jc w:val="right"/>
              <w:rPr>
                <w:sz w:val="20"/>
                <w:szCs w:val="20"/>
              </w:rPr>
            </w:pPr>
            <w:r>
              <w:rPr>
                <w:sz w:val="20"/>
                <w:szCs w:val="20"/>
              </w:rPr>
              <w:t>-</w:t>
            </w:r>
          </w:p>
        </w:tc>
        <w:tc>
          <w:tcPr>
            <w:tcW w:w="1361" w:type="dxa"/>
            <w:shd w:val="clear" w:color="auto" w:fill="auto"/>
            <w:noWrap/>
            <w:vAlign w:val="center"/>
          </w:tcPr>
          <w:p w14:paraId="3F9CCE66" w14:textId="7BA405EC" w:rsidR="00CA1311" w:rsidRPr="00F4705F" w:rsidRDefault="00B77928" w:rsidP="00CA1311">
            <w:pPr>
              <w:jc w:val="right"/>
              <w:rPr>
                <w:b/>
                <w:bCs/>
                <w:sz w:val="20"/>
                <w:szCs w:val="20"/>
                <w:lang w:eastAsia="en-GB"/>
              </w:rPr>
            </w:pPr>
            <w:r w:rsidRPr="00F4705F">
              <w:rPr>
                <w:b/>
                <w:bCs/>
                <w:sz w:val="20"/>
                <w:szCs w:val="20"/>
                <w:lang w:eastAsia="en-GB"/>
              </w:rPr>
              <w:t>-</w:t>
            </w:r>
          </w:p>
        </w:tc>
        <w:tc>
          <w:tcPr>
            <w:tcW w:w="1361" w:type="dxa"/>
            <w:shd w:val="clear" w:color="auto" w:fill="auto"/>
            <w:noWrap/>
            <w:vAlign w:val="center"/>
          </w:tcPr>
          <w:p w14:paraId="7DA6FDB0" w14:textId="467E3461" w:rsidR="00CA1311" w:rsidRPr="00F4705F" w:rsidRDefault="00B77928" w:rsidP="00CA1311">
            <w:pPr>
              <w:jc w:val="right"/>
              <w:rPr>
                <w:sz w:val="20"/>
                <w:szCs w:val="20"/>
              </w:rPr>
            </w:pPr>
            <w:r w:rsidRPr="00F4705F">
              <w:rPr>
                <w:sz w:val="20"/>
                <w:szCs w:val="20"/>
              </w:rPr>
              <w:t>(280)</w:t>
            </w:r>
          </w:p>
        </w:tc>
        <w:tc>
          <w:tcPr>
            <w:tcW w:w="1361" w:type="dxa"/>
            <w:shd w:val="clear" w:color="auto" w:fill="auto"/>
            <w:noWrap/>
            <w:vAlign w:val="center"/>
          </w:tcPr>
          <w:p w14:paraId="0A5F3297" w14:textId="55C6CBC7" w:rsidR="00CA1311" w:rsidRPr="00F4705F" w:rsidRDefault="00B77928" w:rsidP="00CA1311">
            <w:pPr>
              <w:jc w:val="right"/>
              <w:rPr>
                <w:sz w:val="20"/>
                <w:szCs w:val="20"/>
              </w:rPr>
            </w:pPr>
            <w:r w:rsidRPr="00F4705F">
              <w:rPr>
                <w:sz w:val="20"/>
                <w:szCs w:val="20"/>
              </w:rPr>
              <w:t>(280)</w:t>
            </w:r>
          </w:p>
        </w:tc>
        <w:tc>
          <w:tcPr>
            <w:tcW w:w="1361" w:type="dxa"/>
            <w:shd w:val="clear" w:color="auto" w:fill="auto"/>
            <w:noWrap/>
            <w:vAlign w:val="center"/>
          </w:tcPr>
          <w:p w14:paraId="012482D5" w14:textId="206E8C54" w:rsidR="00CA1311" w:rsidRDefault="00CA1311" w:rsidP="00CA1311">
            <w:pPr>
              <w:jc w:val="right"/>
              <w:rPr>
                <w:sz w:val="20"/>
                <w:szCs w:val="20"/>
              </w:rPr>
            </w:pPr>
            <w:r w:rsidRPr="00E803CA">
              <w:rPr>
                <w:sz w:val="20"/>
                <w:szCs w:val="20"/>
              </w:rPr>
              <w:t>(267)</w:t>
            </w:r>
          </w:p>
        </w:tc>
      </w:tr>
      <w:tr w:rsidR="00F10485" w:rsidRPr="005E541C" w14:paraId="5B991A4D" w14:textId="77777777" w:rsidTr="004D6DFE">
        <w:trPr>
          <w:trHeight w:val="266"/>
        </w:trPr>
        <w:tc>
          <w:tcPr>
            <w:tcW w:w="2253" w:type="dxa"/>
            <w:shd w:val="clear" w:color="auto" w:fill="auto"/>
            <w:vAlign w:val="center"/>
          </w:tcPr>
          <w:p w14:paraId="6FAC500D" w14:textId="77777777" w:rsidR="00CA1311" w:rsidRPr="005E541C" w:rsidRDefault="00CA1311" w:rsidP="00CA1311">
            <w:pPr>
              <w:rPr>
                <w:sz w:val="20"/>
                <w:szCs w:val="20"/>
              </w:rPr>
            </w:pPr>
          </w:p>
        </w:tc>
        <w:tc>
          <w:tcPr>
            <w:tcW w:w="1361" w:type="dxa"/>
            <w:shd w:val="clear" w:color="auto" w:fill="auto"/>
            <w:noWrap/>
            <w:vAlign w:val="center"/>
          </w:tcPr>
          <w:p w14:paraId="3A83AB43" w14:textId="77777777" w:rsidR="00CA1311" w:rsidRPr="00BA39A7" w:rsidRDefault="00CA1311" w:rsidP="00CA1311">
            <w:pPr>
              <w:jc w:val="right"/>
              <w:rPr>
                <w:sz w:val="20"/>
                <w:szCs w:val="20"/>
              </w:rPr>
            </w:pPr>
          </w:p>
        </w:tc>
        <w:tc>
          <w:tcPr>
            <w:tcW w:w="1361" w:type="dxa"/>
            <w:shd w:val="clear" w:color="auto" w:fill="auto"/>
            <w:noWrap/>
            <w:vAlign w:val="center"/>
          </w:tcPr>
          <w:p w14:paraId="684E0101" w14:textId="77777777" w:rsidR="00CA1311" w:rsidRPr="00BA39A7" w:rsidRDefault="00CA1311" w:rsidP="00CA1311">
            <w:pPr>
              <w:jc w:val="right"/>
              <w:rPr>
                <w:sz w:val="20"/>
                <w:szCs w:val="20"/>
              </w:rPr>
            </w:pPr>
          </w:p>
        </w:tc>
        <w:tc>
          <w:tcPr>
            <w:tcW w:w="1361" w:type="dxa"/>
            <w:shd w:val="clear" w:color="auto" w:fill="auto"/>
            <w:noWrap/>
            <w:vAlign w:val="center"/>
          </w:tcPr>
          <w:p w14:paraId="13897123" w14:textId="77777777" w:rsidR="00CA1311" w:rsidRPr="00F4705F" w:rsidRDefault="00CA1311" w:rsidP="00CA1311">
            <w:pPr>
              <w:jc w:val="right"/>
              <w:rPr>
                <w:b/>
                <w:bCs/>
                <w:sz w:val="20"/>
                <w:szCs w:val="20"/>
                <w:lang w:eastAsia="en-GB"/>
              </w:rPr>
            </w:pPr>
          </w:p>
        </w:tc>
        <w:tc>
          <w:tcPr>
            <w:tcW w:w="1361" w:type="dxa"/>
            <w:shd w:val="clear" w:color="auto" w:fill="auto"/>
            <w:noWrap/>
            <w:vAlign w:val="center"/>
          </w:tcPr>
          <w:p w14:paraId="1AC6032A" w14:textId="77777777" w:rsidR="00CA1311" w:rsidRPr="00F4705F" w:rsidRDefault="00CA1311" w:rsidP="00CA1311">
            <w:pPr>
              <w:jc w:val="right"/>
              <w:rPr>
                <w:sz w:val="20"/>
                <w:szCs w:val="20"/>
              </w:rPr>
            </w:pPr>
          </w:p>
        </w:tc>
        <w:tc>
          <w:tcPr>
            <w:tcW w:w="1361" w:type="dxa"/>
            <w:shd w:val="clear" w:color="auto" w:fill="auto"/>
            <w:noWrap/>
            <w:vAlign w:val="center"/>
          </w:tcPr>
          <w:p w14:paraId="3974259E" w14:textId="77777777" w:rsidR="00CA1311" w:rsidRPr="00F4705F" w:rsidRDefault="00CA1311" w:rsidP="00CA1311">
            <w:pPr>
              <w:jc w:val="right"/>
              <w:rPr>
                <w:sz w:val="20"/>
                <w:szCs w:val="20"/>
              </w:rPr>
            </w:pPr>
          </w:p>
        </w:tc>
        <w:tc>
          <w:tcPr>
            <w:tcW w:w="1361" w:type="dxa"/>
            <w:shd w:val="clear" w:color="auto" w:fill="auto"/>
            <w:noWrap/>
            <w:vAlign w:val="center"/>
          </w:tcPr>
          <w:p w14:paraId="37D4038D" w14:textId="77777777" w:rsidR="00CA1311" w:rsidRPr="00911DE4" w:rsidRDefault="00CA1311" w:rsidP="00CA1311">
            <w:pPr>
              <w:jc w:val="right"/>
              <w:rPr>
                <w:sz w:val="20"/>
                <w:szCs w:val="20"/>
              </w:rPr>
            </w:pPr>
          </w:p>
        </w:tc>
      </w:tr>
      <w:tr w:rsidR="00F10485" w:rsidRPr="005E541C" w14:paraId="268408AC" w14:textId="77777777" w:rsidTr="004D6DFE">
        <w:trPr>
          <w:trHeight w:val="451"/>
        </w:trPr>
        <w:tc>
          <w:tcPr>
            <w:tcW w:w="2253" w:type="dxa"/>
            <w:shd w:val="clear" w:color="auto" w:fill="auto"/>
            <w:vAlign w:val="center"/>
            <w:hideMark/>
          </w:tcPr>
          <w:p w14:paraId="1B92F343" w14:textId="77777777" w:rsidR="00CA1311" w:rsidRPr="005E541C" w:rsidRDefault="00CA1311" w:rsidP="00CA1311">
            <w:pPr>
              <w:rPr>
                <w:sz w:val="20"/>
                <w:szCs w:val="20"/>
              </w:rPr>
            </w:pPr>
            <w:r w:rsidRPr="005E541C">
              <w:rPr>
                <w:b/>
                <w:sz w:val="20"/>
                <w:szCs w:val="20"/>
              </w:rPr>
              <w:t>Total from other activities</w:t>
            </w:r>
          </w:p>
        </w:tc>
        <w:tc>
          <w:tcPr>
            <w:tcW w:w="1361" w:type="dxa"/>
            <w:tcBorders>
              <w:top w:val="single" w:sz="4" w:space="0" w:color="auto"/>
              <w:bottom w:val="single" w:sz="4" w:space="0" w:color="auto"/>
            </w:tcBorders>
            <w:shd w:val="clear" w:color="auto" w:fill="auto"/>
            <w:noWrap/>
            <w:vAlign w:val="center"/>
          </w:tcPr>
          <w:p w14:paraId="44418C38" w14:textId="65AD9A18" w:rsidR="00CA1311" w:rsidRPr="00911DE4" w:rsidRDefault="00B77928" w:rsidP="00CA1311">
            <w:pPr>
              <w:jc w:val="right"/>
              <w:rPr>
                <w:b/>
                <w:sz w:val="20"/>
                <w:szCs w:val="20"/>
              </w:rPr>
            </w:pPr>
            <w:r>
              <w:rPr>
                <w:b/>
                <w:sz w:val="20"/>
                <w:szCs w:val="20"/>
              </w:rPr>
              <w:t>148</w:t>
            </w:r>
          </w:p>
        </w:tc>
        <w:tc>
          <w:tcPr>
            <w:tcW w:w="1361" w:type="dxa"/>
            <w:tcBorders>
              <w:top w:val="single" w:sz="4" w:space="0" w:color="auto"/>
              <w:bottom w:val="single" w:sz="4" w:space="0" w:color="auto"/>
            </w:tcBorders>
            <w:shd w:val="clear" w:color="auto" w:fill="auto"/>
            <w:noWrap/>
            <w:vAlign w:val="center"/>
          </w:tcPr>
          <w:p w14:paraId="21AD0880" w14:textId="0943ABD1" w:rsidR="00CA1311" w:rsidRPr="00911DE4" w:rsidRDefault="00B77928" w:rsidP="00CA1311">
            <w:pPr>
              <w:jc w:val="right"/>
              <w:rPr>
                <w:b/>
                <w:sz w:val="20"/>
                <w:szCs w:val="20"/>
              </w:rPr>
            </w:pPr>
            <w:r>
              <w:rPr>
                <w:b/>
                <w:sz w:val="20"/>
                <w:szCs w:val="20"/>
              </w:rPr>
              <w:t>2,</w:t>
            </w:r>
            <w:r w:rsidR="00F31223">
              <w:rPr>
                <w:b/>
                <w:sz w:val="20"/>
                <w:szCs w:val="20"/>
              </w:rPr>
              <w:t>989</w:t>
            </w:r>
          </w:p>
        </w:tc>
        <w:tc>
          <w:tcPr>
            <w:tcW w:w="1361" w:type="dxa"/>
            <w:tcBorders>
              <w:top w:val="single" w:sz="4" w:space="0" w:color="auto"/>
              <w:bottom w:val="single" w:sz="4" w:space="0" w:color="auto"/>
            </w:tcBorders>
            <w:shd w:val="clear" w:color="auto" w:fill="auto"/>
            <w:noWrap/>
            <w:vAlign w:val="center"/>
          </w:tcPr>
          <w:p w14:paraId="062BED45" w14:textId="31004EBE" w:rsidR="00CA1311" w:rsidRPr="00F4705F" w:rsidRDefault="00F31223" w:rsidP="00CA1311">
            <w:pPr>
              <w:jc w:val="right"/>
              <w:rPr>
                <w:b/>
                <w:bCs/>
                <w:sz w:val="20"/>
                <w:szCs w:val="20"/>
                <w:lang w:eastAsia="en-GB"/>
              </w:rPr>
            </w:pPr>
            <w:r w:rsidRPr="00F4705F">
              <w:rPr>
                <w:b/>
                <w:bCs/>
                <w:sz w:val="20"/>
                <w:szCs w:val="20"/>
                <w:lang w:eastAsia="en-GB"/>
              </w:rPr>
              <w:t>3,137</w:t>
            </w:r>
          </w:p>
        </w:tc>
        <w:tc>
          <w:tcPr>
            <w:tcW w:w="1361" w:type="dxa"/>
            <w:tcBorders>
              <w:top w:val="single" w:sz="4" w:space="0" w:color="auto"/>
              <w:bottom w:val="single" w:sz="4" w:space="0" w:color="auto"/>
            </w:tcBorders>
            <w:shd w:val="clear" w:color="auto" w:fill="auto"/>
            <w:noWrap/>
            <w:vAlign w:val="center"/>
          </w:tcPr>
          <w:p w14:paraId="5E3A3094" w14:textId="6D391A20" w:rsidR="00CA1311" w:rsidRPr="00F4705F" w:rsidRDefault="00F31223" w:rsidP="00CA1311">
            <w:pPr>
              <w:jc w:val="right"/>
              <w:rPr>
                <w:b/>
                <w:sz w:val="20"/>
                <w:szCs w:val="20"/>
              </w:rPr>
            </w:pPr>
            <w:r w:rsidRPr="00F4705F">
              <w:rPr>
                <w:b/>
                <w:sz w:val="20"/>
                <w:szCs w:val="20"/>
              </w:rPr>
              <w:t>(1,8</w:t>
            </w:r>
            <w:r w:rsidR="001E7953" w:rsidRPr="00F4705F">
              <w:rPr>
                <w:b/>
                <w:sz w:val="20"/>
                <w:szCs w:val="20"/>
              </w:rPr>
              <w:t>91</w:t>
            </w:r>
            <w:r w:rsidRPr="00F4705F">
              <w:rPr>
                <w:b/>
                <w:sz w:val="20"/>
                <w:szCs w:val="20"/>
              </w:rPr>
              <w:t>)</w:t>
            </w:r>
          </w:p>
        </w:tc>
        <w:tc>
          <w:tcPr>
            <w:tcW w:w="1361" w:type="dxa"/>
            <w:tcBorders>
              <w:top w:val="single" w:sz="4" w:space="0" w:color="auto"/>
              <w:bottom w:val="single" w:sz="4" w:space="0" w:color="auto"/>
            </w:tcBorders>
            <w:shd w:val="clear" w:color="auto" w:fill="auto"/>
            <w:noWrap/>
            <w:vAlign w:val="center"/>
          </w:tcPr>
          <w:p w14:paraId="796686A9" w14:textId="3461F810" w:rsidR="00CA1311" w:rsidRPr="00F4705F" w:rsidRDefault="00641466" w:rsidP="00CA1311">
            <w:pPr>
              <w:jc w:val="right"/>
              <w:rPr>
                <w:b/>
                <w:sz w:val="20"/>
                <w:szCs w:val="20"/>
              </w:rPr>
            </w:pPr>
            <w:r w:rsidRPr="00F4705F">
              <w:rPr>
                <w:b/>
                <w:sz w:val="20"/>
                <w:szCs w:val="20"/>
              </w:rPr>
              <w:t>1,</w:t>
            </w:r>
            <w:r w:rsidR="001E7953" w:rsidRPr="00F4705F">
              <w:rPr>
                <w:b/>
                <w:sz w:val="20"/>
                <w:szCs w:val="20"/>
              </w:rPr>
              <w:t>24</w:t>
            </w:r>
            <w:r w:rsidR="008E7A5D" w:rsidRPr="00F4705F">
              <w:rPr>
                <w:b/>
                <w:sz w:val="20"/>
                <w:szCs w:val="20"/>
              </w:rPr>
              <w:t>6</w:t>
            </w:r>
          </w:p>
        </w:tc>
        <w:tc>
          <w:tcPr>
            <w:tcW w:w="1361" w:type="dxa"/>
            <w:tcBorders>
              <w:top w:val="single" w:sz="4" w:space="0" w:color="auto"/>
              <w:bottom w:val="single" w:sz="4" w:space="0" w:color="auto"/>
            </w:tcBorders>
            <w:shd w:val="clear" w:color="auto" w:fill="auto"/>
            <w:noWrap/>
            <w:vAlign w:val="center"/>
            <w:hideMark/>
          </w:tcPr>
          <w:p w14:paraId="6D490CFC" w14:textId="40B8C0E5" w:rsidR="00CA1311" w:rsidRPr="00911DE4" w:rsidRDefault="00CA1311" w:rsidP="00CA1311">
            <w:pPr>
              <w:jc w:val="right"/>
              <w:rPr>
                <w:b/>
                <w:sz w:val="20"/>
                <w:szCs w:val="20"/>
              </w:rPr>
            </w:pPr>
            <w:r>
              <w:rPr>
                <w:b/>
                <w:sz w:val="20"/>
                <w:szCs w:val="20"/>
              </w:rPr>
              <w:t>194</w:t>
            </w:r>
          </w:p>
        </w:tc>
      </w:tr>
      <w:tr w:rsidR="00F10485" w:rsidRPr="005E541C" w14:paraId="50A998AB" w14:textId="77777777" w:rsidTr="004D6DFE">
        <w:trPr>
          <w:trHeight w:val="213"/>
        </w:trPr>
        <w:tc>
          <w:tcPr>
            <w:tcW w:w="2253" w:type="dxa"/>
            <w:shd w:val="clear" w:color="auto" w:fill="auto"/>
            <w:vAlign w:val="center"/>
          </w:tcPr>
          <w:p w14:paraId="324D8255" w14:textId="77777777" w:rsidR="00F70A3A" w:rsidRPr="005E541C" w:rsidRDefault="00F70A3A" w:rsidP="00CA6BDF">
            <w:pPr>
              <w:rPr>
                <w:b/>
                <w:sz w:val="20"/>
                <w:szCs w:val="20"/>
              </w:rPr>
            </w:pPr>
          </w:p>
        </w:tc>
        <w:tc>
          <w:tcPr>
            <w:tcW w:w="1361" w:type="dxa"/>
            <w:tcBorders>
              <w:top w:val="single" w:sz="4" w:space="0" w:color="auto"/>
              <w:bottom w:val="single" w:sz="4" w:space="0" w:color="auto"/>
            </w:tcBorders>
            <w:shd w:val="clear" w:color="auto" w:fill="auto"/>
            <w:noWrap/>
            <w:vAlign w:val="center"/>
          </w:tcPr>
          <w:p w14:paraId="7145C5C9" w14:textId="77777777" w:rsidR="00F70A3A" w:rsidRDefault="00F70A3A" w:rsidP="00CA6BDF">
            <w:pPr>
              <w:jc w:val="right"/>
              <w:rPr>
                <w:b/>
                <w:sz w:val="20"/>
                <w:szCs w:val="20"/>
              </w:rPr>
            </w:pPr>
          </w:p>
        </w:tc>
        <w:tc>
          <w:tcPr>
            <w:tcW w:w="1361" w:type="dxa"/>
            <w:tcBorders>
              <w:top w:val="single" w:sz="4" w:space="0" w:color="auto"/>
              <w:bottom w:val="single" w:sz="4" w:space="0" w:color="auto"/>
            </w:tcBorders>
            <w:shd w:val="clear" w:color="auto" w:fill="auto"/>
            <w:noWrap/>
            <w:vAlign w:val="center"/>
          </w:tcPr>
          <w:p w14:paraId="1CC1AD01" w14:textId="77777777" w:rsidR="00F70A3A" w:rsidRDefault="00F70A3A" w:rsidP="00CA6BDF">
            <w:pPr>
              <w:jc w:val="right"/>
              <w:rPr>
                <w:b/>
                <w:sz w:val="20"/>
                <w:szCs w:val="20"/>
              </w:rPr>
            </w:pPr>
          </w:p>
        </w:tc>
        <w:tc>
          <w:tcPr>
            <w:tcW w:w="1361" w:type="dxa"/>
            <w:tcBorders>
              <w:top w:val="single" w:sz="4" w:space="0" w:color="auto"/>
              <w:bottom w:val="single" w:sz="4" w:space="0" w:color="auto"/>
            </w:tcBorders>
            <w:shd w:val="clear" w:color="auto" w:fill="auto"/>
            <w:noWrap/>
            <w:vAlign w:val="center"/>
          </w:tcPr>
          <w:p w14:paraId="4D16B1F0" w14:textId="77777777" w:rsidR="00F70A3A" w:rsidRPr="00F10485" w:rsidRDefault="00F70A3A" w:rsidP="00CA6BDF">
            <w:pPr>
              <w:jc w:val="right"/>
              <w:rPr>
                <w:b/>
                <w:bCs/>
                <w:sz w:val="20"/>
                <w:szCs w:val="20"/>
                <w:lang w:eastAsia="en-GB"/>
              </w:rPr>
            </w:pPr>
          </w:p>
        </w:tc>
        <w:tc>
          <w:tcPr>
            <w:tcW w:w="1361" w:type="dxa"/>
            <w:tcBorders>
              <w:top w:val="single" w:sz="4" w:space="0" w:color="auto"/>
              <w:bottom w:val="single" w:sz="4" w:space="0" w:color="auto"/>
            </w:tcBorders>
            <w:shd w:val="clear" w:color="auto" w:fill="auto"/>
            <w:noWrap/>
            <w:vAlign w:val="center"/>
          </w:tcPr>
          <w:p w14:paraId="7AB53553" w14:textId="77777777" w:rsidR="00F70A3A" w:rsidRDefault="00F70A3A" w:rsidP="00CA6BDF">
            <w:pPr>
              <w:jc w:val="right"/>
              <w:rPr>
                <w:b/>
                <w:sz w:val="20"/>
                <w:szCs w:val="20"/>
              </w:rPr>
            </w:pPr>
          </w:p>
        </w:tc>
        <w:tc>
          <w:tcPr>
            <w:tcW w:w="1361" w:type="dxa"/>
            <w:tcBorders>
              <w:top w:val="single" w:sz="4" w:space="0" w:color="auto"/>
              <w:bottom w:val="single" w:sz="4" w:space="0" w:color="auto"/>
            </w:tcBorders>
            <w:shd w:val="clear" w:color="auto" w:fill="auto"/>
            <w:noWrap/>
            <w:vAlign w:val="center"/>
          </w:tcPr>
          <w:p w14:paraId="14CBBBFF" w14:textId="77777777" w:rsidR="00F70A3A" w:rsidRDefault="00F70A3A" w:rsidP="00CA6BDF">
            <w:pPr>
              <w:jc w:val="right"/>
              <w:rPr>
                <w:b/>
                <w:sz w:val="20"/>
                <w:szCs w:val="20"/>
              </w:rPr>
            </w:pPr>
          </w:p>
        </w:tc>
        <w:tc>
          <w:tcPr>
            <w:tcW w:w="1361" w:type="dxa"/>
            <w:tcBorders>
              <w:top w:val="single" w:sz="4" w:space="0" w:color="auto"/>
            </w:tcBorders>
            <w:shd w:val="clear" w:color="auto" w:fill="auto"/>
            <w:noWrap/>
            <w:vAlign w:val="center"/>
          </w:tcPr>
          <w:p w14:paraId="66F7EF70" w14:textId="77777777" w:rsidR="00F70A3A" w:rsidRDefault="00F70A3A" w:rsidP="00CA6BDF">
            <w:pPr>
              <w:jc w:val="right"/>
              <w:rPr>
                <w:b/>
                <w:sz w:val="20"/>
                <w:szCs w:val="20"/>
              </w:rPr>
            </w:pPr>
          </w:p>
        </w:tc>
      </w:tr>
      <w:tr w:rsidR="00F10485" w:rsidRPr="005E541C" w14:paraId="215F7A90" w14:textId="77777777" w:rsidTr="004D6DFE">
        <w:trPr>
          <w:trHeight w:val="213"/>
        </w:trPr>
        <w:tc>
          <w:tcPr>
            <w:tcW w:w="2253" w:type="dxa"/>
            <w:shd w:val="clear" w:color="auto" w:fill="auto"/>
            <w:vAlign w:val="center"/>
            <w:hideMark/>
          </w:tcPr>
          <w:p w14:paraId="1552B110" w14:textId="77777777" w:rsidR="00CA1311" w:rsidRPr="005E541C" w:rsidRDefault="00CA1311" w:rsidP="00CA1311">
            <w:pPr>
              <w:rPr>
                <w:b/>
                <w:sz w:val="20"/>
                <w:szCs w:val="20"/>
              </w:rPr>
            </w:pPr>
            <w:r w:rsidRPr="005E541C">
              <w:rPr>
                <w:sz w:val="20"/>
                <w:szCs w:val="20"/>
              </w:rPr>
              <w:t xml:space="preserve">Total from other activities for the previous reporting </w:t>
            </w:r>
            <w:r>
              <w:rPr>
                <w:sz w:val="20"/>
                <w:szCs w:val="20"/>
              </w:rPr>
              <w:t xml:space="preserve">period </w:t>
            </w:r>
          </w:p>
        </w:tc>
        <w:tc>
          <w:tcPr>
            <w:tcW w:w="1361" w:type="dxa"/>
            <w:tcBorders>
              <w:top w:val="single" w:sz="4" w:space="0" w:color="auto"/>
              <w:bottom w:val="single" w:sz="4" w:space="0" w:color="auto"/>
            </w:tcBorders>
            <w:shd w:val="clear" w:color="auto" w:fill="auto"/>
            <w:noWrap/>
            <w:vAlign w:val="center"/>
          </w:tcPr>
          <w:p w14:paraId="0A61EE57" w14:textId="0364BFB3" w:rsidR="00CA1311" w:rsidRPr="00911DE4" w:rsidRDefault="00CA1311" w:rsidP="00CA1311">
            <w:pPr>
              <w:jc w:val="right"/>
              <w:rPr>
                <w:b/>
                <w:sz w:val="20"/>
                <w:szCs w:val="20"/>
              </w:rPr>
            </w:pPr>
            <w:r>
              <w:rPr>
                <w:b/>
                <w:sz w:val="20"/>
                <w:szCs w:val="20"/>
              </w:rPr>
              <w:t>134</w:t>
            </w:r>
          </w:p>
        </w:tc>
        <w:tc>
          <w:tcPr>
            <w:tcW w:w="1361" w:type="dxa"/>
            <w:tcBorders>
              <w:top w:val="single" w:sz="4" w:space="0" w:color="auto"/>
              <w:bottom w:val="single" w:sz="4" w:space="0" w:color="auto"/>
            </w:tcBorders>
            <w:shd w:val="clear" w:color="auto" w:fill="auto"/>
            <w:noWrap/>
            <w:vAlign w:val="center"/>
          </w:tcPr>
          <w:p w14:paraId="6A0122F8" w14:textId="62A7E998" w:rsidR="00CA1311" w:rsidRPr="00911DE4" w:rsidRDefault="00CA1311" w:rsidP="00CA1311">
            <w:pPr>
              <w:jc w:val="right"/>
              <w:rPr>
                <w:b/>
                <w:sz w:val="20"/>
                <w:szCs w:val="20"/>
              </w:rPr>
            </w:pPr>
            <w:r>
              <w:rPr>
                <w:b/>
                <w:sz w:val="20"/>
                <w:szCs w:val="20"/>
              </w:rPr>
              <w:t>2,755</w:t>
            </w:r>
          </w:p>
        </w:tc>
        <w:tc>
          <w:tcPr>
            <w:tcW w:w="1361" w:type="dxa"/>
            <w:tcBorders>
              <w:top w:val="single" w:sz="4" w:space="0" w:color="auto"/>
              <w:bottom w:val="single" w:sz="4" w:space="0" w:color="auto"/>
            </w:tcBorders>
            <w:shd w:val="clear" w:color="auto" w:fill="auto"/>
            <w:noWrap/>
            <w:vAlign w:val="center"/>
          </w:tcPr>
          <w:p w14:paraId="48A77A1B" w14:textId="06EC462A" w:rsidR="00CA1311" w:rsidRPr="00F10485" w:rsidRDefault="00CA1311" w:rsidP="00CA1311">
            <w:pPr>
              <w:jc w:val="right"/>
              <w:rPr>
                <w:b/>
                <w:bCs/>
                <w:sz w:val="20"/>
                <w:szCs w:val="20"/>
                <w:lang w:eastAsia="en-GB"/>
              </w:rPr>
            </w:pPr>
            <w:r w:rsidRPr="00F10485">
              <w:rPr>
                <w:b/>
                <w:bCs/>
                <w:sz w:val="20"/>
                <w:szCs w:val="20"/>
                <w:lang w:eastAsia="en-GB"/>
              </w:rPr>
              <w:t>2,889</w:t>
            </w:r>
          </w:p>
        </w:tc>
        <w:tc>
          <w:tcPr>
            <w:tcW w:w="1361" w:type="dxa"/>
            <w:tcBorders>
              <w:top w:val="single" w:sz="4" w:space="0" w:color="auto"/>
              <w:bottom w:val="single" w:sz="4" w:space="0" w:color="auto"/>
            </w:tcBorders>
            <w:shd w:val="clear" w:color="auto" w:fill="auto"/>
            <w:noWrap/>
            <w:vAlign w:val="center"/>
          </w:tcPr>
          <w:p w14:paraId="5C043ADE" w14:textId="5D6CC907" w:rsidR="00CA1311" w:rsidRPr="00911DE4" w:rsidRDefault="00CA1311" w:rsidP="00CA1311">
            <w:pPr>
              <w:jc w:val="right"/>
              <w:rPr>
                <w:b/>
                <w:sz w:val="20"/>
                <w:szCs w:val="20"/>
              </w:rPr>
            </w:pPr>
            <w:r w:rsidRPr="00ED2EB0">
              <w:rPr>
                <w:b/>
                <w:sz w:val="20"/>
                <w:szCs w:val="20"/>
              </w:rPr>
              <w:t>(2,</w:t>
            </w:r>
            <w:r>
              <w:rPr>
                <w:b/>
                <w:sz w:val="20"/>
                <w:szCs w:val="20"/>
              </w:rPr>
              <w:t>695</w:t>
            </w:r>
            <w:r w:rsidRPr="00ED2EB0">
              <w:rPr>
                <w:b/>
                <w:sz w:val="20"/>
                <w:szCs w:val="20"/>
              </w:rPr>
              <w:t>)</w:t>
            </w:r>
          </w:p>
        </w:tc>
        <w:tc>
          <w:tcPr>
            <w:tcW w:w="1361" w:type="dxa"/>
            <w:tcBorders>
              <w:top w:val="single" w:sz="4" w:space="0" w:color="auto"/>
              <w:bottom w:val="single" w:sz="4" w:space="0" w:color="auto"/>
            </w:tcBorders>
            <w:shd w:val="clear" w:color="auto" w:fill="auto"/>
            <w:noWrap/>
            <w:vAlign w:val="center"/>
          </w:tcPr>
          <w:p w14:paraId="2953476B" w14:textId="209F45D6" w:rsidR="00CA1311" w:rsidRPr="00911DE4" w:rsidRDefault="00CA1311" w:rsidP="00CA1311">
            <w:pPr>
              <w:jc w:val="right"/>
              <w:rPr>
                <w:b/>
                <w:sz w:val="20"/>
                <w:szCs w:val="20"/>
              </w:rPr>
            </w:pPr>
            <w:r>
              <w:rPr>
                <w:b/>
                <w:sz w:val="20"/>
                <w:szCs w:val="20"/>
              </w:rPr>
              <w:t>194</w:t>
            </w:r>
          </w:p>
        </w:tc>
        <w:tc>
          <w:tcPr>
            <w:tcW w:w="1361" w:type="dxa"/>
            <w:shd w:val="clear" w:color="auto" w:fill="auto"/>
            <w:noWrap/>
            <w:vAlign w:val="center"/>
            <w:hideMark/>
          </w:tcPr>
          <w:p w14:paraId="7AE79581" w14:textId="77777777" w:rsidR="00CA1311" w:rsidRPr="005E541C" w:rsidRDefault="00CA1311" w:rsidP="00CA1311">
            <w:pPr>
              <w:jc w:val="right"/>
              <w:rPr>
                <w:b/>
                <w:sz w:val="20"/>
                <w:szCs w:val="20"/>
              </w:rPr>
            </w:pPr>
          </w:p>
        </w:tc>
      </w:tr>
    </w:tbl>
    <w:p w14:paraId="66EDB429" w14:textId="77777777" w:rsidR="00CA6BDF" w:rsidRPr="004D388B" w:rsidRDefault="00CA6BDF" w:rsidP="00BE5B47">
      <w:pPr>
        <w:ind w:left="720" w:hanging="720"/>
        <w:rPr>
          <w:b/>
          <w:sz w:val="22"/>
          <w:szCs w:val="22"/>
          <w:highlight w:val="yellow"/>
        </w:rPr>
      </w:pPr>
    </w:p>
    <w:p w14:paraId="7A103E5E" w14:textId="77777777" w:rsidR="00B7511E" w:rsidRDefault="007A6A04">
      <w:pPr>
        <w:rPr>
          <w:b/>
          <w:bCs/>
        </w:rPr>
      </w:pPr>
      <w:r>
        <w:rPr>
          <w:b/>
          <w:highlight w:val="yellow"/>
        </w:rPr>
        <w:br w:type="page"/>
      </w:r>
    </w:p>
    <w:p w14:paraId="34449EF6" w14:textId="77777777" w:rsidR="0084330C" w:rsidRDefault="008407B4">
      <w:pPr>
        <w:pStyle w:val="BodyText"/>
        <w:jc w:val="both"/>
        <w:rPr>
          <w:b/>
          <w:bCs/>
          <w:sz w:val="24"/>
        </w:rPr>
      </w:pPr>
      <w:r w:rsidRPr="0005492F">
        <w:rPr>
          <w:b/>
          <w:bCs/>
          <w:sz w:val="24"/>
        </w:rPr>
        <w:lastRenderedPageBreak/>
        <w:t xml:space="preserve">NOTES TO THE FINANCIAL STATEMENTS </w:t>
      </w:r>
    </w:p>
    <w:p w14:paraId="3B6353EB" w14:textId="051BBECF" w:rsidR="008407B4" w:rsidRPr="00B7511E" w:rsidRDefault="008407B4">
      <w:pPr>
        <w:pStyle w:val="BodyText"/>
        <w:jc w:val="both"/>
        <w:rPr>
          <w:b/>
          <w:bCs/>
          <w:sz w:val="24"/>
        </w:rPr>
      </w:pPr>
      <w:r w:rsidRPr="0005492F">
        <w:rPr>
          <w:b/>
          <w:bCs/>
          <w:sz w:val="24"/>
        </w:rPr>
        <w:t xml:space="preserve">FOR THE YEAR ENDED 31 MARCH </w:t>
      </w:r>
      <w:r w:rsidR="001D3889">
        <w:rPr>
          <w:b/>
          <w:bCs/>
          <w:sz w:val="24"/>
        </w:rPr>
        <w:t>202</w:t>
      </w:r>
      <w:r w:rsidR="00814891">
        <w:rPr>
          <w:b/>
          <w:bCs/>
          <w:sz w:val="24"/>
        </w:rPr>
        <w:t>4</w:t>
      </w:r>
      <w:r w:rsidR="00C3230E" w:rsidRPr="0005492F">
        <w:rPr>
          <w:b/>
          <w:bCs/>
          <w:sz w:val="24"/>
        </w:rPr>
        <w:t xml:space="preserve"> </w:t>
      </w:r>
      <w:r w:rsidRPr="0005492F">
        <w:rPr>
          <w:b/>
          <w:bCs/>
          <w:sz w:val="24"/>
        </w:rPr>
        <w:t>(continued)</w:t>
      </w:r>
    </w:p>
    <w:p w14:paraId="6C97447F" w14:textId="77777777" w:rsidR="003F7A4F" w:rsidRPr="004D388B" w:rsidRDefault="003F7A4F" w:rsidP="00F8633B">
      <w:pPr>
        <w:rPr>
          <w:highlight w:val="yellow"/>
        </w:rPr>
      </w:pPr>
    </w:p>
    <w:p w14:paraId="022BAC15" w14:textId="5E3B06B1" w:rsidR="004A63EB" w:rsidRPr="0005492F" w:rsidRDefault="001C126F" w:rsidP="004A63EB">
      <w:pPr>
        <w:rPr>
          <w:b/>
          <w:sz w:val="22"/>
          <w:szCs w:val="22"/>
        </w:rPr>
      </w:pPr>
      <w:r w:rsidRPr="0005492F">
        <w:rPr>
          <w:b/>
          <w:sz w:val="22"/>
          <w:szCs w:val="22"/>
        </w:rPr>
        <w:t>6</w:t>
      </w:r>
      <w:r w:rsidR="00542392" w:rsidRPr="0005492F">
        <w:rPr>
          <w:b/>
          <w:sz w:val="22"/>
          <w:szCs w:val="22"/>
        </w:rPr>
        <w:t>.</w:t>
      </w:r>
      <w:r w:rsidR="00542392" w:rsidRPr="0005492F">
        <w:rPr>
          <w:b/>
          <w:sz w:val="22"/>
          <w:szCs w:val="22"/>
        </w:rPr>
        <w:tab/>
      </w:r>
      <w:r w:rsidR="00DC5526" w:rsidRPr="00106DED">
        <w:rPr>
          <w:b/>
          <w:sz w:val="22"/>
          <w:szCs w:val="22"/>
        </w:rPr>
        <w:t>Board</w:t>
      </w:r>
      <w:r w:rsidR="004A63EB" w:rsidRPr="00106DED">
        <w:rPr>
          <w:b/>
          <w:sz w:val="22"/>
          <w:szCs w:val="22"/>
        </w:rPr>
        <w:t xml:space="preserve"> members’ emoluments</w:t>
      </w:r>
    </w:p>
    <w:p w14:paraId="6075637D" w14:textId="77777777" w:rsidR="004A63EB" w:rsidRPr="0005492F" w:rsidRDefault="004A63EB" w:rsidP="004A63EB">
      <w:pPr>
        <w:rPr>
          <w:bCs/>
          <w:iCs/>
          <w:sz w:val="22"/>
        </w:rPr>
      </w:pPr>
    </w:p>
    <w:p w14:paraId="4D88C311" w14:textId="722D0E85" w:rsidR="00026B0F" w:rsidRPr="006D6516" w:rsidRDefault="00026B0F" w:rsidP="00026B0F">
      <w:pPr>
        <w:jc w:val="both"/>
        <w:rPr>
          <w:b/>
          <w:bCs/>
          <w:sz w:val="22"/>
          <w:szCs w:val="22"/>
        </w:rPr>
      </w:pPr>
      <w:r w:rsidRPr="006D6516">
        <w:rPr>
          <w:bCs/>
          <w:iCs/>
          <w:sz w:val="22"/>
          <w:szCs w:val="22"/>
        </w:rPr>
        <w:t>Board members received £</w:t>
      </w:r>
      <w:r w:rsidR="00973F73">
        <w:rPr>
          <w:bCs/>
          <w:iCs/>
          <w:sz w:val="22"/>
          <w:szCs w:val="22"/>
        </w:rPr>
        <w:t>700</w:t>
      </w:r>
      <w:r w:rsidRPr="006D6516">
        <w:rPr>
          <w:bCs/>
          <w:iCs/>
          <w:sz w:val="22"/>
          <w:szCs w:val="22"/>
        </w:rPr>
        <w:t xml:space="preserve"> </w:t>
      </w:r>
      <w:r w:rsidRPr="006D6516">
        <w:rPr>
          <w:sz w:val="22"/>
          <w:szCs w:val="22"/>
        </w:rPr>
        <w:t>(202</w:t>
      </w:r>
      <w:r w:rsidR="00814891" w:rsidRPr="006D6516">
        <w:rPr>
          <w:sz w:val="22"/>
          <w:szCs w:val="22"/>
        </w:rPr>
        <w:t>3</w:t>
      </w:r>
      <w:r w:rsidRPr="006D6516">
        <w:rPr>
          <w:sz w:val="22"/>
          <w:szCs w:val="22"/>
        </w:rPr>
        <w:t>:</w:t>
      </w:r>
      <w:r w:rsidRPr="006D6516">
        <w:rPr>
          <w:bCs/>
          <w:iCs/>
          <w:sz w:val="22"/>
          <w:szCs w:val="22"/>
        </w:rPr>
        <w:t xml:space="preserve"> £</w:t>
      </w:r>
      <w:r w:rsidR="00E8557E" w:rsidRPr="006D6516">
        <w:rPr>
          <w:bCs/>
          <w:iCs/>
          <w:sz w:val="22"/>
          <w:szCs w:val="22"/>
        </w:rPr>
        <w:t>6</w:t>
      </w:r>
      <w:r w:rsidR="00814891" w:rsidRPr="006D6516">
        <w:rPr>
          <w:bCs/>
          <w:iCs/>
          <w:sz w:val="22"/>
          <w:szCs w:val="22"/>
        </w:rPr>
        <w:t>46</w:t>
      </w:r>
      <w:r w:rsidRPr="006D6516">
        <w:rPr>
          <w:sz w:val="22"/>
          <w:szCs w:val="22"/>
        </w:rPr>
        <w:t xml:space="preserve">) </w:t>
      </w:r>
      <w:r w:rsidRPr="006D6516">
        <w:rPr>
          <w:bCs/>
          <w:iCs/>
          <w:sz w:val="22"/>
          <w:szCs w:val="22"/>
        </w:rPr>
        <w:t>by way of reimbursement of expenses.  No remuneration is paid to board members in respect of their duties.</w:t>
      </w:r>
    </w:p>
    <w:p w14:paraId="6CBDD015" w14:textId="77777777" w:rsidR="00DC5526" w:rsidRPr="004D388B" w:rsidRDefault="00DC5526" w:rsidP="004A63EB">
      <w:pPr>
        <w:rPr>
          <w:b/>
          <w:highlight w:val="yellow"/>
        </w:rPr>
      </w:pPr>
    </w:p>
    <w:p w14:paraId="48E49C5B" w14:textId="5ECC9A0D" w:rsidR="008D6F54" w:rsidRDefault="001C126F" w:rsidP="004A63EB">
      <w:pPr>
        <w:rPr>
          <w:b/>
          <w:sz w:val="22"/>
          <w:szCs w:val="22"/>
        </w:rPr>
      </w:pPr>
      <w:r w:rsidRPr="00D42FE3">
        <w:rPr>
          <w:b/>
          <w:sz w:val="22"/>
          <w:szCs w:val="22"/>
        </w:rPr>
        <w:t>7</w:t>
      </w:r>
      <w:r w:rsidR="004A63EB" w:rsidRPr="00D42FE3">
        <w:rPr>
          <w:b/>
          <w:sz w:val="22"/>
          <w:szCs w:val="22"/>
        </w:rPr>
        <w:t xml:space="preserve">. </w:t>
      </w:r>
      <w:r w:rsidR="004A63EB" w:rsidRPr="00D42FE3">
        <w:rPr>
          <w:b/>
          <w:sz w:val="22"/>
          <w:szCs w:val="22"/>
        </w:rPr>
        <w:tab/>
      </w:r>
      <w:r w:rsidR="001D4C7F" w:rsidRPr="00577DA0">
        <w:rPr>
          <w:b/>
          <w:sz w:val="22"/>
          <w:szCs w:val="22"/>
        </w:rPr>
        <w:t>Key Management</w:t>
      </w:r>
      <w:r w:rsidR="00EE11E7" w:rsidRPr="00577DA0">
        <w:rPr>
          <w:b/>
          <w:sz w:val="22"/>
          <w:szCs w:val="22"/>
        </w:rPr>
        <w:t xml:space="preserve"> Emoluments</w:t>
      </w:r>
    </w:p>
    <w:p w14:paraId="054F2A1A" w14:textId="4592F11D" w:rsidR="006F647D" w:rsidRDefault="00973F73" w:rsidP="004A63EB">
      <w:pPr>
        <w:rPr>
          <w:b/>
          <w:sz w:val="22"/>
          <w:szCs w:val="22"/>
        </w:rPr>
      </w:pPr>
      <w:r>
        <w:rPr>
          <w:b/>
          <w:sz w:val="22"/>
          <w:szCs w:val="22"/>
        </w:rPr>
        <w:t xml:space="preserve"> </w:t>
      </w:r>
    </w:p>
    <w:p w14:paraId="582E15B6" w14:textId="2DEEC674" w:rsidR="006F647D" w:rsidRPr="00D42FE3" w:rsidRDefault="00501BFA" w:rsidP="00A97FEC">
      <w:pPr>
        <w:jc w:val="both"/>
        <w:rPr>
          <w:b/>
          <w:sz w:val="22"/>
          <w:szCs w:val="22"/>
        </w:rPr>
      </w:pPr>
      <w:r w:rsidRPr="00501BFA">
        <w:rPr>
          <w:bCs/>
          <w:iCs/>
          <w:sz w:val="22"/>
          <w:szCs w:val="20"/>
        </w:rPr>
        <w:t xml:space="preserve">Key management personnel are employed by another Wheatley Group subsidiary and perform an executive management role across all subsidiaries in the Wheatley Group. The total emoluments payable to Wheatley Group key management personnel are disclosed in the Wheatley Housing Group consolidated financial statements. The Company pays a share of the costs of these personnel which includes employer pension contributions and benefits in kind. </w:t>
      </w:r>
    </w:p>
    <w:tbl>
      <w:tblPr>
        <w:tblpPr w:vertAnchor="text" w:horzAnchor="margin" w:tblpY="455"/>
        <w:tblW w:w="7655" w:type="dxa"/>
        <w:tblLayout w:type="fixed"/>
        <w:tblCellMar>
          <w:left w:w="0" w:type="dxa"/>
          <w:right w:w="0" w:type="dxa"/>
        </w:tblCellMar>
        <w:tblLook w:val="0000" w:firstRow="0" w:lastRow="0" w:firstColumn="0" w:lastColumn="0" w:noHBand="0" w:noVBand="0"/>
      </w:tblPr>
      <w:tblGrid>
        <w:gridCol w:w="2742"/>
        <w:gridCol w:w="3212"/>
        <w:gridCol w:w="850"/>
        <w:gridCol w:w="851"/>
      </w:tblGrid>
      <w:tr w:rsidR="008D6F54" w:rsidRPr="008D6F54" w14:paraId="1F4EBAF0" w14:textId="77777777" w:rsidTr="56015167">
        <w:trPr>
          <w:trHeight w:val="63"/>
        </w:trPr>
        <w:tc>
          <w:tcPr>
            <w:tcW w:w="2742" w:type="dxa"/>
            <w:tcBorders>
              <w:top w:val="nil"/>
              <w:left w:val="nil"/>
              <w:bottom w:val="nil"/>
              <w:right w:val="nil"/>
            </w:tcBorders>
            <w:noWrap/>
            <w:vAlign w:val="bottom"/>
          </w:tcPr>
          <w:p w14:paraId="7B03BB55" w14:textId="77777777" w:rsidR="008D6F54" w:rsidRPr="008D6F54" w:rsidRDefault="008D6F54" w:rsidP="008D6F54">
            <w:pPr>
              <w:rPr>
                <w:sz w:val="20"/>
                <w:szCs w:val="20"/>
              </w:rPr>
            </w:pPr>
          </w:p>
        </w:tc>
        <w:tc>
          <w:tcPr>
            <w:tcW w:w="3212" w:type="dxa"/>
            <w:tcBorders>
              <w:top w:val="nil"/>
              <w:left w:val="nil"/>
              <w:bottom w:val="nil"/>
              <w:right w:val="nil"/>
            </w:tcBorders>
            <w:noWrap/>
            <w:tcMar>
              <w:bottom w:w="0" w:type="dxa"/>
            </w:tcMar>
            <w:vAlign w:val="bottom"/>
          </w:tcPr>
          <w:p w14:paraId="5936B260" w14:textId="77777777" w:rsidR="008D6F54" w:rsidRPr="008D6F54" w:rsidRDefault="008D6F54" w:rsidP="008D6F54">
            <w:pPr>
              <w:rPr>
                <w:sz w:val="20"/>
                <w:szCs w:val="20"/>
              </w:rPr>
            </w:pPr>
          </w:p>
        </w:tc>
        <w:tc>
          <w:tcPr>
            <w:tcW w:w="850" w:type="dxa"/>
            <w:tcBorders>
              <w:top w:val="nil"/>
              <w:left w:val="nil"/>
              <w:bottom w:val="nil"/>
              <w:right w:val="nil"/>
            </w:tcBorders>
            <w:noWrap/>
            <w:tcMar>
              <w:top w:w="17" w:type="dxa"/>
              <w:left w:w="57" w:type="dxa"/>
              <w:bottom w:w="0" w:type="dxa"/>
              <w:right w:w="57" w:type="dxa"/>
            </w:tcMar>
            <w:vAlign w:val="bottom"/>
          </w:tcPr>
          <w:p w14:paraId="2265E884" w14:textId="6A90F687" w:rsidR="008D6F54" w:rsidRPr="008D6F54" w:rsidRDefault="001B7F15" w:rsidP="008D6F54">
            <w:pPr>
              <w:jc w:val="center"/>
              <w:rPr>
                <w:b/>
                <w:bCs/>
                <w:sz w:val="20"/>
                <w:szCs w:val="20"/>
              </w:rPr>
            </w:pPr>
            <w:r>
              <w:rPr>
                <w:b/>
                <w:bCs/>
                <w:sz w:val="20"/>
                <w:szCs w:val="20"/>
              </w:rPr>
              <w:t>202</w:t>
            </w:r>
            <w:r w:rsidR="00377CBC">
              <w:rPr>
                <w:b/>
                <w:bCs/>
                <w:sz w:val="20"/>
                <w:szCs w:val="20"/>
              </w:rPr>
              <w:t>4</w:t>
            </w:r>
          </w:p>
        </w:tc>
        <w:tc>
          <w:tcPr>
            <w:tcW w:w="851" w:type="dxa"/>
            <w:tcBorders>
              <w:top w:val="nil"/>
              <w:left w:val="nil"/>
              <w:bottom w:val="nil"/>
              <w:right w:val="nil"/>
            </w:tcBorders>
            <w:vAlign w:val="bottom"/>
          </w:tcPr>
          <w:p w14:paraId="3A95C90D" w14:textId="1F65828E" w:rsidR="008D6F54" w:rsidRPr="008D6F54" w:rsidRDefault="001B7F15" w:rsidP="008D6F54">
            <w:pPr>
              <w:jc w:val="center"/>
              <w:rPr>
                <w:b/>
                <w:bCs/>
                <w:sz w:val="20"/>
                <w:szCs w:val="20"/>
              </w:rPr>
            </w:pPr>
            <w:r>
              <w:rPr>
                <w:b/>
                <w:bCs/>
                <w:sz w:val="20"/>
                <w:szCs w:val="20"/>
              </w:rPr>
              <w:t>202</w:t>
            </w:r>
            <w:r w:rsidR="00377CBC">
              <w:rPr>
                <w:b/>
                <w:bCs/>
                <w:sz w:val="20"/>
                <w:szCs w:val="20"/>
              </w:rPr>
              <w:t>3</w:t>
            </w:r>
          </w:p>
        </w:tc>
      </w:tr>
      <w:tr w:rsidR="008D6F54" w:rsidRPr="008D6F54" w14:paraId="5276C992" w14:textId="77777777" w:rsidTr="56015167">
        <w:trPr>
          <w:trHeight w:val="239"/>
        </w:trPr>
        <w:tc>
          <w:tcPr>
            <w:tcW w:w="2742" w:type="dxa"/>
            <w:tcBorders>
              <w:top w:val="nil"/>
              <w:left w:val="nil"/>
              <w:bottom w:val="nil"/>
              <w:right w:val="nil"/>
            </w:tcBorders>
            <w:noWrap/>
            <w:vAlign w:val="bottom"/>
          </w:tcPr>
          <w:p w14:paraId="2A663A0B" w14:textId="77777777" w:rsidR="008D6F54" w:rsidRPr="008D6F54" w:rsidRDefault="008D6F54" w:rsidP="008D6F54">
            <w:pPr>
              <w:rPr>
                <w:sz w:val="20"/>
                <w:szCs w:val="20"/>
              </w:rPr>
            </w:pPr>
          </w:p>
        </w:tc>
        <w:tc>
          <w:tcPr>
            <w:tcW w:w="3212" w:type="dxa"/>
            <w:tcBorders>
              <w:top w:val="nil"/>
              <w:left w:val="nil"/>
              <w:bottom w:val="nil"/>
              <w:right w:val="nil"/>
            </w:tcBorders>
            <w:noWrap/>
            <w:tcMar>
              <w:bottom w:w="0" w:type="dxa"/>
            </w:tcMar>
            <w:vAlign w:val="bottom"/>
          </w:tcPr>
          <w:p w14:paraId="2ECD7BF5" w14:textId="77777777" w:rsidR="008D6F54" w:rsidRPr="008D6F54" w:rsidRDefault="008D6F54" w:rsidP="008D6F54">
            <w:pPr>
              <w:rPr>
                <w:sz w:val="20"/>
                <w:szCs w:val="20"/>
              </w:rPr>
            </w:pPr>
          </w:p>
        </w:tc>
        <w:tc>
          <w:tcPr>
            <w:tcW w:w="850" w:type="dxa"/>
            <w:tcBorders>
              <w:top w:val="nil"/>
              <w:left w:val="nil"/>
              <w:bottom w:val="nil"/>
              <w:right w:val="nil"/>
            </w:tcBorders>
            <w:noWrap/>
            <w:tcMar>
              <w:top w:w="17" w:type="dxa"/>
              <w:left w:w="57" w:type="dxa"/>
              <w:bottom w:w="0" w:type="dxa"/>
              <w:right w:w="57" w:type="dxa"/>
            </w:tcMar>
            <w:vAlign w:val="bottom"/>
          </w:tcPr>
          <w:p w14:paraId="1C19362E" w14:textId="77777777" w:rsidR="008D6F54" w:rsidRPr="008D6F54" w:rsidRDefault="008D6F54" w:rsidP="008D6F54">
            <w:pPr>
              <w:jc w:val="center"/>
              <w:rPr>
                <w:b/>
                <w:bCs/>
                <w:sz w:val="20"/>
                <w:szCs w:val="20"/>
              </w:rPr>
            </w:pPr>
            <w:r w:rsidRPr="008D6F54">
              <w:rPr>
                <w:b/>
                <w:bCs/>
                <w:sz w:val="20"/>
                <w:szCs w:val="20"/>
              </w:rPr>
              <w:t>£ 000</w:t>
            </w:r>
          </w:p>
        </w:tc>
        <w:tc>
          <w:tcPr>
            <w:tcW w:w="851" w:type="dxa"/>
            <w:tcBorders>
              <w:top w:val="nil"/>
              <w:left w:val="nil"/>
              <w:bottom w:val="nil"/>
              <w:right w:val="nil"/>
            </w:tcBorders>
            <w:vAlign w:val="bottom"/>
          </w:tcPr>
          <w:p w14:paraId="0E4043D4" w14:textId="77777777" w:rsidR="008D6F54" w:rsidRPr="008D6F54" w:rsidRDefault="008D6F54" w:rsidP="008D6F54">
            <w:pPr>
              <w:jc w:val="center"/>
              <w:rPr>
                <w:b/>
                <w:bCs/>
                <w:sz w:val="20"/>
                <w:szCs w:val="20"/>
              </w:rPr>
            </w:pPr>
            <w:r w:rsidRPr="008D6F54">
              <w:rPr>
                <w:b/>
                <w:bCs/>
                <w:sz w:val="20"/>
                <w:szCs w:val="20"/>
              </w:rPr>
              <w:t>£ 000</w:t>
            </w:r>
          </w:p>
        </w:tc>
      </w:tr>
      <w:tr w:rsidR="00377CBC" w:rsidRPr="008D6F54" w14:paraId="33ECF06A" w14:textId="77777777" w:rsidTr="56015167">
        <w:trPr>
          <w:trHeight w:val="239"/>
        </w:trPr>
        <w:tc>
          <w:tcPr>
            <w:tcW w:w="5954" w:type="dxa"/>
            <w:gridSpan w:val="2"/>
            <w:tcBorders>
              <w:top w:val="nil"/>
              <w:left w:val="nil"/>
              <w:bottom w:val="nil"/>
              <w:right w:val="nil"/>
            </w:tcBorders>
            <w:noWrap/>
            <w:vAlign w:val="bottom"/>
          </w:tcPr>
          <w:p w14:paraId="321FD0AA" w14:textId="77777777" w:rsidR="00377CBC" w:rsidRPr="008D6F54" w:rsidRDefault="00377CBC" w:rsidP="00377CBC">
            <w:pPr>
              <w:rPr>
                <w:sz w:val="20"/>
                <w:szCs w:val="20"/>
              </w:rPr>
            </w:pPr>
            <w:r w:rsidRPr="008D6F54">
              <w:rPr>
                <w:sz w:val="20"/>
                <w:szCs w:val="20"/>
              </w:rPr>
              <w:t>Aggregate emoluments payable to key management</w:t>
            </w:r>
          </w:p>
        </w:tc>
        <w:tc>
          <w:tcPr>
            <w:tcW w:w="850" w:type="dxa"/>
            <w:tcBorders>
              <w:top w:val="nil"/>
              <w:left w:val="nil"/>
              <w:bottom w:val="nil"/>
              <w:right w:val="nil"/>
            </w:tcBorders>
            <w:noWrap/>
            <w:tcMar>
              <w:top w:w="17" w:type="dxa"/>
              <w:left w:w="57" w:type="dxa"/>
              <w:bottom w:w="0" w:type="dxa"/>
              <w:right w:w="57" w:type="dxa"/>
            </w:tcMar>
            <w:vAlign w:val="bottom"/>
          </w:tcPr>
          <w:p w14:paraId="0994CF72" w14:textId="09D704FE" w:rsidR="00377CBC" w:rsidRPr="008D6F54" w:rsidRDefault="00CE184D" w:rsidP="00377CBC">
            <w:pPr>
              <w:jc w:val="center"/>
              <w:rPr>
                <w:sz w:val="20"/>
                <w:szCs w:val="20"/>
              </w:rPr>
            </w:pPr>
            <w:r>
              <w:rPr>
                <w:sz w:val="20"/>
                <w:szCs w:val="20"/>
              </w:rPr>
              <w:t>117</w:t>
            </w:r>
          </w:p>
        </w:tc>
        <w:tc>
          <w:tcPr>
            <w:tcW w:w="851" w:type="dxa"/>
            <w:tcBorders>
              <w:top w:val="nil"/>
              <w:left w:val="nil"/>
              <w:bottom w:val="nil"/>
              <w:right w:val="nil"/>
            </w:tcBorders>
            <w:noWrap/>
            <w:tcMar>
              <w:top w:w="17" w:type="dxa"/>
              <w:left w:w="17" w:type="dxa"/>
              <w:bottom w:w="0" w:type="dxa"/>
              <w:right w:w="17" w:type="dxa"/>
            </w:tcMar>
            <w:vAlign w:val="bottom"/>
          </w:tcPr>
          <w:p w14:paraId="2CE6F90B" w14:textId="484750EA" w:rsidR="00377CBC" w:rsidRPr="008D6F54" w:rsidRDefault="00377CBC" w:rsidP="00377CBC">
            <w:pPr>
              <w:jc w:val="center"/>
              <w:rPr>
                <w:sz w:val="20"/>
                <w:szCs w:val="20"/>
              </w:rPr>
            </w:pPr>
            <w:r>
              <w:rPr>
                <w:sz w:val="20"/>
                <w:szCs w:val="20"/>
              </w:rPr>
              <w:t>145</w:t>
            </w:r>
          </w:p>
        </w:tc>
      </w:tr>
      <w:tr w:rsidR="00377CBC" w:rsidRPr="008D6F54" w14:paraId="69F8A8B6" w14:textId="77777777" w:rsidTr="56015167">
        <w:trPr>
          <w:trHeight w:val="239"/>
        </w:trPr>
        <w:tc>
          <w:tcPr>
            <w:tcW w:w="5954" w:type="dxa"/>
            <w:gridSpan w:val="2"/>
            <w:tcBorders>
              <w:top w:val="nil"/>
              <w:left w:val="nil"/>
              <w:bottom w:val="nil"/>
              <w:right w:val="nil"/>
            </w:tcBorders>
            <w:noWrap/>
            <w:vAlign w:val="bottom"/>
          </w:tcPr>
          <w:p w14:paraId="23CFEF0C" w14:textId="3F60E1D9" w:rsidR="00377CBC" w:rsidRPr="008D6F54" w:rsidRDefault="00377CBC" w:rsidP="00377CBC">
            <w:pPr>
              <w:rPr>
                <w:sz w:val="20"/>
                <w:szCs w:val="20"/>
              </w:rPr>
            </w:pPr>
            <w:r w:rsidRPr="008D6F54">
              <w:rPr>
                <w:sz w:val="20"/>
                <w:szCs w:val="20"/>
              </w:rPr>
              <w:t>(</w:t>
            </w:r>
            <w:r>
              <w:rPr>
                <w:sz w:val="20"/>
                <w:szCs w:val="20"/>
              </w:rPr>
              <w:t>ex</w:t>
            </w:r>
            <w:r w:rsidRPr="008D6F54">
              <w:rPr>
                <w:sz w:val="20"/>
                <w:szCs w:val="20"/>
              </w:rPr>
              <w:t>cluding pension contributions and benefits in kind)</w:t>
            </w:r>
          </w:p>
        </w:tc>
        <w:tc>
          <w:tcPr>
            <w:tcW w:w="850" w:type="dxa"/>
            <w:tcBorders>
              <w:top w:val="nil"/>
              <w:left w:val="nil"/>
              <w:bottom w:val="nil"/>
              <w:right w:val="nil"/>
            </w:tcBorders>
            <w:noWrap/>
            <w:tcMar>
              <w:top w:w="17" w:type="dxa"/>
              <w:left w:w="57" w:type="dxa"/>
              <w:bottom w:w="0" w:type="dxa"/>
              <w:right w:w="57" w:type="dxa"/>
            </w:tcMar>
            <w:vAlign w:val="bottom"/>
          </w:tcPr>
          <w:p w14:paraId="7B125F58" w14:textId="77777777" w:rsidR="00377CBC" w:rsidRPr="008D6F54" w:rsidRDefault="00377CBC" w:rsidP="00377CBC">
            <w:pPr>
              <w:jc w:val="center"/>
              <w:rPr>
                <w:sz w:val="20"/>
                <w:szCs w:val="20"/>
              </w:rPr>
            </w:pPr>
          </w:p>
        </w:tc>
        <w:tc>
          <w:tcPr>
            <w:tcW w:w="851" w:type="dxa"/>
            <w:tcBorders>
              <w:top w:val="nil"/>
              <w:left w:val="nil"/>
              <w:bottom w:val="nil"/>
              <w:right w:val="nil"/>
            </w:tcBorders>
            <w:noWrap/>
            <w:tcMar>
              <w:top w:w="17" w:type="dxa"/>
              <w:left w:w="17" w:type="dxa"/>
              <w:bottom w:w="0" w:type="dxa"/>
              <w:right w:w="17" w:type="dxa"/>
            </w:tcMar>
            <w:vAlign w:val="bottom"/>
          </w:tcPr>
          <w:p w14:paraId="0AE0B7D2" w14:textId="77777777" w:rsidR="00377CBC" w:rsidRPr="008D6F54" w:rsidRDefault="00377CBC" w:rsidP="00377CBC">
            <w:pPr>
              <w:jc w:val="center"/>
              <w:rPr>
                <w:sz w:val="20"/>
                <w:szCs w:val="20"/>
              </w:rPr>
            </w:pPr>
          </w:p>
        </w:tc>
      </w:tr>
      <w:tr w:rsidR="00377CBC" w:rsidRPr="008D6F54" w14:paraId="0AA11407" w14:textId="77777777" w:rsidTr="56015167">
        <w:trPr>
          <w:trHeight w:val="153"/>
        </w:trPr>
        <w:tc>
          <w:tcPr>
            <w:tcW w:w="2742" w:type="dxa"/>
            <w:tcBorders>
              <w:top w:val="nil"/>
              <w:left w:val="nil"/>
              <w:bottom w:val="nil"/>
              <w:right w:val="nil"/>
            </w:tcBorders>
            <w:noWrap/>
            <w:vAlign w:val="bottom"/>
          </w:tcPr>
          <w:p w14:paraId="036D3B84" w14:textId="77777777" w:rsidR="00377CBC" w:rsidRPr="008D6F54" w:rsidRDefault="00377CBC" w:rsidP="00377CBC">
            <w:pPr>
              <w:rPr>
                <w:sz w:val="20"/>
                <w:szCs w:val="20"/>
              </w:rPr>
            </w:pPr>
          </w:p>
        </w:tc>
        <w:tc>
          <w:tcPr>
            <w:tcW w:w="3212" w:type="dxa"/>
            <w:tcBorders>
              <w:top w:val="nil"/>
              <w:left w:val="nil"/>
              <w:bottom w:val="nil"/>
              <w:right w:val="nil"/>
            </w:tcBorders>
            <w:noWrap/>
            <w:tcMar>
              <w:bottom w:w="0" w:type="dxa"/>
            </w:tcMar>
            <w:vAlign w:val="bottom"/>
          </w:tcPr>
          <w:p w14:paraId="1090F1ED" w14:textId="77777777" w:rsidR="00377CBC" w:rsidRPr="008D6F54" w:rsidRDefault="00377CBC" w:rsidP="00377CBC">
            <w:pPr>
              <w:rPr>
                <w:sz w:val="20"/>
                <w:szCs w:val="20"/>
              </w:rPr>
            </w:pPr>
          </w:p>
        </w:tc>
        <w:tc>
          <w:tcPr>
            <w:tcW w:w="850" w:type="dxa"/>
            <w:tcBorders>
              <w:top w:val="nil"/>
              <w:left w:val="nil"/>
              <w:bottom w:val="nil"/>
              <w:right w:val="nil"/>
            </w:tcBorders>
            <w:noWrap/>
            <w:tcMar>
              <w:top w:w="17" w:type="dxa"/>
              <w:left w:w="57" w:type="dxa"/>
              <w:bottom w:w="0" w:type="dxa"/>
              <w:right w:w="57" w:type="dxa"/>
            </w:tcMar>
            <w:vAlign w:val="bottom"/>
          </w:tcPr>
          <w:p w14:paraId="239DC2B4" w14:textId="77777777" w:rsidR="00377CBC" w:rsidRPr="008D6F54" w:rsidRDefault="00377CBC" w:rsidP="00377CBC">
            <w:pPr>
              <w:jc w:val="center"/>
              <w:rPr>
                <w:sz w:val="20"/>
                <w:szCs w:val="20"/>
              </w:rPr>
            </w:pPr>
          </w:p>
        </w:tc>
        <w:tc>
          <w:tcPr>
            <w:tcW w:w="851" w:type="dxa"/>
            <w:tcBorders>
              <w:top w:val="nil"/>
              <w:left w:val="nil"/>
              <w:bottom w:val="nil"/>
              <w:right w:val="nil"/>
            </w:tcBorders>
            <w:vAlign w:val="bottom"/>
          </w:tcPr>
          <w:p w14:paraId="7643304E" w14:textId="77777777" w:rsidR="00377CBC" w:rsidRPr="008D6F54" w:rsidRDefault="00377CBC" w:rsidP="00377CBC">
            <w:pPr>
              <w:jc w:val="center"/>
              <w:rPr>
                <w:sz w:val="20"/>
                <w:szCs w:val="20"/>
              </w:rPr>
            </w:pPr>
          </w:p>
        </w:tc>
      </w:tr>
      <w:tr w:rsidR="00377CBC" w:rsidRPr="008D6F54" w14:paraId="154AE6BE" w14:textId="77777777" w:rsidTr="56015167">
        <w:trPr>
          <w:trHeight w:val="239"/>
        </w:trPr>
        <w:tc>
          <w:tcPr>
            <w:tcW w:w="5954" w:type="dxa"/>
            <w:gridSpan w:val="2"/>
            <w:tcBorders>
              <w:top w:val="nil"/>
              <w:left w:val="nil"/>
              <w:bottom w:val="nil"/>
              <w:right w:val="nil"/>
            </w:tcBorders>
            <w:noWrap/>
            <w:vAlign w:val="bottom"/>
          </w:tcPr>
          <w:p w14:paraId="608A1567" w14:textId="77777777" w:rsidR="00377CBC" w:rsidRPr="008D6F54" w:rsidRDefault="00377CBC" w:rsidP="00377CBC">
            <w:pPr>
              <w:rPr>
                <w:sz w:val="20"/>
                <w:szCs w:val="20"/>
              </w:rPr>
            </w:pPr>
            <w:r w:rsidRPr="008D6F54">
              <w:rPr>
                <w:sz w:val="20"/>
                <w:szCs w:val="20"/>
              </w:rPr>
              <w:t>During the periods the key management’s emoluments (excluding pension contributions) fell within the following band distributions:</w:t>
            </w:r>
          </w:p>
        </w:tc>
        <w:tc>
          <w:tcPr>
            <w:tcW w:w="850" w:type="dxa"/>
            <w:tcBorders>
              <w:top w:val="nil"/>
              <w:left w:val="nil"/>
              <w:bottom w:val="nil"/>
              <w:right w:val="nil"/>
            </w:tcBorders>
            <w:noWrap/>
            <w:tcMar>
              <w:top w:w="17" w:type="dxa"/>
              <w:left w:w="57" w:type="dxa"/>
              <w:bottom w:w="0" w:type="dxa"/>
              <w:right w:w="57" w:type="dxa"/>
            </w:tcMar>
            <w:vAlign w:val="bottom"/>
          </w:tcPr>
          <w:p w14:paraId="2C63E77C" w14:textId="77777777" w:rsidR="00377CBC" w:rsidRPr="008D6F54" w:rsidRDefault="00377CBC" w:rsidP="00377CBC">
            <w:pPr>
              <w:jc w:val="center"/>
              <w:rPr>
                <w:sz w:val="20"/>
                <w:szCs w:val="20"/>
              </w:rPr>
            </w:pPr>
          </w:p>
        </w:tc>
        <w:tc>
          <w:tcPr>
            <w:tcW w:w="851" w:type="dxa"/>
            <w:tcBorders>
              <w:top w:val="nil"/>
              <w:left w:val="nil"/>
              <w:bottom w:val="nil"/>
              <w:right w:val="nil"/>
            </w:tcBorders>
            <w:noWrap/>
            <w:tcMar>
              <w:top w:w="17" w:type="dxa"/>
              <w:left w:w="17" w:type="dxa"/>
              <w:bottom w:w="0" w:type="dxa"/>
              <w:right w:w="17" w:type="dxa"/>
            </w:tcMar>
            <w:vAlign w:val="bottom"/>
          </w:tcPr>
          <w:p w14:paraId="0FB45C70" w14:textId="77777777" w:rsidR="00377CBC" w:rsidRPr="008D6F54" w:rsidRDefault="00377CBC" w:rsidP="00377CBC">
            <w:pPr>
              <w:jc w:val="center"/>
              <w:rPr>
                <w:sz w:val="20"/>
                <w:szCs w:val="20"/>
              </w:rPr>
            </w:pPr>
          </w:p>
        </w:tc>
      </w:tr>
      <w:tr w:rsidR="00377CBC" w:rsidRPr="008D6F54" w14:paraId="323A82B8" w14:textId="77777777" w:rsidTr="56015167">
        <w:trPr>
          <w:trHeight w:val="239"/>
        </w:trPr>
        <w:tc>
          <w:tcPr>
            <w:tcW w:w="5954" w:type="dxa"/>
            <w:gridSpan w:val="2"/>
            <w:tcBorders>
              <w:top w:val="nil"/>
              <w:left w:val="nil"/>
              <w:bottom w:val="nil"/>
              <w:right w:val="nil"/>
            </w:tcBorders>
            <w:noWrap/>
            <w:vAlign w:val="bottom"/>
          </w:tcPr>
          <w:p w14:paraId="7582C762" w14:textId="77777777" w:rsidR="00377CBC" w:rsidRPr="008D6F54" w:rsidRDefault="00377CBC" w:rsidP="00377CBC">
            <w:pPr>
              <w:rPr>
                <w:sz w:val="20"/>
                <w:szCs w:val="20"/>
              </w:rPr>
            </w:pPr>
          </w:p>
        </w:tc>
        <w:tc>
          <w:tcPr>
            <w:tcW w:w="850" w:type="dxa"/>
            <w:tcBorders>
              <w:top w:val="nil"/>
              <w:left w:val="nil"/>
              <w:bottom w:val="nil"/>
              <w:right w:val="nil"/>
            </w:tcBorders>
            <w:noWrap/>
            <w:tcMar>
              <w:top w:w="17" w:type="dxa"/>
              <w:left w:w="57" w:type="dxa"/>
              <w:bottom w:w="0" w:type="dxa"/>
              <w:right w:w="57" w:type="dxa"/>
            </w:tcMar>
            <w:vAlign w:val="bottom"/>
          </w:tcPr>
          <w:p w14:paraId="3527FBEE" w14:textId="77777777" w:rsidR="00377CBC" w:rsidRPr="008D6F54" w:rsidRDefault="00377CBC" w:rsidP="00377CBC">
            <w:pPr>
              <w:jc w:val="center"/>
              <w:rPr>
                <w:sz w:val="20"/>
                <w:szCs w:val="20"/>
              </w:rPr>
            </w:pPr>
          </w:p>
        </w:tc>
        <w:tc>
          <w:tcPr>
            <w:tcW w:w="851" w:type="dxa"/>
            <w:tcBorders>
              <w:top w:val="nil"/>
              <w:left w:val="nil"/>
              <w:bottom w:val="nil"/>
              <w:right w:val="nil"/>
            </w:tcBorders>
            <w:noWrap/>
            <w:tcMar>
              <w:top w:w="17" w:type="dxa"/>
              <w:left w:w="17" w:type="dxa"/>
              <w:bottom w:w="0" w:type="dxa"/>
              <w:right w:w="17" w:type="dxa"/>
            </w:tcMar>
            <w:vAlign w:val="bottom"/>
          </w:tcPr>
          <w:p w14:paraId="59F8A0B7" w14:textId="77777777" w:rsidR="00377CBC" w:rsidRPr="008D6F54" w:rsidRDefault="00377CBC" w:rsidP="00377CBC">
            <w:pPr>
              <w:jc w:val="center"/>
              <w:rPr>
                <w:sz w:val="20"/>
                <w:szCs w:val="20"/>
              </w:rPr>
            </w:pPr>
          </w:p>
        </w:tc>
      </w:tr>
      <w:tr w:rsidR="00377CBC" w:rsidRPr="008D6F54" w14:paraId="148BAE7F" w14:textId="77777777" w:rsidTr="56015167">
        <w:trPr>
          <w:trHeight w:val="239"/>
        </w:trPr>
        <w:tc>
          <w:tcPr>
            <w:tcW w:w="5954" w:type="dxa"/>
            <w:gridSpan w:val="2"/>
            <w:tcBorders>
              <w:top w:val="nil"/>
              <w:left w:val="nil"/>
              <w:bottom w:val="nil"/>
              <w:right w:val="nil"/>
            </w:tcBorders>
            <w:noWrap/>
            <w:vAlign w:val="bottom"/>
          </w:tcPr>
          <w:p w14:paraId="09B59873" w14:textId="77777777" w:rsidR="00377CBC" w:rsidRPr="008D6F54" w:rsidRDefault="00377CBC" w:rsidP="00377CBC">
            <w:pPr>
              <w:rPr>
                <w:sz w:val="20"/>
                <w:szCs w:val="20"/>
              </w:rPr>
            </w:pPr>
            <w:r w:rsidRPr="008D6F54">
              <w:rPr>
                <w:sz w:val="20"/>
                <w:szCs w:val="20"/>
              </w:rPr>
              <w:t>More than £</w:t>
            </w:r>
            <w:r>
              <w:rPr>
                <w:sz w:val="20"/>
                <w:szCs w:val="20"/>
              </w:rPr>
              <w:t>nil</w:t>
            </w:r>
            <w:r w:rsidRPr="008D6F54">
              <w:rPr>
                <w:sz w:val="20"/>
                <w:szCs w:val="20"/>
              </w:rPr>
              <w:t xml:space="preserve"> but not more than £</w:t>
            </w:r>
            <w:r>
              <w:rPr>
                <w:sz w:val="20"/>
                <w:szCs w:val="20"/>
              </w:rPr>
              <w:t>1</w:t>
            </w:r>
            <w:r w:rsidRPr="008D6F54">
              <w:rPr>
                <w:sz w:val="20"/>
                <w:szCs w:val="20"/>
              </w:rPr>
              <w:t>0,000</w:t>
            </w:r>
          </w:p>
        </w:tc>
        <w:tc>
          <w:tcPr>
            <w:tcW w:w="850" w:type="dxa"/>
            <w:tcBorders>
              <w:top w:val="nil"/>
              <w:left w:val="nil"/>
              <w:bottom w:val="nil"/>
              <w:right w:val="nil"/>
            </w:tcBorders>
            <w:noWrap/>
            <w:tcMar>
              <w:top w:w="17" w:type="dxa"/>
              <w:left w:w="57" w:type="dxa"/>
              <w:bottom w:w="0" w:type="dxa"/>
              <w:right w:w="57" w:type="dxa"/>
            </w:tcMar>
            <w:vAlign w:val="bottom"/>
          </w:tcPr>
          <w:p w14:paraId="16A631D2" w14:textId="18E72E3C" w:rsidR="00377CBC" w:rsidRPr="008D6F54" w:rsidRDefault="00CE184D" w:rsidP="00377CBC">
            <w:pPr>
              <w:jc w:val="center"/>
              <w:rPr>
                <w:sz w:val="20"/>
                <w:szCs w:val="20"/>
              </w:rPr>
            </w:pPr>
            <w:r>
              <w:rPr>
                <w:sz w:val="20"/>
                <w:szCs w:val="20"/>
              </w:rPr>
              <w:t>-</w:t>
            </w:r>
          </w:p>
        </w:tc>
        <w:tc>
          <w:tcPr>
            <w:tcW w:w="851" w:type="dxa"/>
            <w:tcBorders>
              <w:top w:val="nil"/>
              <w:left w:val="nil"/>
              <w:bottom w:val="nil"/>
              <w:right w:val="nil"/>
            </w:tcBorders>
            <w:noWrap/>
            <w:tcMar>
              <w:top w:w="17" w:type="dxa"/>
              <w:left w:w="17" w:type="dxa"/>
              <w:bottom w:w="0" w:type="dxa"/>
              <w:right w:w="17" w:type="dxa"/>
            </w:tcMar>
            <w:vAlign w:val="bottom"/>
          </w:tcPr>
          <w:p w14:paraId="00D2080E" w14:textId="304D9243" w:rsidR="00377CBC" w:rsidRPr="008D6F54" w:rsidRDefault="00377CBC" w:rsidP="00377CBC">
            <w:pPr>
              <w:jc w:val="center"/>
              <w:rPr>
                <w:sz w:val="20"/>
                <w:szCs w:val="20"/>
              </w:rPr>
            </w:pPr>
            <w:r>
              <w:rPr>
                <w:sz w:val="20"/>
                <w:szCs w:val="20"/>
              </w:rPr>
              <w:t>-</w:t>
            </w:r>
          </w:p>
        </w:tc>
      </w:tr>
      <w:tr w:rsidR="00377CBC" w:rsidRPr="008D6F54" w14:paraId="7C5B91A6" w14:textId="77777777" w:rsidTr="56015167">
        <w:trPr>
          <w:trHeight w:val="239"/>
        </w:trPr>
        <w:tc>
          <w:tcPr>
            <w:tcW w:w="5954" w:type="dxa"/>
            <w:gridSpan w:val="2"/>
            <w:tcBorders>
              <w:top w:val="nil"/>
              <w:left w:val="nil"/>
              <w:bottom w:val="nil"/>
              <w:right w:val="nil"/>
            </w:tcBorders>
            <w:noWrap/>
            <w:vAlign w:val="bottom"/>
          </w:tcPr>
          <w:p w14:paraId="4DB1F476" w14:textId="77777777" w:rsidR="00377CBC" w:rsidRPr="008D6F54" w:rsidRDefault="00377CBC" w:rsidP="00377CBC">
            <w:pPr>
              <w:rPr>
                <w:sz w:val="20"/>
                <w:szCs w:val="20"/>
              </w:rPr>
            </w:pPr>
            <w:r w:rsidRPr="008D6F54">
              <w:rPr>
                <w:sz w:val="20"/>
                <w:szCs w:val="20"/>
              </w:rPr>
              <w:t>More than £</w:t>
            </w:r>
            <w:r>
              <w:rPr>
                <w:sz w:val="20"/>
                <w:szCs w:val="20"/>
              </w:rPr>
              <w:t>1</w:t>
            </w:r>
            <w:r w:rsidRPr="008D6F54">
              <w:rPr>
                <w:sz w:val="20"/>
                <w:szCs w:val="20"/>
              </w:rPr>
              <w:t>0,000 but not more than £</w:t>
            </w:r>
            <w:r>
              <w:rPr>
                <w:sz w:val="20"/>
                <w:szCs w:val="20"/>
              </w:rPr>
              <w:t>2</w:t>
            </w:r>
            <w:r w:rsidRPr="008D6F54">
              <w:rPr>
                <w:sz w:val="20"/>
                <w:szCs w:val="20"/>
              </w:rPr>
              <w:t>0,000</w:t>
            </w:r>
          </w:p>
        </w:tc>
        <w:tc>
          <w:tcPr>
            <w:tcW w:w="850" w:type="dxa"/>
            <w:tcBorders>
              <w:top w:val="nil"/>
              <w:left w:val="nil"/>
              <w:bottom w:val="nil"/>
              <w:right w:val="nil"/>
            </w:tcBorders>
            <w:noWrap/>
            <w:tcMar>
              <w:top w:w="17" w:type="dxa"/>
              <w:left w:w="57" w:type="dxa"/>
              <w:bottom w:w="0" w:type="dxa"/>
              <w:right w:w="57" w:type="dxa"/>
            </w:tcMar>
          </w:tcPr>
          <w:p w14:paraId="3EFC2C4B" w14:textId="77E582D8" w:rsidR="00377CBC" w:rsidRPr="008D6F54" w:rsidRDefault="00CE184D" w:rsidP="00377CBC">
            <w:pPr>
              <w:jc w:val="center"/>
              <w:rPr>
                <w:sz w:val="20"/>
                <w:szCs w:val="20"/>
              </w:rPr>
            </w:pPr>
            <w:r>
              <w:rPr>
                <w:sz w:val="20"/>
                <w:szCs w:val="20"/>
              </w:rPr>
              <w:t>1</w:t>
            </w:r>
          </w:p>
        </w:tc>
        <w:tc>
          <w:tcPr>
            <w:tcW w:w="851" w:type="dxa"/>
            <w:tcBorders>
              <w:top w:val="nil"/>
              <w:left w:val="nil"/>
              <w:bottom w:val="nil"/>
              <w:right w:val="nil"/>
            </w:tcBorders>
            <w:noWrap/>
            <w:tcMar>
              <w:top w:w="17" w:type="dxa"/>
              <w:left w:w="17" w:type="dxa"/>
              <w:bottom w:w="0" w:type="dxa"/>
              <w:right w:w="17" w:type="dxa"/>
            </w:tcMar>
          </w:tcPr>
          <w:p w14:paraId="6B3C1E19" w14:textId="75254C74" w:rsidR="00377CBC" w:rsidRPr="008D6F54" w:rsidRDefault="00377CBC" w:rsidP="00377CBC">
            <w:pPr>
              <w:jc w:val="center"/>
              <w:rPr>
                <w:sz w:val="20"/>
                <w:szCs w:val="20"/>
              </w:rPr>
            </w:pPr>
            <w:r>
              <w:rPr>
                <w:sz w:val="20"/>
                <w:szCs w:val="20"/>
              </w:rPr>
              <w:t>4</w:t>
            </w:r>
          </w:p>
        </w:tc>
      </w:tr>
      <w:tr w:rsidR="00377CBC" w:rsidRPr="008D6F54" w14:paraId="553CEDB6" w14:textId="77777777" w:rsidTr="56015167">
        <w:trPr>
          <w:trHeight w:val="239"/>
        </w:trPr>
        <w:tc>
          <w:tcPr>
            <w:tcW w:w="5954" w:type="dxa"/>
            <w:gridSpan w:val="2"/>
            <w:tcBorders>
              <w:top w:val="nil"/>
              <w:left w:val="nil"/>
              <w:bottom w:val="nil"/>
              <w:right w:val="nil"/>
            </w:tcBorders>
            <w:noWrap/>
            <w:vAlign w:val="bottom"/>
          </w:tcPr>
          <w:p w14:paraId="5FEF9526" w14:textId="77777777" w:rsidR="00377CBC" w:rsidRPr="008D6F54" w:rsidRDefault="00377CBC" w:rsidP="00377CBC">
            <w:pPr>
              <w:rPr>
                <w:sz w:val="20"/>
                <w:szCs w:val="20"/>
              </w:rPr>
            </w:pPr>
            <w:r w:rsidRPr="008D6F54">
              <w:rPr>
                <w:sz w:val="20"/>
                <w:szCs w:val="20"/>
              </w:rPr>
              <w:t>More than £</w:t>
            </w:r>
            <w:r>
              <w:rPr>
                <w:sz w:val="20"/>
                <w:szCs w:val="20"/>
              </w:rPr>
              <w:t>2</w:t>
            </w:r>
            <w:r w:rsidRPr="008D6F54">
              <w:rPr>
                <w:sz w:val="20"/>
                <w:szCs w:val="20"/>
              </w:rPr>
              <w:t>0,000 but not more than £</w:t>
            </w:r>
            <w:r>
              <w:rPr>
                <w:sz w:val="20"/>
                <w:szCs w:val="20"/>
              </w:rPr>
              <w:t>3</w:t>
            </w:r>
            <w:r w:rsidRPr="008D6F54">
              <w:rPr>
                <w:sz w:val="20"/>
                <w:szCs w:val="20"/>
              </w:rPr>
              <w:t>0,000</w:t>
            </w:r>
          </w:p>
        </w:tc>
        <w:tc>
          <w:tcPr>
            <w:tcW w:w="850" w:type="dxa"/>
            <w:tcBorders>
              <w:top w:val="nil"/>
              <w:left w:val="nil"/>
              <w:bottom w:val="nil"/>
              <w:right w:val="nil"/>
            </w:tcBorders>
            <w:noWrap/>
            <w:tcMar>
              <w:top w:w="17" w:type="dxa"/>
              <w:left w:w="57" w:type="dxa"/>
              <w:bottom w:w="0" w:type="dxa"/>
              <w:right w:w="57" w:type="dxa"/>
            </w:tcMar>
          </w:tcPr>
          <w:p w14:paraId="0539B8C9" w14:textId="3AD98A83" w:rsidR="00377CBC" w:rsidRPr="008D6F54" w:rsidRDefault="00CE184D" w:rsidP="00377CBC">
            <w:pPr>
              <w:jc w:val="center"/>
              <w:rPr>
                <w:sz w:val="20"/>
                <w:szCs w:val="20"/>
              </w:rPr>
            </w:pPr>
            <w:r>
              <w:rPr>
                <w:sz w:val="20"/>
                <w:szCs w:val="20"/>
              </w:rPr>
              <w:t>5</w:t>
            </w:r>
          </w:p>
        </w:tc>
        <w:tc>
          <w:tcPr>
            <w:tcW w:w="851" w:type="dxa"/>
            <w:tcBorders>
              <w:top w:val="nil"/>
              <w:left w:val="nil"/>
              <w:bottom w:val="nil"/>
              <w:right w:val="nil"/>
            </w:tcBorders>
            <w:noWrap/>
            <w:tcMar>
              <w:top w:w="17" w:type="dxa"/>
              <w:left w:w="17" w:type="dxa"/>
              <w:bottom w:w="0" w:type="dxa"/>
              <w:right w:w="17" w:type="dxa"/>
            </w:tcMar>
          </w:tcPr>
          <w:p w14:paraId="1272B2AA" w14:textId="2CF2204A" w:rsidR="00377CBC" w:rsidRPr="008D6F54" w:rsidRDefault="00377CBC" w:rsidP="00377CBC">
            <w:pPr>
              <w:jc w:val="center"/>
              <w:rPr>
                <w:sz w:val="20"/>
                <w:szCs w:val="20"/>
              </w:rPr>
            </w:pPr>
            <w:r>
              <w:rPr>
                <w:sz w:val="20"/>
                <w:szCs w:val="20"/>
              </w:rPr>
              <w:t>3</w:t>
            </w:r>
          </w:p>
        </w:tc>
      </w:tr>
      <w:tr w:rsidR="00377CBC" w:rsidRPr="008D6F54" w14:paraId="1B958D62" w14:textId="77777777" w:rsidTr="56015167">
        <w:trPr>
          <w:trHeight w:val="239"/>
        </w:trPr>
        <w:tc>
          <w:tcPr>
            <w:tcW w:w="5954" w:type="dxa"/>
            <w:gridSpan w:val="2"/>
            <w:tcBorders>
              <w:top w:val="nil"/>
              <w:left w:val="nil"/>
              <w:bottom w:val="nil"/>
              <w:right w:val="nil"/>
            </w:tcBorders>
            <w:noWrap/>
            <w:vAlign w:val="bottom"/>
          </w:tcPr>
          <w:p w14:paraId="1D7843AC" w14:textId="77777777" w:rsidR="00377CBC" w:rsidRPr="008D6F54" w:rsidRDefault="00377CBC" w:rsidP="00377CBC">
            <w:pPr>
              <w:rPr>
                <w:sz w:val="20"/>
                <w:szCs w:val="20"/>
              </w:rPr>
            </w:pPr>
            <w:r w:rsidRPr="008D6F54">
              <w:rPr>
                <w:sz w:val="20"/>
                <w:szCs w:val="20"/>
              </w:rPr>
              <w:t>More than £</w:t>
            </w:r>
            <w:r>
              <w:rPr>
                <w:sz w:val="20"/>
                <w:szCs w:val="20"/>
              </w:rPr>
              <w:t>4</w:t>
            </w:r>
            <w:r w:rsidRPr="008D6F54">
              <w:rPr>
                <w:sz w:val="20"/>
                <w:szCs w:val="20"/>
              </w:rPr>
              <w:t>0,000 but not more than £</w:t>
            </w:r>
            <w:r>
              <w:rPr>
                <w:sz w:val="20"/>
                <w:szCs w:val="20"/>
              </w:rPr>
              <w:t>5</w:t>
            </w:r>
            <w:r w:rsidRPr="008D6F54">
              <w:rPr>
                <w:sz w:val="20"/>
                <w:szCs w:val="20"/>
              </w:rPr>
              <w:t>0,000</w:t>
            </w:r>
          </w:p>
        </w:tc>
        <w:tc>
          <w:tcPr>
            <w:tcW w:w="850" w:type="dxa"/>
            <w:tcBorders>
              <w:top w:val="nil"/>
              <w:left w:val="nil"/>
              <w:bottom w:val="nil"/>
              <w:right w:val="nil"/>
            </w:tcBorders>
            <w:noWrap/>
            <w:tcMar>
              <w:top w:w="17" w:type="dxa"/>
              <w:left w:w="57" w:type="dxa"/>
              <w:bottom w:w="0" w:type="dxa"/>
              <w:right w:w="57" w:type="dxa"/>
            </w:tcMar>
          </w:tcPr>
          <w:p w14:paraId="29C8EE2F" w14:textId="46A388C0" w:rsidR="00377CBC" w:rsidRPr="008D6F54" w:rsidRDefault="00CE184D" w:rsidP="00377CBC">
            <w:pPr>
              <w:jc w:val="center"/>
              <w:rPr>
                <w:sz w:val="20"/>
                <w:szCs w:val="20"/>
              </w:rPr>
            </w:pPr>
            <w:r>
              <w:rPr>
                <w:sz w:val="20"/>
                <w:szCs w:val="20"/>
              </w:rPr>
              <w:t>-</w:t>
            </w:r>
          </w:p>
        </w:tc>
        <w:tc>
          <w:tcPr>
            <w:tcW w:w="851" w:type="dxa"/>
            <w:tcBorders>
              <w:top w:val="nil"/>
              <w:left w:val="nil"/>
              <w:bottom w:val="nil"/>
              <w:right w:val="nil"/>
            </w:tcBorders>
            <w:noWrap/>
            <w:tcMar>
              <w:top w:w="17" w:type="dxa"/>
              <w:left w:w="17" w:type="dxa"/>
              <w:bottom w:w="0" w:type="dxa"/>
              <w:right w:w="17" w:type="dxa"/>
            </w:tcMar>
          </w:tcPr>
          <w:p w14:paraId="1C664C9B" w14:textId="69CBD6AF" w:rsidR="00377CBC" w:rsidRPr="008D6F54" w:rsidRDefault="00377CBC" w:rsidP="00377CBC">
            <w:pPr>
              <w:jc w:val="center"/>
              <w:rPr>
                <w:sz w:val="20"/>
                <w:szCs w:val="20"/>
              </w:rPr>
            </w:pPr>
            <w:r>
              <w:rPr>
                <w:sz w:val="20"/>
                <w:szCs w:val="20"/>
              </w:rPr>
              <w:t>-</w:t>
            </w:r>
          </w:p>
        </w:tc>
      </w:tr>
      <w:tr w:rsidR="001B7F15" w:rsidRPr="008D6F54" w14:paraId="03A20C83" w14:textId="77777777" w:rsidTr="56015167">
        <w:trPr>
          <w:trHeight w:val="239"/>
        </w:trPr>
        <w:tc>
          <w:tcPr>
            <w:tcW w:w="5954" w:type="dxa"/>
            <w:gridSpan w:val="2"/>
            <w:tcBorders>
              <w:top w:val="nil"/>
              <w:left w:val="nil"/>
              <w:bottom w:val="nil"/>
              <w:right w:val="nil"/>
            </w:tcBorders>
            <w:noWrap/>
            <w:vAlign w:val="bottom"/>
          </w:tcPr>
          <w:p w14:paraId="535DAF7C" w14:textId="5EF55084" w:rsidR="001B7F15" w:rsidRPr="008D6F54" w:rsidRDefault="001B7F15" w:rsidP="001B7F15">
            <w:pPr>
              <w:rPr>
                <w:sz w:val="20"/>
                <w:szCs w:val="20"/>
              </w:rPr>
            </w:pPr>
          </w:p>
        </w:tc>
        <w:tc>
          <w:tcPr>
            <w:tcW w:w="850" w:type="dxa"/>
            <w:tcBorders>
              <w:top w:val="nil"/>
              <w:left w:val="nil"/>
              <w:bottom w:val="nil"/>
              <w:right w:val="nil"/>
            </w:tcBorders>
            <w:noWrap/>
            <w:tcMar>
              <w:top w:w="17" w:type="dxa"/>
              <w:left w:w="57" w:type="dxa"/>
              <w:bottom w:w="0" w:type="dxa"/>
              <w:right w:w="57" w:type="dxa"/>
            </w:tcMar>
          </w:tcPr>
          <w:p w14:paraId="4C21FB71" w14:textId="19C5CD12" w:rsidR="001B7F15" w:rsidRPr="008D6F54" w:rsidRDefault="001B7F15" w:rsidP="001B7F15">
            <w:pPr>
              <w:jc w:val="center"/>
              <w:rPr>
                <w:sz w:val="20"/>
                <w:szCs w:val="20"/>
              </w:rPr>
            </w:pPr>
          </w:p>
        </w:tc>
        <w:tc>
          <w:tcPr>
            <w:tcW w:w="851" w:type="dxa"/>
            <w:tcBorders>
              <w:top w:val="nil"/>
              <w:left w:val="nil"/>
              <w:bottom w:val="nil"/>
              <w:right w:val="nil"/>
            </w:tcBorders>
            <w:noWrap/>
            <w:tcMar>
              <w:top w:w="17" w:type="dxa"/>
              <w:left w:w="17" w:type="dxa"/>
              <w:bottom w:w="0" w:type="dxa"/>
              <w:right w:w="17" w:type="dxa"/>
            </w:tcMar>
          </w:tcPr>
          <w:p w14:paraId="4EB7FE42" w14:textId="7BFFCFA4" w:rsidR="001B7F15" w:rsidRPr="008D6F54" w:rsidRDefault="001B7F15" w:rsidP="001B7F15">
            <w:pPr>
              <w:jc w:val="center"/>
              <w:rPr>
                <w:sz w:val="20"/>
                <w:szCs w:val="20"/>
              </w:rPr>
            </w:pPr>
          </w:p>
        </w:tc>
      </w:tr>
      <w:tr w:rsidR="001B7F15" w:rsidRPr="008D6F54" w14:paraId="42A6FA00" w14:textId="77777777" w:rsidTr="56015167">
        <w:trPr>
          <w:trHeight w:val="239"/>
        </w:trPr>
        <w:tc>
          <w:tcPr>
            <w:tcW w:w="5954" w:type="dxa"/>
            <w:gridSpan w:val="2"/>
            <w:tcBorders>
              <w:top w:val="nil"/>
              <w:left w:val="nil"/>
              <w:bottom w:val="nil"/>
              <w:right w:val="nil"/>
            </w:tcBorders>
            <w:noWrap/>
            <w:vAlign w:val="bottom"/>
          </w:tcPr>
          <w:p w14:paraId="7AC6AB98" w14:textId="50FA5554" w:rsidR="001B7F15" w:rsidRPr="008D6F54" w:rsidRDefault="001B7F15" w:rsidP="001B7F15">
            <w:pPr>
              <w:rPr>
                <w:sz w:val="20"/>
                <w:szCs w:val="20"/>
              </w:rPr>
            </w:pPr>
          </w:p>
        </w:tc>
        <w:tc>
          <w:tcPr>
            <w:tcW w:w="850" w:type="dxa"/>
            <w:tcBorders>
              <w:top w:val="nil"/>
              <w:left w:val="nil"/>
              <w:bottom w:val="nil"/>
              <w:right w:val="nil"/>
            </w:tcBorders>
            <w:noWrap/>
            <w:tcMar>
              <w:top w:w="17" w:type="dxa"/>
              <w:left w:w="57" w:type="dxa"/>
              <w:bottom w:w="0" w:type="dxa"/>
              <w:right w:w="57" w:type="dxa"/>
            </w:tcMar>
          </w:tcPr>
          <w:p w14:paraId="32B1D44A" w14:textId="76D03149" w:rsidR="001B7F15" w:rsidRPr="008D6F54" w:rsidRDefault="001B7F15" w:rsidP="001B7F15">
            <w:pPr>
              <w:jc w:val="center"/>
              <w:rPr>
                <w:sz w:val="20"/>
                <w:szCs w:val="20"/>
              </w:rPr>
            </w:pPr>
          </w:p>
        </w:tc>
        <w:tc>
          <w:tcPr>
            <w:tcW w:w="851" w:type="dxa"/>
            <w:tcBorders>
              <w:top w:val="nil"/>
              <w:left w:val="nil"/>
              <w:bottom w:val="nil"/>
              <w:right w:val="nil"/>
            </w:tcBorders>
            <w:noWrap/>
            <w:tcMar>
              <w:top w:w="17" w:type="dxa"/>
              <w:left w:w="17" w:type="dxa"/>
              <w:bottom w:w="0" w:type="dxa"/>
              <w:right w:w="17" w:type="dxa"/>
            </w:tcMar>
          </w:tcPr>
          <w:p w14:paraId="6B29EE47" w14:textId="1B8E3663" w:rsidR="001B7F15" w:rsidRPr="008D6F54" w:rsidRDefault="001B7F15" w:rsidP="001B7F15">
            <w:pPr>
              <w:jc w:val="center"/>
              <w:rPr>
                <w:sz w:val="20"/>
                <w:szCs w:val="20"/>
              </w:rPr>
            </w:pPr>
          </w:p>
        </w:tc>
      </w:tr>
    </w:tbl>
    <w:p w14:paraId="1AD1B489" w14:textId="77777777" w:rsidR="008D6F54" w:rsidRDefault="008D6F54" w:rsidP="0055204D">
      <w:pPr>
        <w:rPr>
          <w:b/>
          <w:sz w:val="22"/>
          <w:szCs w:val="22"/>
        </w:rPr>
      </w:pPr>
    </w:p>
    <w:p w14:paraId="7A0799C6" w14:textId="77777777" w:rsidR="001306E3" w:rsidRDefault="001306E3" w:rsidP="0055204D">
      <w:pPr>
        <w:rPr>
          <w:b/>
          <w:sz w:val="22"/>
          <w:szCs w:val="22"/>
        </w:rPr>
      </w:pPr>
    </w:p>
    <w:p w14:paraId="10A32F01" w14:textId="77777777" w:rsidR="001306E3" w:rsidRDefault="001306E3" w:rsidP="0055204D">
      <w:pPr>
        <w:rPr>
          <w:b/>
          <w:sz w:val="22"/>
          <w:szCs w:val="22"/>
        </w:rPr>
      </w:pPr>
    </w:p>
    <w:p w14:paraId="5F4EE665" w14:textId="77777777" w:rsidR="001306E3" w:rsidRDefault="001306E3" w:rsidP="0055204D">
      <w:pPr>
        <w:rPr>
          <w:b/>
          <w:sz w:val="22"/>
          <w:szCs w:val="22"/>
        </w:rPr>
      </w:pPr>
    </w:p>
    <w:p w14:paraId="70E990E6" w14:textId="77777777" w:rsidR="008D6F54" w:rsidRDefault="008D6F54" w:rsidP="0055204D">
      <w:pPr>
        <w:rPr>
          <w:b/>
          <w:sz w:val="22"/>
          <w:szCs w:val="22"/>
        </w:rPr>
      </w:pPr>
    </w:p>
    <w:p w14:paraId="4B68AA16" w14:textId="77777777" w:rsidR="008D6F54" w:rsidRDefault="008D6F54" w:rsidP="0055204D">
      <w:pPr>
        <w:rPr>
          <w:b/>
          <w:sz w:val="22"/>
          <w:szCs w:val="22"/>
        </w:rPr>
      </w:pPr>
    </w:p>
    <w:p w14:paraId="0951E271" w14:textId="77777777" w:rsidR="008D6F54" w:rsidRDefault="008D6F54" w:rsidP="0055204D">
      <w:pPr>
        <w:rPr>
          <w:b/>
          <w:sz w:val="22"/>
          <w:szCs w:val="22"/>
        </w:rPr>
      </w:pPr>
    </w:p>
    <w:p w14:paraId="2568B15D" w14:textId="77777777" w:rsidR="008D6F54" w:rsidRDefault="008D6F54" w:rsidP="0055204D">
      <w:pPr>
        <w:rPr>
          <w:b/>
          <w:sz w:val="22"/>
          <w:szCs w:val="22"/>
        </w:rPr>
      </w:pPr>
    </w:p>
    <w:p w14:paraId="3C690BFC" w14:textId="77777777" w:rsidR="008D6F54" w:rsidRDefault="008D6F54" w:rsidP="0055204D">
      <w:pPr>
        <w:rPr>
          <w:b/>
          <w:sz w:val="22"/>
          <w:szCs w:val="22"/>
        </w:rPr>
      </w:pPr>
    </w:p>
    <w:p w14:paraId="24FD9C2A" w14:textId="77777777" w:rsidR="008D6F54" w:rsidRDefault="008D6F54" w:rsidP="0055204D">
      <w:pPr>
        <w:rPr>
          <w:b/>
          <w:sz w:val="22"/>
          <w:szCs w:val="22"/>
        </w:rPr>
      </w:pPr>
    </w:p>
    <w:p w14:paraId="305CB407" w14:textId="77777777" w:rsidR="008D6F54" w:rsidRDefault="008D6F54" w:rsidP="0055204D">
      <w:pPr>
        <w:rPr>
          <w:b/>
          <w:sz w:val="22"/>
          <w:szCs w:val="22"/>
        </w:rPr>
      </w:pPr>
    </w:p>
    <w:p w14:paraId="6F732FEE" w14:textId="77777777" w:rsidR="008D6F54" w:rsidRDefault="008D6F54" w:rsidP="0055204D">
      <w:pPr>
        <w:rPr>
          <w:b/>
          <w:sz w:val="22"/>
          <w:szCs w:val="22"/>
        </w:rPr>
      </w:pPr>
    </w:p>
    <w:p w14:paraId="3102B0ED" w14:textId="77777777" w:rsidR="008D6F54" w:rsidRDefault="008D6F54" w:rsidP="0055204D">
      <w:pPr>
        <w:rPr>
          <w:b/>
          <w:sz w:val="22"/>
          <w:szCs w:val="22"/>
        </w:rPr>
      </w:pPr>
    </w:p>
    <w:p w14:paraId="4F4A4A7D" w14:textId="77777777" w:rsidR="008D6F54" w:rsidRDefault="008D6F54" w:rsidP="0055204D">
      <w:pPr>
        <w:rPr>
          <w:b/>
          <w:sz w:val="22"/>
          <w:szCs w:val="22"/>
        </w:rPr>
      </w:pPr>
    </w:p>
    <w:p w14:paraId="701887CE" w14:textId="77777777" w:rsidR="008D6F54" w:rsidRDefault="008D6F54" w:rsidP="0055204D">
      <w:pPr>
        <w:rPr>
          <w:b/>
          <w:sz w:val="22"/>
          <w:szCs w:val="22"/>
        </w:rPr>
      </w:pPr>
    </w:p>
    <w:p w14:paraId="781EE756" w14:textId="77777777" w:rsidR="008D6F54" w:rsidRDefault="008D6F54" w:rsidP="0055204D">
      <w:pPr>
        <w:rPr>
          <w:b/>
          <w:sz w:val="22"/>
          <w:szCs w:val="22"/>
        </w:rPr>
      </w:pPr>
    </w:p>
    <w:p w14:paraId="08E2DC71" w14:textId="2F339AAE" w:rsidR="004D7D90" w:rsidRPr="004D7D90" w:rsidRDefault="004D7D90" w:rsidP="004D7D90">
      <w:pPr>
        <w:jc w:val="both"/>
        <w:rPr>
          <w:sz w:val="22"/>
          <w:szCs w:val="22"/>
        </w:rPr>
      </w:pPr>
      <w:r w:rsidRPr="004D7D90">
        <w:rPr>
          <w:sz w:val="22"/>
          <w:szCs w:val="22"/>
        </w:rPr>
        <w:t>The key management are defined for this purpose as the Chief Executive and the Group Executive team in post at 31 March 202</w:t>
      </w:r>
      <w:r w:rsidR="00377CBC">
        <w:rPr>
          <w:sz w:val="22"/>
          <w:szCs w:val="22"/>
        </w:rPr>
        <w:t>4</w:t>
      </w:r>
      <w:r w:rsidRPr="004D7D90">
        <w:rPr>
          <w:sz w:val="22"/>
          <w:szCs w:val="22"/>
        </w:rPr>
        <w:t xml:space="preserve">.  Emoluments include relocation expenses where appropriate. </w:t>
      </w:r>
    </w:p>
    <w:p w14:paraId="022FA250" w14:textId="77777777" w:rsidR="004D7D90" w:rsidRPr="004D7D90" w:rsidRDefault="004D7D90" w:rsidP="004D7D90">
      <w:pPr>
        <w:jc w:val="both"/>
        <w:rPr>
          <w:sz w:val="22"/>
          <w:szCs w:val="22"/>
        </w:rPr>
      </w:pPr>
    </w:p>
    <w:p w14:paraId="78728092" w14:textId="544C97AE" w:rsidR="004D7D90" w:rsidRPr="004D7D90" w:rsidRDefault="004D7D90" w:rsidP="004D7D90">
      <w:pPr>
        <w:jc w:val="both"/>
        <w:rPr>
          <w:sz w:val="22"/>
          <w:szCs w:val="22"/>
        </w:rPr>
      </w:pPr>
      <w:r w:rsidRPr="004D7D90">
        <w:rPr>
          <w:sz w:val="22"/>
          <w:szCs w:val="22"/>
        </w:rPr>
        <w:t>The senior officers are eligible to join the Strathclyde Pension Fund and employer’s contributions are paid on the same basis as other members of staff. Pension contributions of £</w:t>
      </w:r>
      <w:r w:rsidR="000A03A4">
        <w:rPr>
          <w:sz w:val="22"/>
          <w:szCs w:val="22"/>
        </w:rPr>
        <w:t>22</w:t>
      </w:r>
      <w:r w:rsidRPr="004D7D90">
        <w:rPr>
          <w:sz w:val="22"/>
          <w:szCs w:val="22"/>
        </w:rPr>
        <w:t>k (202</w:t>
      </w:r>
      <w:r w:rsidR="00377CBC">
        <w:rPr>
          <w:sz w:val="22"/>
          <w:szCs w:val="22"/>
        </w:rPr>
        <w:t>3</w:t>
      </w:r>
      <w:r w:rsidRPr="004D7D90">
        <w:rPr>
          <w:sz w:val="22"/>
          <w:szCs w:val="22"/>
        </w:rPr>
        <w:t>: £</w:t>
      </w:r>
      <w:r w:rsidR="00CD48DF" w:rsidRPr="00CD48DF">
        <w:rPr>
          <w:sz w:val="22"/>
          <w:szCs w:val="22"/>
        </w:rPr>
        <w:t>2</w:t>
      </w:r>
      <w:r w:rsidR="00377CBC">
        <w:rPr>
          <w:sz w:val="22"/>
          <w:szCs w:val="22"/>
        </w:rPr>
        <w:t>7</w:t>
      </w:r>
      <w:r w:rsidRPr="004D7D90">
        <w:rPr>
          <w:sz w:val="22"/>
          <w:szCs w:val="22"/>
        </w:rPr>
        <w:t>k) were paid for the Chief Executive and the Group Executive team in post at 31 March 202</w:t>
      </w:r>
      <w:r w:rsidR="00377CBC">
        <w:rPr>
          <w:sz w:val="22"/>
          <w:szCs w:val="22"/>
        </w:rPr>
        <w:t>4</w:t>
      </w:r>
      <w:r w:rsidRPr="004D7D90">
        <w:rPr>
          <w:sz w:val="22"/>
          <w:szCs w:val="22"/>
        </w:rPr>
        <w:t>.</w:t>
      </w:r>
    </w:p>
    <w:p w14:paraId="4675AC9B" w14:textId="77777777" w:rsidR="008D6F54" w:rsidRPr="003965F0" w:rsidRDefault="008D6F54" w:rsidP="008D6F54">
      <w:pPr>
        <w:jc w:val="both"/>
        <w:rPr>
          <w:sz w:val="22"/>
          <w:szCs w:val="22"/>
        </w:rPr>
      </w:pPr>
    </w:p>
    <w:p w14:paraId="2B6BA042" w14:textId="77777777" w:rsidR="008D6F54" w:rsidRPr="003965F0" w:rsidRDefault="008D6F54" w:rsidP="004D7D90">
      <w:pPr>
        <w:ind w:left="-105" w:firstLine="105"/>
        <w:jc w:val="both"/>
        <w:rPr>
          <w:sz w:val="22"/>
          <w:szCs w:val="22"/>
        </w:rPr>
      </w:pPr>
      <w:r w:rsidRPr="003965F0">
        <w:rPr>
          <w:sz w:val="22"/>
          <w:szCs w:val="22"/>
        </w:rPr>
        <w:t>Key management personnel in the year were as follows:</w:t>
      </w:r>
    </w:p>
    <w:p w14:paraId="5AEFD7AC" w14:textId="77777777" w:rsidR="008D6F54" w:rsidRPr="003965F0" w:rsidRDefault="008D6F54" w:rsidP="0055204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382"/>
      </w:tblGrid>
      <w:tr w:rsidR="003965F0" w:rsidRPr="003965F0" w14:paraId="12F9280F" w14:textId="77777777" w:rsidTr="003965F0">
        <w:tc>
          <w:tcPr>
            <w:tcW w:w="3261" w:type="dxa"/>
            <w:tcBorders>
              <w:top w:val="nil"/>
              <w:left w:val="nil"/>
              <w:bottom w:val="nil"/>
              <w:right w:val="nil"/>
            </w:tcBorders>
            <w:vAlign w:val="center"/>
          </w:tcPr>
          <w:p w14:paraId="3E31B734" w14:textId="13E2FA80" w:rsidR="003965F0" w:rsidRPr="003965F0" w:rsidRDefault="003965F0" w:rsidP="003965F0">
            <w:pPr>
              <w:jc w:val="both"/>
              <w:rPr>
                <w:sz w:val="22"/>
                <w:szCs w:val="22"/>
              </w:rPr>
            </w:pPr>
            <w:r w:rsidRPr="003965F0">
              <w:rPr>
                <w:color w:val="000000"/>
                <w:sz w:val="22"/>
                <w:szCs w:val="22"/>
                <w:lang w:eastAsia="en-GB"/>
              </w:rPr>
              <w:t xml:space="preserve">Steven Henderson </w:t>
            </w:r>
          </w:p>
        </w:tc>
        <w:tc>
          <w:tcPr>
            <w:tcW w:w="5382" w:type="dxa"/>
            <w:tcBorders>
              <w:top w:val="nil"/>
              <w:left w:val="nil"/>
              <w:bottom w:val="nil"/>
              <w:right w:val="nil"/>
            </w:tcBorders>
            <w:vAlign w:val="center"/>
          </w:tcPr>
          <w:p w14:paraId="144E17F1" w14:textId="6A060C2F" w:rsidR="003965F0" w:rsidRPr="003965F0" w:rsidRDefault="003965F0" w:rsidP="003965F0">
            <w:pPr>
              <w:jc w:val="both"/>
              <w:rPr>
                <w:sz w:val="22"/>
                <w:szCs w:val="22"/>
              </w:rPr>
            </w:pPr>
            <w:r w:rsidRPr="003965F0">
              <w:rPr>
                <w:color w:val="000000"/>
                <w:sz w:val="22"/>
                <w:szCs w:val="22"/>
                <w:lang w:eastAsia="en-GB"/>
              </w:rPr>
              <w:t>Group Chief Executive</w:t>
            </w:r>
          </w:p>
        </w:tc>
      </w:tr>
      <w:tr w:rsidR="003965F0" w:rsidRPr="003965F0" w14:paraId="4E68F4FD" w14:textId="77777777" w:rsidTr="003965F0">
        <w:tc>
          <w:tcPr>
            <w:tcW w:w="3261" w:type="dxa"/>
            <w:tcBorders>
              <w:top w:val="nil"/>
              <w:left w:val="nil"/>
              <w:bottom w:val="nil"/>
              <w:right w:val="nil"/>
            </w:tcBorders>
            <w:vAlign w:val="center"/>
          </w:tcPr>
          <w:p w14:paraId="7B828111" w14:textId="12AB96D7" w:rsidR="003965F0" w:rsidRPr="003965F0" w:rsidRDefault="003965F0" w:rsidP="003965F0">
            <w:pPr>
              <w:jc w:val="both"/>
              <w:rPr>
                <w:sz w:val="22"/>
                <w:szCs w:val="22"/>
              </w:rPr>
            </w:pPr>
            <w:r w:rsidRPr="003965F0">
              <w:rPr>
                <w:color w:val="000000"/>
                <w:sz w:val="22"/>
                <w:szCs w:val="22"/>
                <w:lang w:eastAsia="en-GB"/>
              </w:rPr>
              <w:t xml:space="preserve">Hazel Young </w:t>
            </w:r>
          </w:p>
        </w:tc>
        <w:tc>
          <w:tcPr>
            <w:tcW w:w="5382" w:type="dxa"/>
            <w:tcBorders>
              <w:top w:val="nil"/>
              <w:left w:val="nil"/>
              <w:bottom w:val="nil"/>
              <w:right w:val="nil"/>
            </w:tcBorders>
            <w:vAlign w:val="center"/>
          </w:tcPr>
          <w:p w14:paraId="589E5D2A" w14:textId="691784E8" w:rsidR="003965F0" w:rsidRPr="003965F0" w:rsidRDefault="003965F0" w:rsidP="003965F0">
            <w:pPr>
              <w:jc w:val="both"/>
              <w:rPr>
                <w:sz w:val="22"/>
                <w:szCs w:val="22"/>
              </w:rPr>
            </w:pPr>
            <w:r w:rsidRPr="003965F0">
              <w:rPr>
                <w:color w:val="000000"/>
                <w:sz w:val="22"/>
                <w:szCs w:val="22"/>
                <w:lang w:eastAsia="en-GB"/>
              </w:rPr>
              <w:t>Group Director of Housing and Property Management</w:t>
            </w:r>
          </w:p>
        </w:tc>
      </w:tr>
      <w:tr w:rsidR="003965F0" w:rsidRPr="003965F0" w14:paraId="72453CBD" w14:textId="77777777" w:rsidTr="003965F0">
        <w:tc>
          <w:tcPr>
            <w:tcW w:w="3261" w:type="dxa"/>
            <w:tcBorders>
              <w:top w:val="nil"/>
              <w:left w:val="nil"/>
              <w:bottom w:val="nil"/>
              <w:right w:val="nil"/>
            </w:tcBorders>
            <w:vAlign w:val="center"/>
          </w:tcPr>
          <w:p w14:paraId="2B8B7ADC" w14:textId="6BB07EEB" w:rsidR="003965F0" w:rsidRPr="003965F0" w:rsidRDefault="003965F0" w:rsidP="003965F0">
            <w:pPr>
              <w:jc w:val="both"/>
              <w:rPr>
                <w:sz w:val="22"/>
                <w:szCs w:val="22"/>
              </w:rPr>
            </w:pPr>
            <w:r w:rsidRPr="003965F0">
              <w:rPr>
                <w:color w:val="000000"/>
                <w:sz w:val="22"/>
                <w:szCs w:val="22"/>
                <w:lang w:eastAsia="en-GB"/>
              </w:rPr>
              <w:t xml:space="preserve">Laura Pluck </w:t>
            </w:r>
          </w:p>
        </w:tc>
        <w:tc>
          <w:tcPr>
            <w:tcW w:w="5382" w:type="dxa"/>
            <w:tcBorders>
              <w:top w:val="nil"/>
              <w:left w:val="nil"/>
              <w:bottom w:val="nil"/>
              <w:right w:val="nil"/>
            </w:tcBorders>
            <w:vAlign w:val="center"/>
          </w:tcPr>
          <w:p w14:paraId="20F50172" w14:textId="7EE5B388" w:rsidR="003965F0" w:rsidRPr="003965F0" w:rsidRDefault="003965F0" w:rsidP="003965F0">
            <w:pPr>
              <w:jc w:val="both"/>
              <w:rPr>
                <w:sz w:val="22"/>
                <w:szCs w:val="22"/>
              </w:rPr>
            </w:pPr>
            <w:r w:rsidRPr="003965F0">
              <w:rPr>
                <w:color w:val="000000"/>
                <w:sz w:val="22"/>
                <w:szCs w:val="22"/>
                <w:lang w:eastAsia="en-GB"/>
              </w:rPr>
              <w:t>Group Director of Communities</w:t>
            </w:r>
          </w:p>
        </w:tc>
      </w:tr>
      <w:tr w:rsidR="003965F0" w:rsidRPr="003965F0" w14:paraId="6FFB86C4" w14:textId="77777777" w:rsidTr="003965F0">
        <w:tc>
          <w:tcPr>
            <w:tcW w:w="3261" w:type="dxa"/>
            <w:tcBorders>
              <w:top w:val="nil"/>
              <w:left w:val="nil"/>
              <w:bottom w:val="nil"/>
              <w:right w:val="nil"/>
            </w:tcBorders>
            <w:vAlign w:val="center"/>
          </w:tcPr>
          <w:p w14:paraId="6538260E" w14:textId="2C3F9C0B" w:rsidR="003965F0" w:rsidRPr="003965F0" w:rsidRDefault="003965F0" w:rsidP="003965F0">
            <w:pPr>
              <w:jc w:val="both"/>
              <w:rPr>
                <w:sz w:val="22"/>
                <w:szCs w:val="22"/>
              </w:rPr>
            </w:pPr>
            <w:r w:rsidRPr="003965F0">
              <w:rPr>
                <w:color w:val="000000"/>
                <w:sz w:val="22"/>
                <w:szCs w:val="22"/>
                <w:lang w:eastAsia="en-GB"/>
              </w:rPr>
              <w:t xml:space="preserve">Pauline Turnock </w:t>
            </w:r>
          </w:p>
        </w:tc>
        <w:tc>
          <w:tcPr>
            <w:tcW w:w="5382" w:type="dxa"/>
            <w:tcBorders>
              <w:top w:val="nil"/>
              <w:left w:val="nil"/>
              <w:bottom w:val="nil"/>
              <w:right w:val="nil"/>
            </w:tcBorders>
            <w:vAlign w:val="center"/>
          </w:tcPr>
          <w:p w14:paraId="3618C99E" w14:textId="2EFB1BD2" w:rsidR="003965F0" w:rsidRPr="003965F0" w:rsidRDefault="003965F0" w:rsidP="003965F0">
            <w:pPr>
              <w:jc w:val="both"/>
              <w:rPr>
                <w:sz w:val="22"/>
                <w:szCs w:val="22"/>
              </w:rPr>
            </w:pPr>
            <w:r w:rsidRPr="003965F0">
              <w:rPr>
                <w:color w:val="000000"/>
                <w:sz w:val="22"/>
                <w:szCs w:val="22"/>
                <w:lang w:eastAsia="en-GB"/>
              </w:rPr>
              <w:t>Group Director of Finance</w:t>
            </w:r>
          </w:p>
        </w:tc>
      </w:tr>
      <w:tr w:rsidR="003965F0" w:rsidRPr="003965F0" w14:paraId="0D2DA1DD" w14:textId="77777777" w:rsidTr="003965F0">
        <w:tc>
          <w:tcPr>
            <w:tcW w:w="3261" w:type="dxa"/>
            <w:tcBorders>
              <w:top w:val="nil"/>
              <w:left w:val="nil"/>
              <w:bottom w:val="nil"/>
              <w:right w:val="nil"/>
            </w:tcBorders>
            <w:vAlign w:val="center"/>
          </w:tcPr>
          <w:p w14:paraId="1F6DFB46" w14:textId="769D411E" w:rsidR="003965F0" w:rsidRPr="003965F0" w:rsidRDefault="003965F0" w:rsidP="003965F0">
            <w:pPr>
              <w:jc w:val="both"/>
              <w:rPr>
                <w:sz w:val="22"/>
                <w:szCs w:val="22"/>
              </w:rPr>
            </w:pPr>
            <w:r w:rsidRPr="003965F0">
              <w:rPr>
                <w:color w:val="000000"/>
                <w:sz w:val="22"/>
                <w:szCs w:val="22"/>
                <w:lang w:eastAsia="en-GB"/>
              </w:rPr>
              <w:t xml:space="preserve">Anthony Allison </w:t>
            </w:r>
          </w:p>
        </w:tc>
        <w:tc>
          <w:tcPr>
            <w:tcW w:w="5382" w:type="dxa"/>
            <w:tcBorders>
              <w:top w:val="nil"/>
              <w:left w:val="nil"/>
              <w:bottom w:val="nil"/>
              <w:right w:val="nil"/>
            </w:tcBorders>
            <w:vAlign w:val="center"/>
          </w:tcPr>
          <w:p w14:paraId="594D7FD3" w14:textId="4275E64C" w:rsidR="003965F0" w:rsidRPr="003965F0" w:rsidRDefault="003965F0" w:rsidP="003965F0">
            <w:pPr>
              <w:jc w:val="both"/>
              <w:rPr>
                <w:sz w:val="22"/>
                <w:szCs w:val="22"/>
              </w:rPr>
            </w:pPr>
            <w:r w:rsidRPr="003965F0">
              <w:rPr>
                <w:color w:val="000000"/>
                <w:sz w:val="22"/>
                <w:szCs w:val="22"/>
                <w:lang w:eastAsia="en-GB"/>
              </w:rPr>
              <w:t>Group Director of Governance and Business Solutions</w:t>
            </w:r>
          </w:p>
        </w:tc>
      </w:tr>
      <w:tr w:rsidR="00AD0D2B" w:rsidRPr="003965F0" w14:paraId="2B3DC1D5" w14:textId="77777777" w:rsidTr="003965F0">
        <w:tc>
          <w:tcPr>
            <w:tcW w:w="3261" w:type="dxa"/>
            <w:tcBorders>
              <w:top w:val="nil"/>
              <w:left w:val="nil"/>
              <w:bottom w:val="nil"/>
              <w:right w:val="nil"/>
            </w:tcBorders>
            <w:vAlign w:val="center"/>
          </w:tcPr>
          <w:p w14:paraId="0899672C" w14:textId="142EA2DE" w:rsidR="00AD0D2B" w:rsidRPr="003965F0" w:rsidRDefault="00AD0D2B" w:rsidP="003965F0">
            <w:pPr>
              <w:jc w:val="both"/>
              <w:rPr>
                <w:color w:val="000000"/>
                <w:sz w:val="22"/>
                <w:szCs w:val="22"/>
                <w:lang w:eastAsia="en-GB"/>
              </w:rPr>
            </w:pPr>
            <w:r>
              <w:rPr>
                <w:color w:val="000000"/>
                <w:sz w:val="22"/>
                <w:szCs w:val="22"/>
                <w:lang w:eastAsia="en-GB"/>
              </w:rPr>
              <w:t>Frank McCafferty</w:t>
            </w:r>
          </w:p>
        </w:tc>
        <w:tc>
          <w:tcPr>
            <w:tcW w:w="5382" w:type="dxa"/>
            <w:tcBorders>
              <w:top w:val="nil"/>
              <w:left w:val="nil"/>
              <w:bottom w:val="nil"/>
              <w:right w:val="nil"/>
            </w:tcBorders>
            <w:vAlign w:val="center"/>
          </w:tcPr>
          <w:p w14:paraId="0017C719" w14:textId="0B0A395B" w:rsidR="00AD0D2B" w:rsidRPr="003965F0" w:rsidRDefault="003E1542" w:rsidP="003965F0">
            <w:pPr>
              <w:jc w:val="both"/>
              <w:rPr>
                <w:color w:val="000000"/>
                <w:sz w:val="22"/>
                <w:szCs w:val="22"/>
                <w:lang w:eastAsia="en-GB"/>
              </w:rPr>
            </w:pPr>
            <w:r>
              <w:rPr>
                <w:color w:val="000000"/>
                <w:sz w:val="22"/>
                <w:szCs w:val="22"/>
                <w:lang w:eastAsia="en-GB"/>
              </w:rPr>
              <w:t>Group Director of Assets and Repairs</w:t>
            </w:r>
          </w:p>
        </w:tc>
      </w:tr>
    </w:tbl>
    <w:p w14:paraId="6E477501" w14:textId="77777777" w:rsidR="00716E5E" w:rsidRDefault="00716E5E" w:rsidP="00684163">
      <w:pPr>
        <w:pStyle w:val="BodyText"/>
        <w:jc w:val="both"/>
        <w:rPr>
          <w:b/>
          <w:bCs/>
          <w:sz w:val="24"/>
        </w:rPr>
        <w:sectPr w:rsidR="00716E5E" w:rsidSect="00100191">
          <w:type w:val="continuous"/>
          <w:pgSz w:w="11906" w:h="16838" w:code="9"/>
          <w:pgMar w:top="1418" w:right="1286" w:bottom="737" w:left="1758" w:header="709" w:footer="709" w:gutter="0"/>
          <w:cols w:space="708"/>
          <w:docGrid w:linePitch="360"/>
        </w:sectPr>
      </w:pPr>
    </w:p>
    <w:p w14:paraId="46608792" w14:textId="44054C1A" w:rsidR="00684163" w:rsidRPr="004B4BD1" w:rsidRDefault="00684163" w:rsidP="00684163">
      <w:pPr>
        <w:pStyle w:val="BodyText"/>
        <w:jc w:val="both"/>
        <w:rPr>
          <w:b/>
          <w:bCs/>
          <w:sz w:val="22"/>
          <w:szCs w:val="22"/>
        </w:rPr>
      </w:pPr>
      <w:r w:rsidRPr="004B4BD1">
        <w:rPr>
          <w:b/>
          <w:bCs/>
          <w:sz w:val="22"/>
          <w:szCs w:val="22"/>
        </w:rPr>
        <w:lastRenderedPageBreak/>
        <w:t>NOTES TO THE FINANCIAL STATEMENTS</w:t>
      </w:r>
      <w:r w:rsidR="00F56360" w:rsidRPr="004B4BD1">
        <w:rPr>
          <w:b/>
          <w:bCs/>
          <w:sz w:val="22"/>
          <w:szCs w:val="22"/>
        </w:rPr>
        <w:t xml:space="preserve"> </w:t>
      </w:r>
      <w:r w:rsidR="001B7F15" w:rsidRPr="004B4BD1">
        <w:rPr>
          <w:b/>
          <w:bCs/>
          <w:sz w:val="22"/>
          <w:szCs w:val="22"/>
        </w:rPr>
        <w:t>FOR THE YEAR ENDED 31 MARCH 202</w:t>
      </w:r>
      <w:r w:rsidR="00377CBC">
        <w:rPr>
          <w:b/>
          <w:bCs/>
          <w:sz w:val="22"/>
          <w:szCs w:val="22"/>
        </w:rPr>
        <w:t>4</w:t>
      </w:r>
      <w:r w:rsidRPr="004B4BD1">
        <w:rPr>
          <w:b/>
          <w:bCs/>
          <w:sz w:val="22"/>
          <w:szCs w:val="22"/>
        </w:rPr>
        <w:t xml:space="preserve"> (continued)</w:t>
      </w:r>
    </w:p>
    <w:p w14:paraId="003DCE93" w14:textId="77777777" w:rsidR="00007739" w:rsidRPr="0035031F" w:rsidRDefault="00007739" w:rsidP="00007739">
      <w:pPr>
        <w:rPr>
          <w:b/>
          <w:sz w:val="22"/>
          <w:szCs w:val="22"/>
        </w:rPr>
      </w:pPr>
    </w:p>
    <w:p w14:paraId="5E2A8B68" w14:textId="0DB331BA" w:rsidR="008407B4" w:rsidRPr="00B43F10" w:rsidRDefault="004C7853" w:rsidP="0035698E">
      <w:pPr>
        <w:pStyle w:val="BodyText"/>
        <w:jc w:val="both"/>
        <w:rPr>
          <w:sz w:val="22"/>
          <w:szCs w:val="22"/>
        </w:rPr>
      </w:pPr>
      <w:r w:rsidRPr="0035031F">
        <w:rPr>
          <w:b/>
          <w:sz w:val="22"/>
          <w:szCs w:val="22"/>
        </w:rPr>
        <w:t>8</w:t>
      </w:r>
      <w:r w:rsidR="00542392" w:rsidRPr="0035031F">
        <w:rPr>
          <w:b/>
          <w:sz w:val="22"/>
          <w:szCs w:val="22"/>
        </w:rPr>
        <w:t>.</w:t>
      </w:r>
      <w:r w:rsidR="00542392" w:rsidRPr="0035031F">
        <w:rPr>
          <w:b/>
          <w:sz w:val="22"/>
          <w:szCs w:val="22"/>
        </w:rPr>
        <w:tab/>
      </w:r>
      <w:r w:rsidR="008407B4" w:rsidRPr="00B43F10">
        <w:rPr>
          <w:b/>
          <w:sz w:val="22"/>
          <w:szCs w:val="22"/>
        </w:rPr>
        <w:t>Employees</w:t>
      </w:r>
      <w:r w:rsidR="009F2A9A" w:rsidRPr="00B43F10">
        <w:rPr>
          <w:b/>
          <w:sz w:val="22"/>
          <w:szCs w:val="22"/>
        </w:rPr>
        <w:t xml:space="preserve"> </w:t>
      </w:r>
    </w:p>
    <w:tbl>
      <w:tblPr>
        <w:tblW w:w="9039" w:type="dxa"/>
        <w:tblLayout w:type="fixed"/>
        <w:tblLook w:val="0000" w:firstRow="0" w:lastRow="0" w:firstColumn="0" w:lastColumn="0" w:noHBand="0" w:noVBand="0"/>
      </w:tblPr>
      <w:tblGrid>
        <w:gridCol w:w="6345"/>
        <w:gridCol w:w="1134"/>
        <w:gridCol w:w="426"/>
        <w:gridCol w:w="1134"/>
      </w:tblGrid>
      <w:tr w:rsidR="00491D4E" w:rsidRPr="006C4F4C" w14:paraId="64537988" w14:textId="77777777" w:rsidTr="56015167">
        <w:trPr>
          <w:trHeight w:val="264"/>
        </w:trPr>
        <w:tc>
          <w:tcPr>
            <w:tcW w:w="6345" w:type="dxa"/>
          </w:tcPr>
          <w:p w14:paraId="213302DB" w14:textId="77777777" w:rsidR="00491D4E" w:rsidRPr="00B43F10" w:rsidRDefault="00491D4E" w:rsidP="00491D4E">
            <w:pPr>
              <w:jc w:val="both"/>
              <w:rPr>
                <w:b/>
                <w:bCs/>
                <w:i/>
                <w:sz w:val="22"/>
                <w:szCs w:val="22"/>
              </w:rPr>
            </w:pPr>
          </w:p>
          <w:p w14:paraId="3D0146E7" w14:textId="77777777" w:rsidR="00491D4E" w:rsidRPr="00B43F10" w:rsidRDefault="00491D4E" w:rsidP="00491D4E">
            <w:pPr>
              <w:jc w:val="both"/>
              <w:rPr>
                <w:b/>
                <w:bCs/>
                <w:i/>
                <w:sz w:val="22"/>
                <w:szCs w:val="22"/>
              </w:rPr>
            </w:pPr>
          </w:p>
        </w:tc>
        <w:tc>
          <w:tcPr>
            <w:tcW w:w="1134" w:type="dxa"/>
            <w:vAlign w:val="center"/>
          </w:tcPr>
          <w:p w14:paraId="7509E05C" w14:textId="72A9273B" w:rsidR="00491D4E" w:rsidRPr="00B43F10" w:rsidRDefault="00491D4E" w:rsidP="00491D4E">
            <w:pPr>
              <w:tabs>
                <w:tab w:val="left" w:pos="2124"/>
              </w:tabs>
              <w:jc w:val="right"/>
              <w:rPr>
                <w:b/>
                <w:bCs/>
                <w:sz w:val="22"/>
                <w:szCs w:val="22"/>
              </w:rPr>
            </w:pPr>
            <w:r w:rsidRPr="00B43F10">
              <w:rPr>
                <w:b/>
                <w:bCs/>
                <w:sz w:val="22"/>
                <w:szCs w:val="22"/>
              </w:rPr>
              <w:t>202</w:t>
            </w:r>
            <w:r w:rsidR="00377CBC">
              <w:rPr>
                <w:b/>
                <w:bCs/>
                <w:sz w:val="22"/>
                <w:szCs w:val="22"/>
              </w:rPr>
              <w:t>4</w:t>
            </w:r>
          </w:p>
        </w:tc>
        <w:tc>
          <w:tcPr>
            <w:tcW w:w="426" w:type="dxa"/>
            <w:vAlign w:val="center"/>
          </w:tcPr>
          <w:p w14:paraId="16F11E76" w14:textId="77777777" w:rsidR="00491D4E" w:rsidRPr="00B43F10" w:rsidRDefault="00491D4E" w:rsidP="00491D4E">
            <w:pPr>
              <w:tabs>
                <w:tab w:val="left" w:pos="2124"/>
              </w:tabs>
              <w:jc w:val="right"/>
              <w:rPr>
                <w:b/>
                <w:bCs/>
                <w:sz w:val="22"/>
                <w:szCs w:val="22"/>
              </w:rPr>
            </w:pPr>
          </w:p>
        </w:tc>
        <w:tc>
          <w:tcPr>
            <w:tcW w:w="1134" w:type="dxa"/>
            <w:vAlign w:val="center"/>
          </w:tcPr>
          <w:p w14:paraId="3B2A6438" w14:textId="2FF82BCA" w:rsidR="00491D4E" w:rsidRPr="006C4F4C" w:rsidRDefault="00491D4E" w:rsidP="00491D4E">
            <w:pPr>
              <w:tabs>
                <w:tab w:val="left" w:pos="2124"/>
              </w:tabs>
              <w:jc w:val="right"/>
              <w:rPr>
                <w:b/>
                <w:bCs/>
                <w:sz w:val="22"/>
                <w:szCs w:val="22"/>
              </w:rPr>
            </w:pPr>
            <w:r w:rsidRPr="00B43F10">
              <w:rPr>
                <w:b/>
                <w:bCs/>
                <w:sz w:val="22"/>
                <w:szCs w:val="22"/>
              </w:rPr>
              <w:t>202</w:t>
            </w:r>
            <w:r w:rsidR="00377CBC">
              <w:rPr>
                <w:b/>
                <w:bCs/>
                <w:sz w:val="22"/>
                <w:szCs w:val="22"/>
              </w:rPr>
              <w:t>3</w:t>
            </w:r>
          </w:p>
        </w:tc>
      </w:tr>
      <w:tr w:rsidR="00491D4E" w:rsidRPr="006C4F4C" w14:paraId="5D9AD24C" w14:textId="77777777" w:rsidTr="56015167">
        <w:trPr>
          <w:trHeight w:val="264"/>
        </w:trPr>
        <w:tc>
          <w:tcPr>
            <w:tcW w:w="6345" w:type="dxa"/>
          </w:tcPr>
          <w:p w14:paraId="716A314B" w14:textId="77777777" w:rsidR="00491D4E" w:rsidRPr="006C4F4C" w:rsidRDefault="00491D4E" w:rsidP="00491D4E">
            <w:pPr>
              <w:jc w:val="both"/>
              <w:rPr>
                <w:sz w:val="22"/>
                <w:szCs w:val="22"/>
              </w:rPr>
            </w:pPr>
          </w:p>
        </w:tc>
        <w:tc>
          <w:tcPr>
            <w:tcW w:w="1134" w:type="dxa"/>
            <w:vAlign w:val="center"/>
          </w:tcPr>
          <w:p w14:paraId="11F1F0C0" w14:textId="77777777" w:rsidR="00491D4E" w:rsidRPr="005F396D" w:rsidRDefault="00491D4E" w:rsidP="00491D4E">
            <w:pPr>
              <w:tabs>
                <w:tab w:val="left" w:pos="773"/>
                <w:tab w:val="decimal" w:pos="1512"/>
              </w:tabs>
              <w:ind w:right="72"/>
              <w:jc w:val="right"/>
              <w:rPr>
                <w:b/>
                <w:bCs/>
                <w:sz w:val="22"/>
                <w:szCs w:val="22"/>
              </w:rPr>
            </w:pPr>
            <w:r w:rsidRPr="005F396D">
              <w:rPr>
                <w:b/>
                <w:bCs/>
                <w:sz w:val="22"/>
                <w:szCs w:val="22"/>
              </w:rPr>
              <w:t>No.</w:t>
            </w:r>
          </w:p>
        </w:tc>
        <w:tc>
          <w:tcPr>
            <w:tcW w:w="426" w:type="dxa"/>
            <w:vAlign w:val="center"/>
          </w:tcPr>
          <w:p w14:paraId="09ADBBD0" w14:textId="77777777" w:rsidR="00491D4E" w:rsidRPr="006C4F4C" w:rsidRDefault="00491D4E" w:rsidP="00491D4E">
            <w:pPr>
              <w:tabs>
                <w:tab w:val="decimal" w:pos="1512"/>
              </w:tabs>
              <w:ind w:right="72"/>
              <w:jc w:val="right"/>
              <w:rPr>
                <w:b/>
                <w:bCs/>
                <w:sz w:val="22"/>
                <w:szCs w:val="22"/>
              </w:rPr>
            </w:pPr>
          </w:p>
        </w:tc>
        <w:tc>
          <w:tcPr>
            <w:tcW w:w="1134" w:type="dxa"/>
            <w:vAlign w:val="center"/>
          </w:tcPr>
          <w:p w14:paraId="690AC7AB" w14:textId="49805087" w:rsidR="00491D4E" w:rsidRPr="006C4F4C" w:rsidRDefault="00491D4E" w:rsidP="00491D4E">
            <w:pPr>
              <w:tabs>
                <w:tab w:val="left" w:pos="773"/>
                <w:tab w:val="decimal" w:pos="1512"/>
              </w:tabs>
              <w:ind w:right="72"/>
              <w:jc w:val="right"/>
              <w:rPr>
                <w:b/>
                <w:bCs/>
                <w:sz w:val="22"/>
                <w:szCs w:val="22"/>
              </w:rPr>
            </w:pPr>
            <w:r w:rsidRPr="005F396D">
              <w:rPr>
                <w:b/>
                <w:bCs/>
                <w:sz w:val="22"/>
                <w:szCs w:val="22"/>
              </w:rPr>
              <w:t>No.</w:t>
            </w:r>
          </w:p>
        </w:tc>
      </w:tr>
      <w:tr w:rsidR="0022647F" w:rsidRPr="006C4F4C" w14:paraId="5A977A18" w14:textId="77777777" w:rsidTr="56015167">
        <w:trPr>
          <w:trHeight w:val="264"/>
        </w:trPr>
        <w:tc>
          <w:tcPr>
            <w:tcW w:w="6345" w:type="dxa"/>
          </w:tcPr>
          <w:p w14:paraId="17828C06" w14:textId="77777777" w:rsidR="0022647F" w:rsidRPr="006C4F4C" w:rsidRDefault="0022647F" w:rsidP="0022647F">
            <w:pPr>
              <w:jc w:val="both"/>
              <w:rPr>
                <w:sz w:val="22"/>
                <w:szCs w:val="22"/>
              </w:rPr>
            </w:pPr>
            <w:r w:rsidRPr="006C4F4C">
              <w:rPr>
                <w:sz w:val="22"/>
                <w:szCs w:val="22"/>
              </w:rPr>
              <w:t>The average monthly number of full</w:t>
            </w:r>
            <w:r>
              <w:rPr>
                <w:sz w:val="22"/>
                <w:szCs w:val="22"/>
              </w:rPr>
              <w:t>-</w:t>
            </w:r>
            <w:r w:rsidRPr="006C4F4C">
              <w:rPr>
                <w:sz w:val="22"/>
                <w:szCs w:val="22"/>
              </w:rPr>
              <w:t xml:space="preserve">time equivalent persons employed during the year was </w:t>
            </w:r>
          </w:p>
        </w:tc>
        <w:tc>
          <w:tcPr>
            <w:tcW w:w="1134" w:type="dxa"/>
            <w:vAlign w:val="center"/>
          </w:tcPr>
          <w:p w14:paraId="06427090" w14:textId="3F05B1E3" w:rsidR="0022647F" w:rsidRPr="00E803CA" w:rsidRDefault="00A200E1" w:rsidP="0022647F">
            <w:pPr>
              <w:pStyle w:val="BodyText"/>
              <w:jc w:val="right"/>
              <w:rPr>
                <w:sz w:val="22"/>
                <w:szCs w:val="22"/>
              </w:rPr>
            </w:pPr>
            <w:r>
              <w:rPr>
                <w:sz w:val="22"/>
                <w:szCs w:val="22"/>
              </w:rPr>
              <w:t>285</w:t>
            </w:r>
          </w:p>
        </w:tc>
        <w:tc>
          <w:tcPr>
            <w:tcW w:w="426" w:type="dxa"/>
            <w:vAlign w:val="center"/>
          </w:tcPr>
          <w:p w14:paraId="3DE5087F" w14:textId="77777777" w:rsidR="0022647F" w:rsidRPr="0084739B" w:rsidRDefault="0022647F" w:rsidP="0022647F">
            <w:pPr>
              <w:pStyle w:val="BodyText"/>
              <w:jc w:val="right"/>
              <w:rPr>
                <w:sz w:val="22"/>
                <w:szCs w:val="22"/>
                <w:highlight w:val="yellow"/>
              </w:rPr>
            </w:pPr>
          </w:p>
        </w:tc>
        <w:tc>
          <w:tcPr>
            <w:tcW w:w="1134" w:type="dxa"/>
            <w:vAlign w:val="center"/>
          </w:tcPr>
          <w:p w14:paraId="1683D538" w14:textId="27E27CA3" w:rsidR="0022647F" w:rsidRPr="001138C6" w:rsidRDefault="0022647F" w:rsidP="0022647F">
            <w:pPr>
              <w:pStyle w:val="BodyText"/>
              <w:jc w:val="right"/>
              <w:rPr>
                <w:sz w:val="22"/>
                <w:szCs w:val="22"/>
              </w:rPr>
            </w:pPr>
            <w:r w:rsidRPr="00E803CA">
              <w:rPr>
                <w:sz w:val="22"/>
                <w:szCs w:val="22"/>
              </w:rPr>
              <w:t>287</w:t>
            </w:r>
          </w:p>
        </w:tc>
      </w:tr>
      <w:tr w:rsidR="0022647F" w:rsidRPr="006C4F4C" w14:paraId="39FF6000" w14:textId="77777777" w:rsidTr="56015167">
        <w:trPr>
          <w:trHeight w:val="264"/>
        </w:trPr>
        <w:tc>
          <w:tcPr>
            <w:tcW w:w="6345" w:type="dxa"/>
          </w:tcPr>
          <w:p w14:paraId="0033BFC4" w14:textId="77777777" w:rsidR="0022647F" w:rsidRPr="00A1584E" w:rsidRDefault="0022647F" w:rsidP="0022647F">
            <w:pPr>
              <w:jc w:val="both"/>
              <w:rPr>
                <w:sz w:val="22"/>
                <w:szCs w:val="22"/>
              </w:rPr>
            </w:pPr>
            <w:r w:rsidRPr="00A1584E">
              <w:rPr>
                <w:sz w:val="22"/>
                <w:szCs w:val="22"/>
              </w:rPr>
              <w:t xml:space="preserve">The average total number of employees employed during the year was </w:t>
            </w:r>
          </w:p>
        </w:tc>
        <w:tc>
          <w:tcPr>
            <w:tcW w:w="1134" w:type="dxa"/>
            <w:vAlign w:val="center"/>
          </w:tcPr>
          <w:p w14:paraId="5C507BE6" w14:textId="2723A866" w:rsidR="0022647F" w:rsidRPr="00E803CA" w:rsidRDefault="00534C27" w:rsidP="0022647F">
            <w:pPr>
              <w:pStyle w:val="BodyText"/>
              <w:jc w:val="right"/>
              <w:rPr>
                <w:sz w:val="22"/>
                <w:szCs w:val="22"/>
              </w:rPr>
            </w:pPr>
            <w:r>
              <w:rPr>
                <w:sz w:val="22"/>
                <w:szCs w:val="22"/>
              </w:rPr>
              <w:t>292</w:t>
            </w:r>
          </w:p>
        </w:tc>
        <w:tc>
          <w:tcPr>
            <w:tcW w:w="426" w:type="dxa"/>
            <w:vAlign w:val="center"/>
          </w:tcPr>
          <w:p w14:paraId="16ADFB27" w14:textId="77777777" w:rsidR="0022647F" w:rsidRPr="0084739B" w:rsidRDefault="0022647F" w:rsidP="0022647F">
            <w:pPr>
              <w:pStyle w:val="BodyText"/>
              <w:jc w:val="right"/>
              <w:rPr>
                <w:sz w:val="22"/>
                <w:szCs w:val="22"/>
                <w:highlight w:val="yellow"/>
              </w:rPr>
            </w:pPr>
          </w:p>
        </w:tc>
        <w:tc>
          <w:tcPr>
            <w:tcW w:w="1134" w:type="dxa"/>
            <w:vAlign w:val="center"/>
          </w:tcPr>
          <w:p w14:paraId="2B88CBCE" w14:textId="069D9EA3" w:rsidR="0022647F" w:rsidRPr="001138C6" w:rsidRDefault="0022647F" w:rsidP="0022647F">
            <w:pPr>
              <w:pStyle w:val="BodyText"/>
              <w:jc w:val="right"/>
              <w:rPr>
                <w:sz w:val="22"/>
                <w:szCs w:val="22"/>
              </w:rPr>
            </w:pPr>
            <w:r w:rsidRPr="00E803CA">
              <w:rPr>
                <w:sz w:val="22"/>
                <w:szCs w:val="22"/>
              </w:rPr>
              <w:t>292</w:t>
            </w:r>
          </w:p>
        </w:tc>
      </w:tr>
      <w:tr w:rsidR="001B7F15" w:rsidRPr="004D388B" w14:paraId="111C35BC" w14:textId="77777777" w:rsidTr="56015167">
        <w:trPr>
          <w:trHeight w:val="264"/>
        </w:trPr>
        <w:tc>
          <w:tcPr>
            <w:tcW w:w="6345" w:type="dxa"/>
          </w:tcPr>
          <w:p w14:paraId="1512A264" w14:textId="77777777" w:rsidR="001B7F15" w:rsidRPr="00A1584E" w:rsidRDefault="001B7F15" w:rsidP="001B7F15">
            <w:pPr>
              <w:jc w:val="both"/>
              <w:rPr>
                <w:sz w:val="22"/>
                <w:szCs w:val="22"/>
              </w:rPr>
            </w:pPr>
          </w:p>
        </w:tc>
        <w:tc>
          <w:tcPr>
            <w:tcW w:w="1134" w:type="dxa"/>
            <w:vAlign w:val="center"/>
          </w:tcPr>
          <w:p w14:paraId="06EC8743" w14:textId="77777777" w:rsidR="001B7F15" w:rsidRPr="00E803CA" w:rsidRDefault="001B7F15" w:rsidP="001B7F15">
            <w:pPr>
              <w:pStyle w:val="BodyText"/>
              <w:jc w:val="right"/>
              <w:rPr>
                <w:sz w:val="22"/>
                <w:szCs w:val="22"/>
              </w:rPr>
            </w:pPr>
          </w:p>
        </w:tc>
        <w:tc>
          <w:tcPr>
            <w:tcW w:w="426" w:type="dxa"/>
            <w:vAlign w:val="center"/>
          </w:tcPr>
          <w:p w14:paraId="3B0DB9E8" w14:textId="77777777" w:rsidR="001B7F15" w:rsidRPr="00911DE4" w:rsidRDefault="001B7F15" w:rsidP="001B7F15">
            <w:pPr>
              <w:pStyle w:val="BodyText"/>
              <w:jc w:val="right"/>
              <w:rPr>
                <w:sz w:val="22"/>
                <w:szCs w:val="22"/>
              </w:rPr>
            </w:pPr>
          </w:p>
        </w:tc>
        <w:tc>
          <w:tcPr>
            <w:tcW w:w="1134" w:type="dxa"/>
            <w:vAlign w:val="center"/>
          </w:tcPr>
          <w:p w14:paraId="18A1C556" w14:textId="77777777" w:rsidR="001B7F15" w:rsidRPr="00A1584E" w:rsidRDefault="001B7F15" w:rsidP="001B7F15">
            <w:pPr>
              <w:pStyle w:val="BodyText"/>
              <w:jc w:val="right"/>
              <w:rPr>
                <w:sz w:val="22"/>
                <w:szCs w:val="22"/>
              </w:rPr>
            </w:pPr>
          </w:p>
        </w:tc>
      </w:tr>
      <w:tr w:rsidR="001B7F15" w:rsidRPr="0035031F" w14:paraId="7ECD3239" w14:textId="77777777" w:rsidTr="56015167">
        <w:trPr>
          <w:trHeight w:val="264"/>
        </w:trPr>
        <w:tc>
          <w:tcPr>
            <w:tcW w:w="6345" w:type="dxa"/>
          </w:tcPr>
          <w:p w14:paraId="02461756" w14:textId="77777777" w:rsidR="001B7F15" w:rsidRPr="00A1584E" w:rsidRDefault="001B7F15" w:rsidP="001B7F15">
            <w:pPr>
              <w:jc w:val="both"/>
              <w:rPr>
                <w:sz w:val="22"/>
                <w:szCs w:val="22"/>
              </w:rPr>
            </w:pPr>
          </w:p>
        </w:tc>
        <w:tc>
          <w:tcPr>
            <w:tcW w:w="1134" w:type="dxa"/>
            <w:vAlign w:val="center"/>
          </w:tcPr>
          <w:p w14:paraId="55F9EDE5" w14:textId="77777777" w:rsidR="001B7F15" w:rsidRPr="00E803CA" w:rsidRDefault="001B7F15" w:rsidP="001B7F15">
            <w:pPr>
              <w:pStyle w:val="BodyText"/>
              <w:jc w:val="right"/>
              <w:rPr>
                <w:b/>
                <w:sz w:val="22"/>
                <w:szCs w:val="22"/>
              </w:rPr>
            </w:pPr>
            <w:r w:rsidRPr="00E803CA">
              <w:rPr>
                <w:b/>
                <w:sz w:val="22"/>
                <w:szCs w:val="22"/>
              </w:rPr>
              <w:t>£’000</w:t>
            </w:r>
          </w:p>
        </w:tc>
        <w:tc>
          <w:tcPr>
            <w:tcW w:w="426" w:type="dxa"/>
            <w:vAlign w:val="center"/>
          </w:tcPr>
          <w:p w14:paraId="7028581C" w14:textId="77777777" w:rsidR="001B7F15" w:rsidRPr="00911DE4" w:rsidRDefault="001B7F15" w:rsidP="001B7F15">
            <w:pPr>
              <w:pStyle w:val="BodyText"/>
              <w:jc w:val="right"/>
              <w:rPr>
                <w:b/>
                <w:sz w:val="22"/>
                <w:szCs w:val="22"/>
              </w:rPr>
            </w:pPr>
          </w:p>
        </w:tc>
        <w:tc>
          <w:tcPr>
            <w:tcW w:w="1134" w:type="dxa"/>
            <w:vAlign w:val="center"/>
          </w:tcPr>
          <w:p w14:paraId="56C92CEC" w14:textId="21532538" w:rsidR="001B7F15" w:rsidRPr="00A1584E" w:rsidRDefault="001B7F15" w:rsidP="001B7F15">
            <w:pPr>
              <w:pStyle w:val="BodyText"/>
              <w:jc w:val="right"/>
              <w:rPr>
                <w:b/>
                <w:sz w:val="22"/>
                <w:szCs w:val="22"/>
              </w:rPr>
            </w:pPr>
            <w:r w:rsidRPr="00911DE4">
              <w:rPr>
                <w:b/>
                <w:sz w:val="22"/>
                <w:szCs w:val="22"/>
              </w:rPr>
              <w:t>£’000</w:t>
            </w:r>
          </w:p>
        </w:tc>
      </w:tr>
      <w:tr w:rsidR="001B7F15" w:rsidRPr="004D388B" w14:paraId="3CF3B385" w14:textId="77777777" w:rsidTr="56015167">
        <w:trPr>
          <w:trHeight w:val="264"/>
        </w:trPr>
        <w:tc>
          <w:tcPr>
            <w:tcW w:w="6345" w:type="dxa"/>
          </w:tcPr>
          <w:p w14:paraId="210CA267" w14:textId="77777777" w:rsidR="001B7F15" w:rsidRPr="00A1584E" w:rsidRDefault="001B7F15" w:rsidP="001B7F15">
            <w:pPr>
              <w:jc w:val="both"/>
              <w:rPr>
                <w:sz w:val="22"/>
                <w:szCs w:val="22"/>
              </w:rPr>
            </w:pPr>
            <w:r w:rsidRPr="00A1584E">
              <w:rPr>
                <w:sz w:val="22"/>
                <w:szCs w:val="22"/>
              </w:rPr>
              <w:t>Staff costs (for the above persons)</w:t>
            </w:r>
          </w:p>
        </w:tc>
        <w:tc>
          <w:tcPr>
            <w:tcW w:w="1134" w:type="dxa"/>
            <w:vAlign w:val="center"/>
          </w:tcPr>
          <w:p w14:paraId="7CBF2042" w14:textId="77777777" w:rsidR="001B7F15" w:rsidRPr="00E803CA" w:rsidRDefault="001B7F15" w:rsidP="001B7F15">
            <w:pPr>
              <w:pStyle w:val="BodyText"/>
              <w:jc w:val="right"/>
              <w:rPr>
                <w:sz w:val="22"/>
                <w:szCs w:val="22"/>
              </w:rPr>
            </w:pPr>
          </w:p>
        </w:tc>
        <w:tc>
          <w:tcPr>
            <w:tcW w:w="426" w:type="dxa"/>
            <w:vAlign w:val="center"/>
          </w:tcPr>
          <w:p w14:paraId="4B4571D2" w14:textId="77777777" w:rsidR="001B7F15" w:rsidRPr="00911DE4" w:rsidRDefault="001B7F15" w:rsidP="001B7F15">
            <w:pPr>
              <w:pStyle w:val="BodyText"/>
              <w:jc w:val="right"/>
              <w:rPr>
                <w:sz w:val="22"/>
                <w:szCs w:val="22"/>
              </w:rPr>
            </w:pPr>
          </w:p>
        </w:tc>
        <w:tc>
          <w:tcPr>
            <w:tcW w:w="1134" w:type="dxa"/>
            <w:vAlign w:val="center"/>
          </w:tcPr>
          <w:p w14:paraId="422C6A38" w14:textId="77777777" w:rsidR="001B7F15" w:rsidRPr="00A1584E" w:rsidRDefault="001B7F15" w:rsidP="001B7F15">
            <w:pPr>
              <w:pStyle w:val="BodyText"/>
              <w:jc w:val="right"/>
              <w:rPr>
                <w:sz w:val="22"/>
                <w:szCs w:val="22"/>
              </w:rPr>
            </w:pPr>
          </w:p>
        </w:tc>
      </w:tr>
      <w:tr w:rsidR="0022647F" w:rsidRPr="004D388B" w14:paraId="0F973955" w14:textId="77777777" w:rsidTr="56015167">
        <w:trPr>
          <w:trHeight w:val="264"/>
        </w:trPr>
        <w:tc>
          <w:tcPr>
            <w:tcW w:w="6345" w:type="dxa"/>
          </w:tcPr>
          <w:p w14:paraId="6C3AD29A" w14:textId="77777777" w:rsidR="0022647F" w:rsidRPr="00A1584E" w:rsidRDefault="0022647F" w:rsidP="0022647F">
            <w:pPr>
              <w:jc w:val="both"/>
              <w:rPr>
                <w:sz w:val="22"/>
                <w:szCs w:val="22"/>
              </w:rPr>
            </w:pPr>
            <w:r w:rsidRPr="00A1584E">
              <w:rPr>
                <w:sz w:val="22"/>
                <w:szCs w:val="22"/>
              </w:rPr>
              <w:t>Wages and salaries</w:t>
            </w:r>
          </w:p>
        </w:tc>
        <w:tc>
          <w:tcPr>
            <w:tcW w:w="1134" w:type="dxa"/>
            <w:vAlign w:val="center"/>
          </w:tcPr>
          <w:p w14:paraId="27AE3D42" w14:textId="56B38E2E" w:rsidR="0022647F" w:rsidRPr="00E803CA" w:rsidRDefault="009F00AF" w:rsidP="0022647F">
            <w:pPr>
              <w:pStyle w:val="BodyText"/>
              <w:jc w:val="right"/>
              <w:rPr>
                <w:sz w:val="22"/>
                <w:szCs w:val="22"/>
              </w:rPr>
            </w:pPr>
            <w:r>
              <w:rPr>
                <w:sz w:val="22"/>
                <w:szCs w:val="22"/>
              </w:rPr>
              <w:t>11,</w:t>
            </w:r>
            <w:r w:rsidR="00056BF7">
              <w:rPr>
                <w:sz w:val="22"/>
                <w:szCs w:val="22"/>
              </w:rPr>
              <w:t>357</w:t>
            </w:r>
          </w:p>
        </w:tc>
        <w:tc>
          <w:tcPr>
            <w:tcW w:w="426" w:type="dxa"/>
            <w:vAlign w:val="center"/>
          </w:tcPr>
          <w:p w14:paraId="6270C240" w14:textId="77777777" w:rsidR="0022647F" w:rsidRPr="00911DE4" w:rsidRDefault="0022647F" w:rsidP="0022647F">
            <w:pPr>
              <w:pStyle w:val="BodyText"/>
              <w:jc w:val="right"/>
              <w:rPr>
                <w:sz w:val="22"/>
                <w:szCs w:val="22"/>
              </w:rPr>
            </w:pPr>
          </w:p>
        </w:tc>
        <w:tc>
          <w:tcPr>
            <w:tcW w:w="1134" w:type="dxa"/>
            <w:vAlign w:val="center"/>
          </w:tcPr>
          <w:p w14:paraId="1AD8F0B6" w14:textId="28EBC601" w:rsidR="0022647F" w:rsidRPr="00A1584E" w:rsidRDefault="0022647F" w:rsidP="0022647F">
            <w:pPr>
              <w:pStyle w:val="BodyText"/>
              <w:jc w:val="right"/>
              <w:rPr>
                <w:sz w:val="22"/>
                <w:szCs w:val="22"/>
              </w:rPr>
            </w:pPr>
            <w:r w:rsidRPr="00E803CA">
              <w:rPr>
                <w:sz w:val="22"/>
                <w:szCs w:val="22"/>
              </w:rPr>
              <w:t>10,542</w:t>
            </w:r>
          </w:p>
        </w:tc>
      </w:tr>
      <w:tr w:rsidR="0022647F" w:rsidRPr="004D388B" w14:paraId="100BF914" w14:textId="77777777" w:rsidTr="56015167">
        <w:trPr>
          <w:trHeight w:val="264"/>
        </w:trPr>
        <w:tc>
          <w:tcPr>
            <w:tcW w:w="6345" w:type="dxa"/>
          </w:tcPr>
          <w:p w14:paraId="377F22BC" w14:textId="77777777" w:rsidR="0022647F" w:rsidRPr="00A1584E" w:rsidRDefault="0022647F" w:rsidP="0022647F">
            <w:pPr>
              <w:jc w:val="both"/>
              <w:rPr>
                <w:sz w:val="22"/>
                <w:szCs w:val="22"/>
              </w:rPr>
            </w:pPr>
            <w:r w:rsidRPr="00A1584E">
              <w:rPr>
                <w:sz w:val="22"/>
                <w:szCs w:val="22"/>
              </w:rPr>
              <w:t>Social security costs</w:t>
            </w:r>
          </w:p>
        </w:tc>
        <w:tc>
          <w:tcPr>
            <w:tcW w:w="1134" w:type="dxa"/>
            <w:vAlign w:val="center"/>
          </w:tcPr>
          <w:p w14:paraId="23644A42" w14:textId="3F630829" w:rsidR="0022647F" w:rsidRPr="00E803CA" w:rsidRDefault="009F00AF" w:rsidP="0022647F">
            <w:pPr>
              <w:pStyle w:val="BodyText"/>
              <w:jc w:val="right"/>
              <w:rPr>
                <w:sz w:val="22"/>
                <w:szCs w:val="22"/>
              </w:rPr>
            </w:pPr>
            <w:r>
              <w:rPr>
                <w:sz w:val="22"/>
                <w:szCs w:val="22"/>
              </w:rPr>
              <w:t>1,1</w:t>
            </w:r>
            <w:r w:rsidR="00CB15BA">
              <w:rPr>
                <w:sz w:val="22"/>
                <w:szCs w:val="22"/>
              </w:rPr>
              <w:t>30</w:t>
            </w:r>
          </w:p>
        </w:tc>
        <w:tc>
          <w:tcPr>
            <w:tcW w:w="426" w:type="dxa"/>
            <w:vAlign w:val="center"/>
          </w:tcPr>
          <w:p w14:paraId="59819626" w14:textId="77777777" w:rsidR="0022647F" w:rsidRPr="00911DE4" w:rsidRDefault="0022647F" w:rsidP="0022647F">
            <w:pPr>
              <w:pStyle w:val="BodyText"/>
              <w:jc w:val="right"/>
              <w:rPr>
                <w:sz w:val="22"/>
                <w:szCs w:val="22"/>
              </w:rPr>
            </w:pPr>
          </w:p>
        </w:tc>
        <w:tc>
          <w:tcPr>
            <w:tcW w:w="1134" w:type="dxa"/>
            <w:vAlign w:val="center"/>
          </w:tcPr>
          <w:p w14:paraId="5B6A1748" w14:textId="47C9C1B2" w:rsidR="0022647F" w:rsidRPr="00A1584E" w:rsidRDefault="0022647F" w:rsidP="0022647F">
            <w:pPr>
              <w:pStyle w:val="BodyText"/>
              <w:jc w:val="right"/>
              <w:rPr>
                <w:sz w:val="22"/>
                <w:szCs w:val="22"/>
              </w:rPr>
            </w:pPr>
            <w:r w:rsidRPr="00E803CA">
              <w:rPr>
                <w:sz w:val="22"/>
                <w:szCs w:val="22"/>
              </w:rPr>
              <w:t>1,098</w:t>
            </w:r>
          </w:p>
        </w:tc>
      </w:tr>
      <w:tr w:rsidR="0022647F" w:rsidRPr="004D388B" w14:paraId="40808557" w14:textId="77777777" w:rsidTr="56015167">
        <w:trPr>
          <w:trHeight w:val="264"/>
        </w:trPr>
        <w:tc>
          <w:tcPr>
            <w:tcW w:w="6345" w:type="dxa"/>
          </w:tcPr>
          <w:p w14:paraId="365F3887" w14:textId="77777777" w:rsidR="0022647F" w:rsidRPr="00A1584E" w:rsidRDefault="0022647F" w:rsidP="0022647F">
            <w:pPr>
              <w:jc w:val="both"/>
              <w:rPr>
                <w:sz w:val="22"/>
                <w:szCs w:val="22"/>
              </w:rPr>
            </w:pPr>
            <w:r w:rsidRPr="00A1584E">
              <w:rPr>
                <w:sz w:val="22"/>
                <w:szCs w:val="22"/>
              </w:rPr>
              <w:t>Pension costs</w:t>
            </w:r>
          </w:p>
        </w:tc>
        <w:tc>
          <w:tcPr>
            <w:tcW w:w="1134" w:type="dxa"/>
            <w:vAlign w:val="center"/>
          </w:tcPr>
          <w:p w14:paraId="7E0858B9" w14:textId="68B9E341" w:rsidR="0022647F" w:rsidRPr="00E803CA" w:rsidRDefault="009F00AF" w:rsidP="0022647F">
            <w:pPr>
              <w:pStyle w:val="BodyText"/>
              <w:jc w:val="right"/>
              <w:rPr>
                <w:sz w:val="22"/>
                <w:szCs w:val="22"/>
              </w:rPr>
            </w:pPr>
            <w:r>
              <w:rPr>
                <w:sz w:val="22"/>
                <w:szCs w:val="22"/>
              </w:rPr>
              <w:t>1,041</w:t>
            </w:r>
          </w:p>
        </w:tc>
        <w:tc>
          <w:tcPr>
            <w:tcW w:w="426" w:type="dxa"/>
            <w:vAlign w:val="center"/>
          </w:tcPr>
          <w:p w14:paraId="2140AE90" w14:textId="77777777" w:rsidR="0022647F" w:rsidRPr="00911DE4" w:rsidRDefault="0022647F" w:rsidP="0022647F">
            <w:pPr>
              <w:pStyle w:val="BodyText"/>
              <w:jc w:val="right"/>
              <w:rPr>
                <w:sz w:val="22"/>
                <w:szCs w:val="22"/>
              </w:rPr>
            </w:pPr>
          </w:p>
        </w:tc>
        <w:tc>
          <w:tcPr>
            <w:tcW w:w="1134" w:type="dxa"/>
            <w:vAlign w:val="center"/>
          </w:tcPr>
          <w:p w14:paraId="49759FCE" w14:textId="23BBBAC4" w:rsidR="0022647F" w:rsidRPr="00A1584E" w:rsidRDefault="0022647F" w:rsidP="0022647F">
            <w:pPr>
              <w:pStyle w:val="BodyText"/>
              <w:jc w:val="right"/>
              <w:rPr>
                <w:sz w:val="22"/>
                <w:szCs w:val="22"/>
              </w:rPr>
            </w:pPr>
            <w:r w:rsidRPr="00E803CA">
              <w:rPr>
                <w:sz w:val="22"/>
                <w:szCs w:val="22"/>
              </w:rPr>
              <w:t>932</w:t>
            </w:r>
          </w:p>
        </w:tc>
      </w:tr>
      <w:tr w:rsidR="0022647F" w:rsidRPr="004D388B" w14:paraId="0F997F7B" w14:textId="77777777" w:rsidTr="56015167">
        <w:trPr>
          <w:trHeight w:val="504"/>
        </w:trPr>
        <w:tc>
          <w:tcPr>
            <w:tcW w:w="6345" w:type="dxa"/>
            <w:vAlign w:val="center"/>
          </w:tcPr>
          <w:p w14:paraId="7F318010" w14:textId="77777777" w:rsidR="0022647F" w:rsidRPr="00A1584E" w:rsidRDefault="0022647F" w:rsidP="0022647F">
            <w:pPr>
              <w:tabs>
                <w:tab w:val="decimal" w:pos="1512"/>
              </w:tabs>
              <w:ind w:right="72"/>
              <w:rPr>
                <w:sz w:val="22"/>
                <w:szCs w:val="22"/>
              </w:rPr>
            </w:pPr>
          </w:p>
        </w:tc>
        <w:tc>
          <w:tcPr>
            <w:tcW w:w="1134" w:type="dxa"/>
            <w:tcBorders>
              <w:top w:val="single" w:sz="4" w:space="0" w:color="auto"/>
              <w:bottom w:val="single" w:sz="4" w:space="0" w:color="auto"/>
            </w:tcBorders>
            <w:vAlign w:val="center"/>
          </w:tcPr>
          <w:p w14:paraId="290AD8AE" w14:textId="42D29D4E" w:rsidR="0022647F" w:rsidRPr="00E803CA" w:rsidRDefault="009F00AF" w:rsidP="0022647F">
            <w:pPr>
              <w:pStyle w:val="BodyText"/>
              <w:jc w:val="right"/>
              <w:rPr>
                <w:sz w:val="22"/>
                <w:szCs w:val="22"/>
              </w:rPr>
            </w:pPr>
            <w:r>
              <w:rPr>
                <w:sz w:val="22"/>
                <w:szCs w:val="22"/>
              </w:rPr>
              <w:t>13,</w:t>
            </w:r>
            <w:r w:rsidR="00056BF7">
              <w:rPr>
                <w:sz w:val="22"/>
                <w:szCs w:val="22"/>
              </w:rPr>
              <w:t>5</w:t>
            </w:r>
            <w:r w:rsidR="00CB15BA">
              <w:rPr>
                <w:sz w:val="22"/>
                <w:szCs w:val="22"/>
              </w:rPr>
              <w:t>28</w:t>
            </w:r>
          </w:p>
        </w:tc>
        <w:tc>
          <w:tcPr>
            <w:tcW w:w="426" w:type="dxa"/>
            <w:vAlign w:val="center"/>
          </w:tcPr>
          <w:p w14:paraId="20275039" w14:textId="77777777" w:rsidR="0022647F" w:rsidRPr="00911DE4" w:rsidRDefault="0022647F" w:rsidP="0022647F">
            <w:pPr>
              <w:pStyle w:val="BodyText"/>
              <w:jc w:val="right"/>
              <w:rPr>
                <w:sz w:val="22"/>
                <w:szCs w:val="22"/>
              </w:rPr>
            </w:pPr>
          </w:p>
        </w:tc>
        <w:tc>
          <w:tcPr>
            <w:tcW w:w="1134" w:type="dxa"/>
            <w:tcBorders>
              <w:top w:val="single" w:sz="4" w:space="0" w:color="auto"/>
              <w:bottom w:val="single" w:sz="4" w:space="0" w:color="auto"/>
            </w:tcBorders>
            <w:vAlign w:val="center"/>
          </w:tcPr>
          <w:p w14:paraId="1F3D5959" w14:textId="37EE0BC7" w:rsidR="0022647F" w:rsidRPr="00A1584E" w:rsidRDefault="0022647F" w:rsidP="0022647F">
            <w:pPr>
              <w:pStyle w:val="BodyText"/>
              <w:jc w:val="right"/>
              <w:rPr>
                <w:sz w:val="22"/>
                <w:szCs w:val="22"/>
              </w:rPr>
            </w:pPr>
            <w:r w:rsidRPr="00E803CA">
              <w:rPr>
                <w:sz w:val="22"/>
                <w:szCs w:val="22"/>
              </w:rPr>
              <w:t>12,572</w:t>
            </w:r>
          </w:p>
        </w:tc>
      </w:tr>
    </w:tbl>
    <w:p w14:paraId="13C37CB0" w14:textId="77777777" w:rsidR="00E27F17" w:rsidRPr="009F7411" w:rsidRDefault="00E27F17" w:rsidP="00523E3D">
      <w:pPr>
        <w:jc w:val="both"/>
        <w:rPr>
          <w:sz w:val="22"/>
          <w:szCs w:val="22"/>
        </w:rPr>
      </w:pPr>
    </w:p>
    <w:p w14:paraId="4BBD0FDF" w14:textId="5340B79D" w:rsidR="00C65967" w:rsidRPr="00DE74D1" w:rsidRDefault="00C65967" w:rsidP="00C65967">
      <w:pPr>
        <w:tabs>
          <w:tab w:val="left" w:pos="709"/>
          <w:tab w:val="left" w:pos="851"/>
          <w:tab w:val="left" w:pos="993"/>
        </w:tabs>
        <w:jc w:val="both"/>
        <w:rPr>
          <w:b/>
          <w:sz w:val="22"/>
          <w:szCs w:val="22"/>
        </w:rPr>
      </w:pPr>
      <w:r w:rsidRPr="00DE74D1">
        <w:rPr>
          <w:b/>
          <w:sz w:val="22"/>
          <w:szCs w:val="22"/>
        </w:rPr>
        <w:t xml:space="preserve">9.          </w:t>
      </w:r>
      <w:r w:rsidR="00AB7088">
        <w:rPr>
          <w:b/>
          <w:sz w:val="22"/>
          <w:szCs w:val="22"/>
        </w:rPr>
        <w:t>Gain on disposal of fixed assets</w:t>
      </w:r>
    </w:p>
    <w:p w14:paraId="2F16AA37" w14:textId="77777777" w:rsidR="00C65967" w:rsidRPr="00DE74D1" w:rsidRDefault="00C65967" w:rsidP="00C65967">
      <w:pPr>
        <w:jc w:val="both"/>
        <w:rPr>
          <w:b/>
          <w:sz w:val="22"/>
          <w:szCs w:val="22"/>
          <w:highlight w:val="yellow"/>
        </w:rPr>
      </w:pPr>
    </w:p>
    <w:p w14:paraId="11AEE6C2" w14:textId="68CA3AE3" w:rsidR="00E52EFD" w:rsidRDefault="00E52EFD" w:rsidP="00E52EFD">
      <w:pPr>
        <w:pStyle w:val="BodyText"/>
        <w:jc w:val="both"/>
        <w:rPr>
          <w:sz w:val="22"/>
          <w:szCs w:val="22"/>
        </w:rPr>
      </w:pPr>
      <w:r w:rsidRPr="00E86101">
        <w:rPr>
          <w:sz w:val="22"/>
          <w:szCs w:val="22"/>
        </w:rPr>
        <w:t xml:space="preserve">This includes net income from the sale of </w:t>
      </w:r>
      <w:r>
        <w:rPr>
          <w:sz w:val="22"/>
          <w:szCs w:val="22"/>
        </w:rPr>
        <w:t xml:space="preserve">one social rent property and </w:t>
      </w:r>
      <w:r w:rsidR="00FF7BF6">
        <w:rPr>
          <w:sz w:val="22"/>
          <w:szCs w:val="22"/>
        </w:rPr>
        <w:t xml:space="preserve">land owned by WH South. </w:t>
      </w:r>
      <w:r w:rsidRPr="00E86101">
        <w:rPr>
          <w:sz w:val="22"/>
          <w:szCs w:val="22"/>
        </w:rPr>
        <w:t xml:space="preserve"> </w:t>
      </w:r>
    </w:p>
    <w:p w14:paraId="57C00084" w14:textId="77777777" w:rsidR="00C65967" w:rsidRPr="00DE74D1" w:rsidRDefault="00C65967" w:rsidP="00C65967">
      <w:pPr>
        <w:jc w:val="both"/>
        <w:rPr>
          <w:sz w:val="22"/>
          <w:szCs w:val="22"/>
        </w:rPr>
      </w:pPr>
    </w:p>
    <w:tbl>
      <w:tblPr>
        <w:tblW w:w="8931" w:type="dxa"/>
        <w:tblLayout w:type="fixed"/>
        <w:tblLook w:val="04A0" w:firstRow="1" w:lastRow="0" w:firstColumn="1" w:lastColumn="0" w:noHBand="0" w:noVBand="1"/>
      </w:tblPr>
      <w:tblGrid>
        <w:gridCol w:w="1759"/>
        <w:gridCol w:w="3027"/>
        <w:gridCol w:w="1593"/>
        <w:gridCol w:w="1134"/>
        <w:gridCol w:w="425"/>
        <w:gridCol w:w="993"/>
      </w:tblGrid>
      <w:tr w:rsidR="00DE74D1" w:rsidRPr="00DE74D1" w14:paraId="47E6CBC3" w14:textId="77777777">
        <w:trPr>
          <w:trHeight w:val="307"/>
        </w:trPr>
        <w:tc>
          <w:tcPr>
            <w:tcW w:w="1759" w:type="dxa"/>
            <w:shd w:val="clear" w:color="auto" w:fill="auto"/>
            <w:noWrap/>
            <w:vAlign w:val="bottom"/>
            <w:hideMark/>
          </w:tcPr>
          <w:p w14:paraId="7BE0B0D9" w14:textId="77777777" w:rsidR="00C65967" w:rsidRPr="00DE74D1" w:rsidRDefault="00C65967">
            <w:pPr>
              <w:rPr>
                <w:sz w:val="22"/>
                <w:szCs w:val="22"/>
                <w:lang w:eastAsia="en-GB"/>
              </w:rPr>
            </w:pPr>
          </w:p>
        </w:tc>
        <w:tc>
          <w:tcPr>
            <w:tcW w:w="3027" w:type="dxa"/>
            <w:shd w:val="clear" w:color="auto" w:fill="auto"/>
            <w:noWrap/>
            <w:vAlign w:val="bottom"/>
            <w:hideMark/>
          </w:tcPr>
          <w:p w14:paraId="75ED806C" w14:textId="77777777" w:rsidR="00C65967" w:rsidRPr="00DE74D1" w:rsidRDefault="00C65967">
            <w:pPr>
              <w:rPr>
                <w:sz w:val="22"/>
                <w:szCs w:val="22"/>
                <w:lang w:eastAsia="en-GB"/>
              </w:rPr>
            </w:pPr>
          </w:p>
        </w:tc>
        <w:tc>
          <w:tcPr>
            <w:tcW w:w="1593" w:type="dxa"/>
            <w:vAlign w:val="center"/>
          </w:tcPr>
          <w:p w14:paraId="3364985C" w14:textId="77777777" w:rsidR="00C65967" w:rsidRPr="00DE74D1" w:rsidRDefault="00C65967">
            <w:pPr>
              <w:jc w:val="right"/>
              <w:rPr>
                <w:b/>
                <w:bCs/>
                <w:sz w:val="22"/>
                <w:szCs w:val="22"/>
                <w:lang w:eastAsia="en-GB"/>
              </w:rPr>
            </w:pPr>
          </w:p>
        </w:tc>
        <w:tc>
          <w:tcPr>
            <w:tcW w:w="1134" w:type="dxa"/>
            <w:vAlign w:val="center"/>
          </w:tcPr>
          <w:p w14:paraId="3535D545" w14:textId="796C59F8" w:rsidR="00C65967" w:rsidRPr="00DE74D1" w:rsidRDefault="00C65967">
            <w:pPr>
              <w:jc w:val="right"/>
              <w:rPr>
                <w:b/>
                <w:bCs/>
                <w:sz w:val="22"/>
                <w:szCs w:val="22"/>
                <w:lang w:eastAsia="en-GB"/>
              </w:rPr>
            </w:pPr>
            <w:r w:rsidRPr="00DE74D1">
              <w:rPr>
                <w:b/>
                <w:bCs/>
                <w:sz w:val="22"/>
                <w:szCs w:val="22"/>
                <w:lang w:eastAsia="en-GB"/>
              </w:rPr>
              <w:t>202</w:t>
            </w:r>
            <w:r w:rsidR="0051549B">
              <w:rPr>
                <w:b/>
                <w:bCs/>
                <w:sz w:val="22"/>
                <w:szCs w:val="22"/>
                <w:lang w:eastAsia="en-GB"/>
              </w:rPr>
              <w:t>4</w:t>
            </w:r>
          </w:p>
        </w:tc>
        <w:tc>
          <w:tcPr>
            <w:tcW w:w="425" w:type="dxa"/>
            <w:vAlign w:val="center"/>
          </w:tcPr>
          <w:p w14:paraId="6D43755B" w14:textId="77777777" w:rsidR="00C65967" w:rsidRPr="00DE74D1" w:rsidRDefault="00C65967">
            <w:pPr>
              <w:jc w:val="right"/>
              <w:rPr>
                <w:b/>
                <w:bCs/>
                <w:sz w:val="22"/>
                <w:szCs w:val="22"/>
                <w:lang w:eastAsia="en-GB"/>
              </w:rPr>
            </w:pPr>
          </w:p>
        </w:tc>
        <w:tc>
          <w:tcPr>
            <w:tcW w:w="993" w:type="dxa"/>
            <w:vAlign w:val="center"/>
          </w:tcPr>
          <w:p w14:paraId="4FFA143A" w14:textId="27EA28A7" w:rsidR="00C65967" w:rsidRPr="00DE74D1" w:rsidRDefault="00C65967">
            <w:pPr>
              <w:jc w:val="right"/>
              <w:rPr>
                <w:b/>
                <w:bCs/>
                <w:sz w:val="22"/>
                <w:szCs w:val="22"/>
                <w:lang w:eastAsia="en-GB"/>
              </w:rPr>
            </w:pPr>
            <w:r w:rsidRPr="00DE74D1">
              <w:rPr>
                <w:b/>
                <w:bCs/>
                <w:sz w:val="22"/>
                <w:szCs w:val="22"/>
                <w:lang w:eastAsia="en-GB"/>
              </w:rPr>
              <w:t>202</w:t>
            </w:r>
            <w:r w:rsidR="0051549B">
              <w:rPr>
                <w:b/>
                <w:bCs/>
                <w:sz w:val="22"/>
                <w:szCs w:val="22"/>
                <w:lang w:eastAsia="en-GB"/>
              </w:rPr>
              <w:t>3</w:t>
            </w:r>
          </w:p>
        </w:tc>
      </w:tr>
      <w:tr w:rsidR="00DE74D1" w:rsidRPr="00DE74D1" w14:paraId="36721675" w14:textId="77777777">
        <w:trPr>
          <w:trHeight w:val="307"/>
        </w:trPr>
        <w:tc>
          <w:tcPr>
            <w:tcW w:w="4786" w:type="dxa"/>
            <w:gridSpan w:val="2"/>
            <w:shd w:val="clear" w:color="auto" w:fill="auto"/>
            <w:noWrap/>
            <w:vAlign w:val="bottom"/>
          </w:tcPr>
          <w:p w14:paraId="7C23D7BF" w14:textId="77777777" w:rsidR="00C65967" w:rsidRPr="00DE74D1" w:rsidRDefault="00C65967">
            <w:pPr>
              <w:rPr>
                <w:sz w:val="22"/>
                <w:szCs w:val="22"/>
                <w:lang w:eastAsia="en-GB"/>
              </w:rPr>
            </w:pPr>
          </w:p>
        </w:tc>
        <w:tc>
          <w:tcPr>
            <w:tcW w:w="1593" w:type="dxa"/>
            <w:vAlign w:val="center"/>
          </w:tcPr>
          <w:p w14:paraId="0618A769" w14:textId="77777777" w:rsidR="00C65967" w:rsidRPr="00DE74D1" w:rsidRDefault="00C65967">
            <w:pPr>
              <w:jc w:val="right"/>
              <w:rPr>
                <w:b/>
                <w:bCs/>
                <w:sz w:val="22"/>
                <w:szCs w:val="22"/>
                <w:lang w:eastAsia="en-GB"/>
              </w:rPr>
            </w:pPr>
          </w:p>
        </w:tc>
        <w:tc>
          <w:tcPr>
            <w:tcW w:w="1134" w:type="dxa"/>
            <w:vAlign w:val="center"/>
          </w:tcPr>
          <w:p w14:paraId="7ADB25B5" w14:textId="77777777" w:rsidR="00C65967" w:rsidRPr="00DE74D1" w:rsidRDefault="00C65967">
            <w:pPr>
              <w:jc w:val="right"/>
              <w:rPr>
                <w:b/>
                <w:bCs/>
                <w:sz w:val="22"/>
                <w:szCs w:val="22"/>
                <w:lang w:eastAsia="en-GB"/>
              </w:rPr>
            </w:pPr>
            <w:r w:rsidRPr="00DE74D1">
              <w:rPr>
                <w:b/>
                <w:bCs/>
                <w:sz w:val="22"/>
                <w:szCs w:val="22"/>
                <w:lang w:eastAsia="en-GB"/>
              </w:rPr>
              <w:t>£’000</w:t>
            </w:r>
          </w:p>
        </w:tc>
        <w:tc>
          <w:tcPr>
            <w:tcW w:w="425" w:type="dxa"/>
            <w:vAlign w:val="center"/>
          </w:tcPr>
          <w:p w14:paraId="4442844B" w14:textId="77777777" w:rsidR="00C65967" w:rsidRPr="00DE74D1" w:rsidRDefault="00C65967">
            <w:pPr>
              <w:jc w:val="right"/>
              <w:rPr>
                <w:b/>
                <w:bCs/>
                <w:sz w:val="22"/>
                <w:szCs w:val="22"/>
                <w:lang w:eastAsia="en-GB"/>
              </w:rPr>
            </w:pPr>
          </w:p>
        </w:tc>
        <w:tc>
          <w:tcPr>
            <w:tcW w:w="993" w:type="dxa"/>
            <w:vAlign w:val="center"/>
          </w:tcPr>
          <w:p w14:paraId="46DA0EAE" w14:textId="77777777" w:rsidR="00C65967" w:rsidRPr="00DE74D1" w:rsidRDefault="00C65967">
            <w:pPr>
              <w:jc w:val="right"/>
              <w:rPr>
                <w:b/>
                <w:bCs/>
                <w:sz w:val="22"/>
                <w:szCs w:val="22"/>
                <w:lang w:eastAsia="en-GB"/>
              </w:rPr>
            </w:pPr>
            <w:r w:rsidRPr="00DE74D1">
              <w:rPr>
                <w:b/>
                <w:bCs/>
                <w:sz w:val="22"/>
                <w:szCs w:val="22"/>
                <w:lang w:eastAsia="en-GB"/>
              </w:rPr>
              <w:t>£’000</w:t>
            </w:r>
          </w:p>
        </w:tc>
      </w:tr>
      <w:tr w:rsidR="00DE74D1" w:rsidRPr="00DE74D1" w14:paraId="17350C43" w14:textId="77777777">
        <w:trPr>
          <w:trHeight w:val="307"/>
        </w:trPr>
        <w:tc>
          <w:tcPr>
            <w:tcW w:w="4786" w:type="dxa"/>
            <w:gridSpan w:val="2"/>
            <w:shd w:val="clear" w:color="auto" w:fill="auto"/>
            <w:noWrap/>
            <w:hideMark/>
          </w:tcPr>
          <w:p w14:paraId="51D459E6" w14:textId="3A5835DC" w:rsidR="00C65967" w:rsidRPr="00DE74D1" w:rsidRDefault="00877B1C">
            <w:pPr>
              <w:rPr>
                <w:sz w:val="22"/>
                <w:szCs w:val="22"/>
                <w:lang w:eastAsia="en-GB"/>
              </w:rPr>
            </w:pPr>
            <w:r>
              <w:rPr>
                <w:sz w:val="22"/>
                <w:szCs w:val="22"/>
              </w:rPr>
              <w:t>Net proceeds from disposal of fixed asset</w:t>
            </w:r>
          </w:p>
        </w:tc>
        <w:tc>
          <w:tcPr>
            <w:tcW w:w="1593" w:type="dxa"/>
            <w:vAlign w:val="center"/>
          </w:tcPr>
          <w:p w14:paraId="5A89ACC3" w14:textId="77777777" w:rsidR="00C65967" w:rsidRPr="00DE74D1" w:rsidRDefault="00C65967">
            <w:pPr>
              <w:jc w:val="right"/>
              <w:rPr>
                <w:sz w:val="22"/>
                <w:szCs w:val="22"/>
                <w:lang w:eastAsia="en-GB"/>
              </w:rPr>
            </w:pPr>
          </w:p>
        </w:tc>
        <w:tc>
          <w:tcPr>
            <w:tcW w:w="1134" w:type="dxa"/>
            <w:vAlign w:val="center"/>
          </w:tcPr>
          <w:p w14:paraId="6EB5975E" w14:textId="5ABC45F6" w:rsidR="00C65967" w:rsidRPr="00DE74D1" w:rsidRDefault="00E12D45">
            <w:pPr>
              <w:jc w:val="right"/>
              <w:rPr>
                <w:sz w:val="22"/>
                <w:szCs w:val="22"/>
                <w:lang w:eastAsia="en-GB"/>
              </w:rPr>
            </w:pPr>
            <w:r>
              <w:rPr>
                <w:sz w:val="22"/>
                <w:szCs w:val="22"/>
                <w:lang w:eastAsia="en-GB"/>
              </w:rPr>
              <w:t>6</w:t>
            </w:r>
            <w:r w:rsidR="00A67250">
              <w:rPr>
                <w:sz w:val="22"/>
                <w:szCs w:val="22"/>
                <w:lang w:eastAsia="en-GB"/>
              </w:rPr>
              <w:t>30</w:t>
            </w:r>
          </w:p>
        </w:tc>
        <w:tc>
          <w:tcPr>
            <w:tcW w:w="425" w:type="dxa"/>
            <w:vAlign w:val="center"/>
          </w:tcPr>
          <w:p w14:paraId="477CEBE2" w14:textId="77777777" w:rsidR="00C65967" w:rsidRPr="00DE74D1" w:rsidRDefault="00C65967">
            <w:pPr>
              <w:jc w:val="right"/>
              <w:rPr>
                <w:sz w:val="22"/>
                <w:szCs w:val="22"/>
                <w:lang w:eastAsia="en-GB"/>
              </w:rPr>
            </w:pPr>
          </w:p>
        </w:tc>
        <w:tc>
          <w:tcPr>
            <w:tcW w:w="993" w:type="dxa"/>
            <w:vAlign w:val="center"/>
          </w:tcPr>
          <w:p w14:paraId="1E7204F6" w14:textId="621B7AAF" w:rsidR="00C65967" w:rsidRPr="00DE74D1" w:rsidRDefault="0012083E">
            <w:pPr>
              <w:jc w:val="right"/>
              <w:rPr>
                <w:sz w:val="22"/>
                <w:szCs w:val="22"/>
                <w:lang w:eastAsia="en-GB"/>
              </w:rPr>
            </w:pPr>
            <w:r>
              <w:rPr>
                <w:sz w:val="22"/>
                <w:szCs w:val="22"/>
                <w:lang w:eastAsia="en-GB"/>
              </w:rPr>
              <w:t>-</w:t>
            </w:r>
          </w:p>
        </w:tc>
      </w:tr>
      <w:tr w:rsidR="00AF1DEB" w:rsidRPr="00DE74D1" w14:paraId="651CF651" w14:textId="77777777">
        <w:trPr>
          <w:trHeight w:val="307"/>
        </w:trPr>
        <w:tc>
          <w:tcPr>
            <w:tcW w:w="4786" w:type="dxa"/>
            <w:gridSpan w:val="2"/>
            <w:shd w:val="clear" w:color="auto" w:fill="auto"/>
            <w:noWrap/>
          </w:tcPr>
          <w:p w14:paraId="7AB3DD7E" w14:textId="7F7377AD" w:rsidR="00AF1DEB" w:rsidRDefault="00AF1DEB">
            <w:pPr>
              <w:rPr>
                <w:sz w:val="22"/>
                <w:szCs w:val="22"/>
              </w:rPr>
            </w:pPr>
            <w:r>
              <w:rPr>
                <w:sz w:val="22"/>
                <w:szCs w:val="22"/>
              </w:rPr>
              <w:t>Value of assets</w:t>
            </w:r>
            <w:r w:rsidR="00552CE8">
              <w:rPr>
                <w:sz w:val="22"/>
                <w:szCs w:val="22"/>
              </w:rPr>
              <w:t xml:space="preserve"> disposed</w:t>
            </w:r>
          </w:p>
        </w:tc>
        <w:tc>
          <w:tcPr>
            <w:tcW w:w="1593" w:type="dxa"/>
            <w:vAlign w:val="center"/>
          </w:tcPr>
          <w:p w14:paraId="614522F5" w14:textId="77777777" w:rsidR="00AF1DEB" w:rsidRPr="00DE74D1" w:rsidRDefault="00AF1DEB">
            <w:pPr>
              <w:jc w:val="right"/>
              <w:rPr>
                <w:sz w:val="22"/>
                <w:szCs w:val="22"/>
                <w:lang w:eastAsia="en-GB"/>
              </w:rPr>
            </w:pPr>
          </w:p>
        </w:tc>
        <w:tc>
          <w:tcPr>
            <w:tcW w:w="1134" w:type="dxa"/>
            <w:vAlign w:val="center"/>
          </w:tcPr>
          <w:p w14:paraId="345AF855" w14:textId="6A0C26A6" w:rsidR="00AF1DEB" w:rsidRDefault="00A67250">
            <w:pPr>
              <w:jc w:val="right"/>
              <w:rPr>
                <w:sz w:val="22"/>
                <w:szCs w:val="22"/>
                <w:lang w:eastAsia="en-GB"/>
              </w:rPr>
            </w:pPr>
            <w:r>
              <w:rPr>
                <w:sz w:val="22"/>
                <w:szCs w:val="22"/>
                <w:lang w:eastAsia="en-GB"/>
              </w:rPr>
              <w:t>(271)</w:t>
            </w:r>
          </w:p>
        </w:tc>
        <w:tc>
          <w:tcPr>
            <w:tcW w:w="425" w:type="dxa"/>
            <w:vAlign w:val="center"/>
          </w:tcPr>
          <w:p w14:paraId="20F59ADD" w14:textId="77777777" w:rsidR="00AF1DEB" w:rsidRPr="00DE74D1" w:rsidRDefault="00AF1DEB">
            <w:pPr>
              <w:jc w:val="right"/>
              <w:rPr>
                <w:sz w:val="22"/>
                <w:szCs w:val="22"/>
                <w:lang w:eastAsia="en-GB"/>
              </w:rPr>
            </w:pPr>
          </w:p>
        </w:tc>
        <w:tc>
          <w:tcPr>
            <w:tcW w:w="993" w:type="dxa"/>
            <w:vAlign w:val="center"/>
          </w:tcPr>
          <w:p w14:paraId="0942DCCA" w14:textId="73D6E375" w:rsidR="00AF1DEB" w:rsidRDefault="00E12D45">
            <w:pPr>
              <w:jc w:val="right"/>
              <w:rPr>
                <w:sz w:val="22"/>
                <w:szCs w:val="22"/>
                <w:lang w:eastAsia="en-GB"/>
              </w:rPr>
            </w:pPr>
            <w:r>
              <w:rPr>
                <w:sz w:val="22"/>
                <w:szCs w:val="22"/>
                <w:lang w:eastAsia="en-GB"/>
              </w:rPr>
              <w:t>-</w:t>
            </w:r>
          </w:p>
        </w:tc>
      </w:tr>
      <w:tr w:rsidR="00DE74D1" w:rsidRPr="00DE74D1" w14:paraId="412E50A1" w14:textId="77777777">
        <w:trPr>
          <w:trHeight w:val="307"/>
        </w:trPr>
        <w:tc>
          <w:tcPr>
            <w:tcW w:w="4786" w:type="dxa"/>
            <w:gridSpan w:val="2"/>
            <w:shd w:val="clear" w:color="auto" w:fill="auto"/>
            <w:noWrap/>
            <w:vAlign w:val="bottom"/>
          </w:tcPr>
          <w:p w14:paraId="69243756" w14:textId="124ACEE4" w:rsidR="00C65967" w:rsidRPr="00DE74D1" w:rsidRDefault="001D29F4">
            <w:pPr>
              <w:rPr>
                <w:sz w:val="22"/>
                <w:szCs w:val="22"/>
                <w:lang w:eastAsia="en-GB"/>
              </w:rPr>
            </w:pPr>
            <w:r>
              <w:rPr>
                <w:sz w:val="22"/>
                <w:szCs w:val="22"/>
                <w:lang w:eastAsia="en-GB"/>
              </w:rPr>
              <w:t xml:space="preserve">Gain on sale of </w:t>
            </w:r>
            <w:r w:rsidR="00D7542E">
              <w:rPr>
                <w:sz w:val="22"/>
                <w:szCs w:val="22"/>
                <w:lang w:eastAsia="en-GB"/>
              </w:rPr>
              <w:t>fixed assets</w:t>
            </w:r>
          </w:p>
        </w:tc>
        <w:tc>
          <w:tcPr>
            <w:tcW w:w="1593" w:type="dxa"/>
            <w:vAlign w:val="center"/>
          </w:tcPr>
          <w:p w14:paraId="2D6BC5A5" w14:textId="77777777" w:rsidR="00C65967" w:rsidRPr="00DE74D1" w:rsidRDefault="00C65967">
            <w:pPr>
              <w:jc w:val="right"/>
              <w:rPr>
                <w:sz w:val="22"/>
                <w:szCs w:val="22"/>
                <w:lang w:eastAsia="en-GB"/>
              </w:rPr>
            </w:pPr>
          </w:p>
        </w:tc>
        <w:tc>
          <w:tcPr>
            <w:tcW w:w="1134" w:type="dxa"/>
            <w:tcBorders>
              <w:top w:val="single" w:sz="4" w:space="0" w:color="auto"/>
              <w:bottom w:val="single" w:sz="4" w:space="0" w:color="auto"/>
            </w:tcBorders>
            <w:vAlign w:val="center"/>
          </w:tcPr>
          <w:p w14:paraId="1A8A17E5" w14:textId="0C8E5269" w:rsidR="00C65967" w:rsidRPr="00DE74D1" w:rsidRDefault="0051549B">
            <w:pPr>
              <w:jc w:val="right"/>
              <w:rPr>
                <w:sz w:val="22"/>
                <w:szCs w:val="22"/>
                <w:lang w:eastAsia="en-GB"/>
              </w:rPr>
            </w:pPr>
            <w:r>
              <w:rPr>
                <w:sz w:val="22"/>
                <w:szCs w:val="22"/>
                <w:lang w:eastAsia="en-GB"/>
              </w:rPr>
              <w:t>359</w:t>
            </w:r>
          </w:p>
        </w:tc>
        <w:tc>
          <w:tcPr>
            <w:tcW w:w="425" w:type="dxa"/>
            <w:vAlign w:val="center"/>
          </w:tcPr>
          <w:p w14:paraId="3EC37493" w14:textId="77777777" w:rsidR="00C65967" w:rsidRPr="00DE74D1" w:rsidRDefault="00C65967">
            <w:pPr>
              <w:jc w:val="right"/>
              <w:rPr>
                <w:sz w:val="22"/>
                <w:szCs w:val="22"/>
                <w:lang w:eastAsia="en-GB"/>
              </w:rPr>
            </w:pPr>
          </w:p>
        </w:tc>
        <w:tc>
          <w:tcPr>
            <w:tcW w:w="993" w:type="dxa"/>
            <w:tcBorders>
              <w:top w:val="single" w:sz="4" w:space="0" w:color="auto"/>
              <w:bottom w:val="single" w:sz="4" w:space="0" w:color="auto"/>
            </w:tcBorders>
            <w:vAlign w:val="center"/>
          </w:tcPr>
          <w:p w14:paraId="6B5BF0B5" w14:textId="4AA40336" w:rsidR="00C65967" w:rsidRPr="00DE74D1" w:rsidRDefault="0051549B">
            <w:pPr>
              <w:jc w:val="right"/>
              <w:rPr>
                <w:sz w:val="22"/>
                <w:szCs w:val="22"/>
                <w:lang w:eastAsia="en-GB"/>
              </w:rPr>
            </w:pPr>
            <w:r>
              <w:rPr>
                <w:sz w:val="22"/>
                <w:szCs w:val="22"/>
                <w:lang w:eastAsia="en-GB"/>
              </w:rPr>
              <w:t>-</w:t>
            </w:r>
          </w:p>
        </w:tc>
      </w:tr>
    </w:tbl>
    <w:p w14:paraId="2925A88F" w14:textId="77777777" w:rsidR="00F4000C" w:rsidRDefault="00F4000C" w:rsidP="00B14383">
      <w:pPr>
        <w:rPr>
          <w:bCs/>
          <w:sz w:val="22"/>
        </w:rPr>
      </w:pPr>
    </w:p>
    <w:p w14:paraId="6541CA01" w14:textId="77777777" w:rsidR="005B6496" w:rsidRDefault="005B6496" w:rsidP="00B14383">
      <w:pPr>
        <w:rPr>
          <w:b/>
          <w:sz w:val="22"/>
        </w:rPr>
      </w:pPr>
    </w:p>
    <w:p w14:paraId="5D7FFCC4" w14:textId="6D42CC3E" w:rsidR="00B14383" w:rsidRPr="0005492F" w:rsidRDefault="00AF5224" w:rsidP="00B14383">
      <w:pPr>
        <w:rPr>
          <w:b/>
          <w:sz w:val="22"/>
        </w:rPr>
      </w:pPr>
      <w:r>
        <w:rPr>
          <w:b/>
          <w:sz w:val="22"/>
        </w:rPr>
        <w:t>10</w:t>
      </w:r>
      <w:r w:rsidR="00B14383" w:rsidRPr="0005492F">
        <w:rPr>
          <w:b/>
          <w:sz w:val="22"/>
        </w:rPr>
        <w:t>.</w:t>
      </w:r>
      <w:r w:rsidR="00B14383" w:rsidRPr="0005492F">
        <w:rPr>
          <w:b/>
          <w:sz w:val="22"/>
        </w:rPr>
        <w:tab/>
        <w:t>Finance income</w:t>
      </w:r>
      <w:r w:rsidR="00B14383">
        <w:rPr>
          <w:b/>
          <w:sz w:val="22"/>
        </w:rPr>
        <w:t xml:space="preserve"> </w:t>
      </w:r>
    </w:p>
    <w:tbl>
      <w:tblPr>
        <w:tblpPr w:leftFromText="180" w:rightFromText="180" w:vertAnchor="text" w:horzAnchor="margin" w:tblpY="425"/>
        <w:tblW w:w="9072" w:type="dxa"/>
        <w:tblLook w:val="04A0" w:firstRow="1" w:lastRow="0" w:firstColumn="1" w:lastColumn="0" w:noHBand="0" w:noVBand="1"/>
      </w:tblPr>
      <w:tblGrid>
        <w:gridCol w:w="1276"/>
        <w:gridCol w:w="4203"/>
        <w:gridCol w:w="239"/>
        <w:gridCol w:w="1795"/>
        <w:gridCol w:w="425"/>
        <w:gridCol w:w="1134"/>
      </w:tblGrid>
      <w:tr w:rsidR="00B14383" w:rsidRPr="00840B04" w14:paraId="2778479A" w14:textId="77777777" w:rsidTr="009F5E2B">
        <w:trPr>
          <w:gridBefore w:val="1"/>
          <w:wBefore w:w="1276" w:type="dxa"/>
          <w:trHeight w:val="292"/>
        </w:trPr>
        <w:tc>
          <w:tcPr>
            <w:tcW w:w="4203" w:type="dxa"/>
            <w:shd w:val="clear" w:color="auto" w:fill="auto"/>
            <w:noWrap/>
            <w:vAlign w:val="bottom"/>
            <w:hideMark/>
          </w:tcPr>
          <w:p w14:paraId="1210DFF2" w14:textId="77777777" w:rsidR="00B14383" w:rsidRPr="00840B04" w:rsidRDefault="00B14383" w:rsidP="00FE5983">
            <w:pPr>
              <w:rPr>
                <w:sz w:val="22"/>
                <w:szCs w:val="22"/>
                <w:lang w:eastAsia="en-GB"/>
              </w:rPr>
            </w:pPr>
          </w:p>
        </w:tc>
        <w:tc>
          <w:tcPr>
            <w:tcW w:w="239" w:type="dxa"/>
            <w:vAlign w:val="center"/>
          </w:tcPr>
          <w:p w14:paraId="2C6BFA3E" w14:textId="77777777" w:rsidR="00B14383" w:rsidRPr="00840B04" w:rsidRDefault="00B14383" w:rsidP="00FE5983">
            <w:pPr>
              <w:jc w:val="right"/>
              <w:rPr>
                <w:b/>
                <w:bCs/>
                <w:sz w:val="22"/>
                <w:szCs w:val="22"/>
                <w:lang w:eastAsia="en-GB"/>
              </w:rPr>
            </w:pPr>
          </w:p>
        </w:tc>
        <w:tc>
          <w:tcPr>
            <w:tcW w:w="1795" w:type="dxa"/>
            <w:vAlign w:val="center"/>
          </w:tcPr>
          <w:p w14:paraId="456BE042" w14:textId="14F4976F" w:rsidR="00B14383" w:rsidRPr="00840B04" w:rsidRDefault="00B14383" w:rsidP="00FE5983">
            <w:pPr>
              <w:jc w:val="right"/>
              <w:rPr>
                <w:b/>
                <w:bCs/>
                <w:sz w:val="22"/>
                <w:szCs w:val="22"/>
                <w:lang w:eastAsia="en-GB"/>
              </w:rPr>
            </w:pPr>
            <w:r>
              <w:rPr>
                <w:b/>
                <w:bCs/>
                <w:sz w:val="22"/>
                <w:szCs w:val="22"/>
                <w:lang w:eastAsia="en-GB"/>
              </w:rPr>
              <w:t>202</w:t>
            </w:r>
            <w:r w:rsidR="000A06FA">
              <w:rPr>
                <w:b/>
                <w:bCs/>
                <w:sz w:val="22"/>
                <w:szCs w:val="22"/>
                <w:lang w:eastAsia="en-GB"/>
              </w:rPr>
              <w:t>4</w:t>
            </w:r>
          </w:p>
        </w:tc>
        <w:tc>
          <w:tcPr>
            <w:tcW w:w="425" w:type="dxa"/>
            <w:vAlign w:val="center"/>
          </w:tcPr>
          <w:p w14:paraId="5687259B" w14:textId="77777777" w:rsidR="00B14383" w:rsidRPr="00840B04" w:rsidRDefault="00B14383" w:rsidP="00FE5983">
            <w:pPr>
              <w:jc w:val="right"/>
              <w:rPr>
                <w:b/>
                <w:bCs/>
                <w:sz w:val="22"/>
                <w:szCs w:val="22"/>
                <w:lang w:eastAsia="en-GB"/>
              </w:rPr>
            </w:pPr>
          </w:p>
        </w:tc>
        <w:tc>
          <w:tcPr>
            <w:tcW w:w="1134" w:type="dxa"/>
            <w:vAlign w:val="center"/>
          </w:tcPr>
          <w:p w14:paraId="19BA9F27" w14:textId="03AB8F79" w:rsidR="00B14383" w:rsidRPr="00840B04" w:rsidRDefault="00B14383" w:rsidP="00FE5983">
            <w:pPr>
              <w:jc w:val="right"/>
              <w:rPr>
                <w:b/>
                <w:bCs/>
                <w:sz w:val="22"/>
                <w:szCs w:val="22"/>
                <w:lang w:eastAsia="en-GB"/>
              </w:rPr>
            </w:pPr>
            <w:r w:rsidRPr="00840B04">
              <w:rPr>
                <w:b/>
                <w:bCs/>
                <w:sz w:val="22"/>
                <w:szCs w:val="22"/>
                <w:lang w:eastAsia="en-GB"/>
              </w:rPr>
              <w:t>20</w:t>
            </w:r>
            <w:r>
              <w:rPr>
                <w:b/>
                <w:bCs/>
                <w:sz w:val="22"/>
                <w:szCs w:val="22"/>
                <w:lang w:eastAsia="en-GB"/>
              </w:rPr>
              <w:t>2</w:t>
            </w:r>
            <w:r w:rsidR="000A06FA">
              <w:rPr>
                <w:b/>
                <w:bCs/>
                <w:sz w:val="22"/>
                <w:szCs w:val="22"/>
                <w:lang w:eastAsia="en-GB"/>
              </w:rPr>
              <w:t>3</w:t>
            </w:r>
          </w:p>
        </w:tc>
      </w:tr>
      <w:tr w:rsidR="00B14383" w:rsidRPr="00840B04" w14:paraId="6C9617C8" w14:textId="77777777" w:rsidTr="009F5E2B">
        <w:trPr>
          <w:gridBefore w:val="1"/>
          <w:wBefore w:w="1276" w:type="dxa"/>
          <w:trHeight w:val="292"/>
        </w:trPr>
        <w:tc>
          <w:tcPr>
            <w:tcW w:w="4203" w:type="dxa"/>
            <w:shd w:val="clear" w:color="auto" w:fill="auto"/>
            <w:noWrap/>
            <w:vAlign w:val="bottom"/>
            <w:hideMark/>
          </w:tcPr>
          <w:p w14:paraId="4C5FADC5" w14:textId="77777777" w:rsidR="00B14383" w:rsidRPr="00840B04" w:rsidRDefault="00B14383" w:rsidP="00FE5983">
            <w:pPr>
              <w:rPr>
                <w:sz w:val="22"/>
                <w:szCs w:val="22"/>
                <w:lang w:eastAsia="en-GB"/>
              </w:rPr>
            </w:pPr>
          </w:p>
        </w:tc>
        <w:tc>
          <w:tcPr>
            <w:tcW w:w="239" w:type="dxa"/>
            <w:vAlign w:val="center"/>
          </w:tcPr>
          <w:p w14:paraId="0D9A3BB5" w14:textId="77777777" w:rsidR="00B14383" w:rsidRPr="00840B04" w:rsidRDefault="00B14383" w:rsidP="00FE5983">
            <w:pPr>
              <w:jc w:val="right"/>
              <w:rPr>
                <w:b/>
                <w:bCs/>
                <w:sz w:val="22"/>
                <w:szCs w:val="22"/>
                <w:lang w:eastAsia="en-GB"/>
              </w:rPr>
            </w:pPr>
          </w:p>
        </w:tc>
        <w:tc>
          <w:tcPr>
            <w:tcW w:w="1795" w:type="dxa"/>
            <w:vAlign w:val="center"/>
          </w:tcPr>
          <w:p w14:paraId="70F139C3" w14:textId="77777777" w:rsidR="00B14383" w:rsidRPr="00840B04" w:rsidRDefault="00B14383" w:rsidP="00FE5983">
            <w:pPr>
              <w:jc w:val="right"/>
              <w:rPr>
                <w:b/>
                <w:bCs/>
                <w:sz w:val="22"/>
                <w:szCs w:val="22"/>
                <w:lang w:eastAsia="en-GB"/>
              </w:rPr>
            </w:pPr>
            <w:r w:rsidRPr="00840B04">
              <w:rPr>
                <w:b/>
                <w:bCs/>
                <w:sz w:val="22"/>
                <w:szCs w:val="22"/>
                <w:lang w:eastAsia="en-GB"/>
              </w:rPr>
              <w:t>£’000</w:t>
            </w:r>
          </w:p>
        </w:tc>
        <w:tc>
          <w:tcPr>
            <w:tcW w:w="425" w:type="dxa"/>
            <w:vAlign w:val="center"/>
          </w:tcPr>
          <w:p w14:paraId="7141D1B7" w14:textId="77777777" w:rsidR="00B14383" w:rsidRPr="00840B04" w:rsidRDefault="00B14383" w:rsidP="00FE5983">
            <w:pPr>
              <w:jc w:val="right"/>
              <w:rPr>
                <w:b/>
                <w:bCs/>
                <w:sz w:val="22"/>
                <w:szCs w:val="22"/>
                <w:lang w:eastAsia="en-GB"/>
              </w:rPr>
            </w:pPr>
          </w:p>
        </w:tc>
        <w:tc>
          <w:tcPr>
            <w:tcW w:w="1134" w:type="dxa"/>
            <w:vAlign w:val="center"/>
          </w:tcPr>
          <w:p w14:paraId="05175EA2" w14:textId="77777777" w:rsidR="00B14383" w:rsidRPr="00840B04" w:rsidRDefault="00B14383" w:rsidP="00FE5983">
            <w:pPr>
              <w:jc w:val="right"/>
              <w:rPr>
                <w:b/>
                <w:bCs/>
                <w:sz w:val="22"/>
                <w:szCs w:val="22"/>
                <w:lang w:eastAsia="en-GB"/>
              </w:rPr>
            </w:pPr>
            <w:r w:rsidRPr="00840B04">
              <w:rPr>
                <w:b/>
                <w:bCs/>
                <w:sz w:val="22"/>
                <w:szCs w:val="22"/>
                <w:lang w:eastAsia="en-GB"/>
              </w:rPr>
              <w:t>£’000</w:t>
            </w:r>
          </w:p>
        </w:tc>
      </w:tr>
      <w:tr w:rsidR="00B14383" w:rsidRPr="00840B04" w14:paraId="2D26DED8" w14:textId="77777777" w:rsidTr="009F5E2B">
        <w:trPr>
          <w:trHeight w:val="292"/>
        </w:trPr>
        <w:tc>
          <w:tcPr>
            <w:tcW w:w="5479" w:type="dxa"/>
            <w:gridSpan w:val="2"/>
            <w:shd w:val="clear" w:color="auto" w:fill="auto"/>
            <w:noWrap/>
            <w:vAlign w:val="bottom"/>
            <w:hideMark/>
          </w:tcPr>
          <w:p w14:paraId="551B56EE" w14:textId="77777777" w:rsidR="00B14383" w:rsidRPr="00840B04" w:rsidRDefault="00B14383" w:rsidP="00FE5983">
            <w:pPr>
              <w:rPr>
                <w:sz w:val="22"/>
                <w:szCs w:val="22"/>
                <w:lang w:eastAsia="en-GB"/>
              </w:rPr>
            </w:pPr>
            <w:r>
              <w:rPr>
                <w:sz w:val="22"/>
                <w:szCs w:val="22"/>
                <w:lang w:eastAsia="en-GB"/>
              </w:rPr>
              <w:t>Bank interest receivable on deposits in the year</w:t>
            </w:r>
          </w:p>
        </w:tc>
        <w:tc>
          <w:tcPr>
            <w:tcW w:w="239" w:type="dxa"/>
            <w:vAlign w:val="center"/>
          </w:tcPr>
          <w:p w14:paraId="14E2CB4B" w14:textId="77777777" w:rsidR="00B14383" w:rsidRPr="00840B04" w:rsidRDefault="00B14383" w:rsidP="00FE5983">
            <w:pPr>
              <w:jc w:val="right"/>
              <w:rPr>
                <w:sz w:val="22"/>
                <w:szCs w:val="22"/>
                <w:lang w:eastAsia="en-GB"/>
              </w:rPr>
            </w:pPr>
          </w:p>
        </w:tc>
        <w:tc>
          <w:tcPr>
            <w:tcW w:w="1795" w:type="dxa"/>
            <w:vAlign w:val="center"/>
          </w:tcPr>
          <w:p w14:paraId="5B9DC620" w14:textId="77476794" w:rsidR="00B14383" w:rsidRPr="00BF4097" w:rsidRDefault="007E1B8F" w:rsidP="00FE5983">
            <w:pPr>
              <w:jc w:val="right"/>
              <w:rPr>
                <w:sz w:val="22"/>
                <w:szCs w:val="22"/>
                <w:lang w:eastAsia="en-GB"/>
              </w:rPr>
            </w:pPr>
            <w:r>
              <w:rPr>
                <w:sz w:val="22"/>
                <w:szCs w:val="22"/>
                <w:lang w:eastAsia="en-GB"/>
              </w:rPr>
              <w:t>188</w:t>
            </w:r>
          </w:p>
        </w:tc>
        <w:tc>
          <w:tcPr>
            <w:tcW w:w="425" w:type="dxa"/>
            <w:vAlign w:val="center"/>
          </w:tcPr>
          <w:p w14:paraId="4EC69736" w14:textId="77777777" w:rsidR="00B14383" w:rsidRPr="00840B04" w:rsidRDefault="00B14383" w:rsidP="00FE5983">
            <w:pPr>
              <w:jc w:val="right"/>
              <w:rPr>
                <w:sz w:val="22"/>
                <w:szCs w:val="22"/>
                <w:lang w:eastAsia="en-GB"/>
              </w:rPr>
            </w:pPr>
          </w:p>
        </w:tc>
        <w:tc>
          <w:tcPr>
            <w:tcW w:w="1134" w:type="dxa"/>
            <w:vAlign w:val="center"/>
          </w:tcPr>
          <w:p w14:paraId="33A3C770" w14:textId="6E41EDEA" w:rsidR="00B14383" w:rsidRPr="00840B04" w:rsidRDefault="000A06FA" w:rsidP="00FE5983">
            <w:pPr>
              <w:jc w:val="right"/>
              <w:rPr>
                <w:sz w:val="22"/>
                <w:szCs w:val="22"/>
                <w:lang w:eastAsia="en-GB"/>
              </w:rPr>
            </w:pPr>
            <w:r>
              <w:rPr>
                <w:sz w:val="22"/>
                <w:szCs w:val="22"/>
                <w:lang w:eastAsia="en-GB"/>
              </w:rPr>
              <w:t>22</w:t>
            </w:r>
          </w:p>
        </w:tc>
      </w:tr>
      <w:tr w:rsidR="00B14383" w:rsidRPr="00840B04" w14:paraId="74DDCC27" w14:textId="77777777" w:rsidTr="009F5E2B">
        <w:trPr>
          <w:gridBefore w:val="1"/>
          <w:wBefore w:w="1276" w:type="dxa"/>
          <w:trHeight w:val="391"/>
        </w:trPr>
        <w:tc>
          <w:tcPr>
            <w:tcW w:w="4203" w:type="dxa"/>
            <w:shd w:val="clear" w:color="auto" w:fill="auto"/>
            <w:noWrap/>
            <w:vAlign w:val="bottom"/>
          </w:tcPr>
          <w:p w14:paraId="473FBF10" w14:textId="77777777" w:rsidR="00B14383" w:rsidRPr="00840B04" w:rsidRDefault="00B14383" w:rsidP="00FE5983">
            <w:pPr>
              <w:rPr>
                <w:sz w:val="22"/>
                <w:szCs w:val="22"/>
                <w:lang w:eastAsia="en-GB"/>
              </w:rPr>
            </w:pPr>
          </w:p>
        </w:tc>
        <w:tc>
          <w:tcPr>
            <w:tcW w:w="239" w:type="dxa"/>
            <w:vAlign w:val="center"/>
          </w:tcPr>
          <w:p w14:paraId="7391A44C" w14:textId="77777777" w:rsidR="00B14383" w:rsidRPr="00840B04" w:rsidRDefault="00B14383" w:rsidP="00FE5983">
            <w:pPr>
              <w:jc w:val="right"/>
              <w:rPr>
                <w:sz w:val="22"/>
                <w:szCs w:val="22"/>
                <w:lang w:eastAsia="en-GB"/>
              </w:rPr>
            </w:pPr>
          </w:p>
        </w:tc>
        <w:tc>
          <w:tcPr>
            <w:tcW w:w="1795" w:type="dxa"/>
            <w:tcBorders>
              <w:top w:val="single" w:sz="4" w:space="0" w:color="auto"/>
              <w:bottom w:val="single" w:sz="4" w:space="0" w:color="auto"/>
            </w:tcBorders>
            <w:vAlign w:val="center"/>
          </w:tcPr>
          <w:p w14:paraId="3558EF7F" w14:textId="29BB1EC2" w:rsidR="00B14383" w:rsidRPr="00BF4097" w:rsidRDefault="007E1B8F" w:rsidP="00FE5983">
            <w:pPr>
              <w:jc w:val="right"/>
              <w:rPr>
                <w:sz w:val="22"/>
                <w:szCs w:val="22"/>
                <w:lang w:eastAsia="en-GB"/>
              </w:rPr>
            </w:pPr>
            <w:r>
              <w:rPr>
                <w:sz w:val="22"/>
                <w:szCs w:val="22"/>
                <w:lang w:eastAsia="en-GB"/>
              </w:rPr>
              <w:t>188</w:t>
            </w:r>
          </w:p>
        </w:tc>
        <w:tc>
          <w:tcPr>
            <w:tcW w:w="425" w:type="dxa"/>
            <w:vAlign w:val="center"/>
          </w:tcPr>
          <w:p w14:paraId="2FE8A697" w14:textId="77777777" w:rsidR="00B14383" w:rsidRPr="00840B04" w:rsidRDefault="00B14383" w:rsidP="00FE5983">
            <w:pPr>
              <w:jc w:val="right"/>
              <w:rPr>
                <w:sz w:val="22"/>
                <w:szCs w:val="22"/>
                <w:lang w:eastAsia="en-GB"/>
              </w:rPr>
            </w:pPr>
          </w:p>
        </w:tc>
        <w:tc>
          <w:tcPr>
            <w:tcW w:w="1134" w:type="dxa"/>
            <w:tcBorders>
              <w:top w:val="single" w:sz="4" w:space="0" w:color="auto"/>
              <w:bottom w:val="single" w:sz="4" w:space="0" w:color="auto"/>
            </w:tcBorders>
            <w:vAlign w:val="center"/>
          </w:tcPr>
          <w:p w14:paraId="0B4BC554" w14:textId="1837BF6C" w:rsidR="00B14383" w:rsidRPr="00840B04" w:rsidRDefault="000A06FA" w:rsidP="00FE5983">
            <w:pPr>
              <w:jc w:val="right"/>
              <w:rPr>
                <w:sz w:val="22"/>
                <w:szCs w:val="22"/>
                <w:lang w:eastAsia="en-GB"/>
              </w:rPr>
            </w:pPr>
            <w:r>
              <w:rPr>
                <w:sz w:val="22"/>
                <w:szCs w:val="22"/>
                <w:lang w:eastAsia="en-GB"/>
              </w:rPr>
              <w:t>22</w:t>
            </w:r>
          </w:p>
        </w:tc>
      </w:tr>
    </w:tbl>
    <w:p w14:paraId="40CAA79A" w14:textId="77777777" w:rsidR="00523E3D" w:rsidRPr="00C94532" w:rsidRDefault="00523E3D" w:rsidP="00523E3D">
      <w:pPr>
        <w:jc w:val="both"/>
        <w:rPr>
          <w:sz w:val="22"/>
          <w:szCs w:val="22"/>
          <w:highlight w:val="yellow"/>
        </w:rPr>
      </w:pPr>
    </w:p>
    <w:p w14:paraId="2A8FDDA6" w14:textId="0C9A91E1" w:rsidR="00A13F81" w:rsidRDefault="00A13F81">
      <w:pPr>
        <w:rPr>
          <w:b/>
          <w:sz w:val="22"/>
        </w:rPr>
      </w:pPr>
      <w:r>
        <w:rPr>
          <w:b/>
          <w:sz w:val="22"/>
        </w:rPr>
        <w:br w:type="page"/>
      </w:r>
    </w:p>
    <w:p w14:paraId="4F75F7CD" w14:textId="2509F852" w:rsidR="00E04439" w:rsidRPr="004B4BD1" w:rsidRDefault="00E04439" w:rsidP="00E04439">
      <w:pPr>
        <w:spacing w:line="276" w:lineRule="auto"/>
        <w:rPr>
          <w:b/>
          <w:bCs/>
          <w:sz w:val="22"/>
          <w:szCs w:val="22"/>
        </w:rPr>
      </w:pPr>
      <w:r w:rsidRPr="004B4BD1">
        <w:rPr>
          <w:b/>
          <w:bCs/>
          <w:sz w:val="22"/>
          <w:szCs w:val="22"/>
        </w:rPr>
        <w:lastRenderedPageBreak/>
        <w:t>NOTES TO THE FINANCIAL STATEMENTS FOR THE YEAR ENDED 31 MARCH 202</w:t>
      </w:r>
      <w:r w:rsidR="000A06FA">
        <w:rPr>
          <w:b/>
          <w:bCs/>
          <w:sz w:val="22"/>
          <w:szCs w:val="22"/>
        </w:rPr>
        <w:t>4</w:t>
      </w:r>
      <w:r w:rsidRPr="004B4BD1">
        <w:rPr>
          <w:b/>
          <w:bCs/>
          <w:sz w:val="22"/>
          <w:szCs w:val="22"/>
        </w:rPr>
        <w:t xml:space="preserve"> (continued)</w:t>
      </w:r>
    </w:p>
    <w:p w14:paraId="27202A8D" w14:textId="1A9EF6E3" w:rsidR="00F56360" w:rsidRDefault="00F56360" w:rsidP="0035698E">
      <w:pPr>
        <w:rPr>
          <w:b/>
          <w:sz w:val="22"/>
        </w:rPr>
      </w:pPr>
    </w:p>
    <w:p w14:paraId="180D2277" w14:textId="0ED304C1" w:rsidR="00DD4F53" w:rsidRPr="00840B04" w:rsidRDefault="004C7853" w:rsidP="0035698E">
      <w:pPr>
        <w:rPr>
          <w:b/>
          <w:sz w:val="22"/>
        </w:rPr>
      </w:pPr>
      <w:r w:rsidRPr="00840B04">
        <w:rPr>
          <w:b/>
          <w:sz w:val="22"/>
        </w:rPr>
        <w:t>1</w:t>
      </w:r>
      <w:r w:rsidR="00AF5224">
        <w:rPr>
          <w:b/>
          <w:sz w:val="22"/>
        </w:rPr>
        <w:t>1</w:t>
      </w:r>
      <w:r w:rsidR="00245F17" w:rsidRPr="00840B04">
        <w:rPr>
          <w:b/>
          <w:sz w:val="22"/>
        </w:rPr>
        <w:t>.</w:t>
      </w:r>
      <w:r w:rsidR="00245F17" w:rsidRPr="00840B04">
        <w:rPr>
          <w:b/>
          <w:sz w:val="22"/>
        </w:rPr>
        <w:tab/>
      </w:r>
      <w:r w:rsidR="00CF1773" w:rsidRPr="00840B04">
        <w:rPr>
          <w:b/>
          <w:sz w:val="22"/>
        </w:rPr>
        <w:t>Finance</w:t>
      </w:r>
      <w:r w:rsidR="00E36EF2" w:rsidRPr="00840B04">
        <w:rPr>
          <w:b/>
          <w:sz w:val="22"/>
        </w:rPr>
        <w:t xml:space="preserve"> </w:t>
      </w:r>
      <w:r w:rsidRPr="00840B04">
        <w:rPr>
          <w:b/>
          <w:sz w:val="22"/>
        </w:rPr>
        <w:t>charges</w:t>
      </w:r>
    </w:p>
    <w:tbl>
      <w:tblPr>
        <w:tblpPr w:leftFromText="180" w:rightFromText="180" w:vertAnchor="text" w:horzAnchor="margin" w:tblpY="383"/>
        <w:tblW w:w="8647" w:type="dxa"/>
        <w:tblLook w:val="04A0" w:firstRow="1" w:lastRow="0" w:firstColumn="1" w:lastColumn="0" w:noHBand="0" w:noVBand="1"/>
      </w:tblPr>
      <w:tblGrid>
        <w:gridCol w:w="5070"/>
        <w:gridCol w:w="742"/>
        <w:gridCol w:w="1134"/>
        <w:gridCol w:w="567"/>
        <w:gridCol w:w="1134"/>
      </w:tblGrid>
      <w:tr w:rsidR="00CF0E05" w:rsidRPr="00840B04" w14:paraId="0451A71A" w14:textId="77777777" w:rsidTr="004A21F5">
        <w:trPr>
          <w:trHeight w:val="292"/>
        </w:trPr>
        <w:tc>
          <w:tcPr>
            <w:tcW w:w="5070" w:type="dxa"/>
            <w:shd w:val="clear" w:color="auto" w:fill="auto"/>
            <w:noWrap/>
            <w:vAlign w:val="bottom"/>
            <w:hideMark/>
          </w:tcPr>
          <w:p w14:paraId="23D6F68E" w14:textId="77777777" w:rsidR="00CF0E05" w:rsidRPr="00840B04" w:rsidRDefault="00CF0E05" w:rsidP="00CF0E05">
            <w:pPr>
              <w:rPr>
                <w:sz w:val="22"/>
                <w:szCs w:val="22"/>
                <w:lang w:eastAsia="en-GB"/>
              </w:rPr>
            </w:pPr>
          </w:p>
        </w:tc>
        <w:tc>
          <w:tcPr>
            <w:tcW w:w="742" w:type="dxa"/>
            <w:vAlign w:val="center"/>
          </w:tcPr>
          <w:p w14:paraId="08BD7730" w14:textId="77777777" w:rsidR="00CF0E05" w:rsidRPr="00840B04" w:rsidRDefault="00CF0E05" w:rsidP="00CF0E05">
            <w:pPr>
              <w:jc w:val="right"/>
              <w:rPr>
                <w:b/>
                <w:bCs/>
                <w:sz w:val="22"/>
                <w:szCs w:val="22"/>
                <w:lang w:eastAsia="en-GB"/>
              </w:rPr>
            </w:pPr>
          </w:p>
        </w:tc>
        <w:tc>
          <w:tcPr>
            <w:tcW w:w="1134" w:type="dxa"/>
            <w:vAlign w:val="center"/>
          </w:tcPr>
          <w:p w14:paraId="6792187E" w14:textId="267B8BA3" w:rsidR="00CF0E05" w:rsidRPr="00840B04" w:rsidRDefault="00CF0E05" w:rsidP="00CF0E05">
            <w:pPr>
              <w:jc w:val="right"/>
              <w:rPr>
                <w:b/>
                <w:bCs/>
                <w:sz w:val="22"/>
                <w:szCs w:val="22"/>
                <w:lang w:eastAsia="en-GB"/>
              </w:rPr>
            </w:pPr>
            <w:r>
              <w:rPr>
                <w:b/>
                <w:bCs/>
                <w:sz w:val="22"/>
                <w:szCs w:val="22"/>
                <w:lang w:eastAsia="en-GB"/>
              </w:rPr>
              <w:t>202</w:t>
            </w:r>
            <w:r w:rsidR="000A06FA">
              <w:rPr>
                <w:b/>
                <w:bCs/>
                <w:sz w:val="22"/>
                <w:szCs w:val="22"/>
                <w:lang w:eastAsia="en-GB"/>
              </w:rPr>
              <w:t>4</w:t>
            </w:r>
          </w:p>
        </w:tc>
        <w:tc>
          <w:tcPr>
            <w:tcW w:w="567" w:type="dxa"/>
            <w:vAlign w:val="center"/>
          </w:tcPr>
          <w:p w14:paraId="6AC2927B" w14:textId="77777777" w:rsidR="00CF0E05" w:rsidRPr="00840B04" w:rsidRDefault="00CF0E05" w:rsidP="00CF0E05">
            <w:pPr>
              <w:jc w:val="right"/>
              <w:rPr>
                <w:b/>
                <w:bCs/>
                <w:sz w:val="22"/>
                <w:szCs w:val="22"/>
                <w:lang w:eastAsia="en-GB"/>
              </w:rPr>
            </w:pPr>
          </w:p>
        </w:tc>
        <w:tc>
          <w:tcPr>
            <w:tcW w:w="1134" w:type="dxa"/>
            <w:vAlign w:val="center"/>
          </w:tcPr>
          <w:p w14:paraId="457A6A6D" w14:textId="1FF9CD53" w:rsidR="00CF0E05" w:rsidRPr="00840B04" w:rsidRDefault="00CF0E05" w:rsidP="00CF0E05">
            <w:pPr>
              <w:jc w:val="right"/>
              <w:rPr>
                <w:b/>
                <w:bCs/>
                <w:sz w:val="22"/>
                <w:szCs w:val="22"/>
                <w:lang w:eastAsia="en-GB"/>
              </w:rPr>
            </w:pPr>
            <w:r>
              <w:rPr>
                <w:b/>
                <w:bCs/>
                <w:sz w:val="22"/>
                <w:szCs w:val="22"/>
                <w:lang w:eastAsia="en-GB"/>
              </w:rPr>
              <w:t>202</w:t>
            </w:r>
            <w:r w:rsidR="000A06FA">
              <w:rPr>
                <w:b/>
                <w:bCs/>
                <w:sz w:val="22"/>
                <w:szCs w:val="22"/>
                <w:lang w:eastAsia="en-GB"/>
              </w:rPr>
              <w:t>3</w:t>
            </w:r>
          </w:p>
        </w:tc>
      </w:tr>
      <w:tr w:rsidR="00CF0E05" w:rsidRPr="00840B04" w14:paraId="0DFBA6BE" w14:textId="77777777" w:rsidTr="004A21F5">
        <w:trPr>
          <w:trHeight w:val="292"/>
        </w:trPr>
        <w:tc>
          <w:tcPr>
            <w:tcW w:w="5070" w:type="dxa"/>
            <w:shd w:val="clear" w:color="auto" w:fill="auto"/>
            <w:noWrap/>
            <w:vAlign w:val="bottom"/>
            <w:hideMark/>
          </w:tcPr>
          <w:p w14:paraId="4B843935" w14:textId="77777777" w:rsidR="00CF0E05" w:rsidRPr="00840B04" w:rsidRDefault="00CF0E05" w:rsidP="00CF0E05">
            <w:pPr>
              <w:rPr>
                <w:sz w:val="22"/>
                <w:szCs w:val="22"/>
                <w:lang w:eastAsia="en-GB"/>
              </w:rPr>
            </w:pPr>
          </w:p>
        </w:tc>
        <w:tc>
          <w:tcPr>
            <w:tcW w:w="742" w:type="dxa"/>
            <w:vAlign w:val="center"/>
          </w:tcPr>
          <w:p w14:paraId="2A9378E7" w14:textId="77777777" w:rsidR="00CF0E05" w:rsidRPr="00840B04" w:rsidRDefault="00CF0E05" w:rsidP="00CF0E05">
            <w:pPr>
              <w:jc w:val="right"/>
              <w:rPr>
                <w:b/>
                <w:bCs/>
                <w:sz w:val="22"/>
                <w:szCs w:val="22"/>
                <w:lang w:eastAsia="en-GB"/>
              </w:rPr>
            </w:pPr>
          </w:p>
        </w:tc>
        <w:tc>
          <w:tcPr>
            <w:tcW w:w="1134" w:type="dxa"/>
            <w:vAlign w:val="center"/>
          </w:tcPr>
          <w:p w14:paraId="7691F6CE" w14:textId="77777777" w:rsidR="00CF0E05" w:rsidRPr="00840B04" w:rsidRDefault="00CF0E05" w:rsidP="00CF0E05">
            <w:pPr>
              <w:jc w:val="right"/>
              <w:rPr>
                <w:b/>
                <w:bCs/>
                <w:sz w:val="22"/>
                <w:szCs w:val="22"/>
                <w:lang w:eastAsia="en-GB"/>
              </w:rPr>
            </w:pPr>
            <w:r w:rsidRPr="00840B04">
              <w:rPr>
                <w:b/>
                <w:bCs/>
                <w:sz w:val="22"/>
                <w:szCs w:val="22"/>
                <w:lang w:eastAsia="en-GB"/>
              </w:rPr>
              <w:t>£’000</w:t>
            </w:r>
          </w:p>
        </w:tc>
        <w:tc>
          <w:tcPr>
            <w:tcW w:w="567" w:type="dxa"/>
            <w:vAlign w:val="center"/>
          </w:tcPr>
          <w:p w14:paraId="58B62236" w14:textId="77777777" w:rsidR="00CF0E05" w:rsidRPr="00840B04" w:rsidRDefault="00CF0E05" w:rsidP="00CF0E05">
            <w:pPr>
              <w:jc w:val="right"/>
              <w:rPr>
                <w:b/>
                <w:bCs/>
                <w:sz w:val="22"/>
                <w:szCs w:val="22"/>
                <w:lang w:eastAsia="en-GB"/>
              </w:rPr>
            </w:pPr>
          </w:p>
        </w:tc>
        <w:tc>
          <w:tcPr>
            <w:tcW w:w="1134" w:type="dxa"/>
            <w:vAlign w:val="center"/>
          </w:tcPr>
          <w:p w14:paraId="5E4B68AD" w14:textId="77777777" w:rsidR="00CF0E05" w:rsidRPr="00840B04" w:rsidRDefault="00CF0E05" w:rsidP="00CF0E05">
            <w:pPr>
              <w:jc w:val="right"/>
              <w:rPr>
                <w:b/>
                <w:bCs/>
                <w:sz w:val="22"/>
                <w:szCs w:val="22"/>
                <w:lang w:eastAsia="en-GB"/>
              </w:rPr>
            </w:pPr>
            <w:r w:rsidRPr="00840B04">
              <w:rPr>
                <w:b/>
                <w:bCs/>
                <w:sz w:val="22"/>
                <w:szCs w:val="22"/>
                <w:lang w:eastAsia="en-GB"/>
              </w:rPr>
              <w:t>£’000</w:t>
            </w:r>
          </w:p>
        </w:tc>
      </w:tr>
      <w:tr w:rsidR="000A06FA" w:rsidRPr="00840B04" w14:paraId="23C7E904" w14:textId="77777777" w:rsidTr="004A21F5">
        <w:trPr>
          <w:trHeight w:val="292"/>
        </w:trPr>
        <w:tc>
          <w:tcPr>
            <w:tcW w:w="5070" w:type="dxa"/>
            <w:shd w:val="clear" w:color="auto" w:fill="auto"/>
            <w:noWrap/>
            <w:vAlign w:val="bottom"/>
            <w:hideMark/>
          </w:tcPr>
          <w:p w14:paraId="0A387E19" w14:textId="77777777" w:rsidR="000A06FA" w:rsidRPr="00840B04" w:rsidRDefault="000A06FA" w:rsidP="000A06FA">
            <w:pPr>
              <w:rPr>
                <w:sz w:val="22"/>
                <w:szCs w:val="22"/>
                <w:lang w:eastAsia="en-GB"/>
              </w:rPr>
            </w:pPr>
            <w:r>
              <w:rPr>
                <w:sz w:val="22"/>
                <w:szCs w:val="22"/>
                <w:lang w:eastAsia="en-GB"/>
              </w:rPr>
              <w:t>Interest on loans</w:t>
            </w:r>
          </w:p>
        </w:tc>
        <w:tc>
          <w:tcPr>
            <w:tcW w:w="742" w:type="dxa"/>
            <w:vAlign w:val="center"/>
          </w:tcPr>
          <w:p w14:paraId="344A4BF7" w14:textId="77777777" w:rsidR="000A06FA" w:rsidRPr="00840B04" w:rsidRDefault="000A06FA" w:rsidP="000A06FA">
            <w:pPr>
              <w:jc w:val="right"/>
              <w:rPr>
                <w:sz w:val="22"/>
                <w:szCs w:val="22"/>
                <w:lang w:eastAsia="en-GB"/>
              </w:rPr>
            </w:pPr>
          </w:p>
        </w:tc>
        <w:tc>
          <w:tcPr>
            <w:tcW w:w="1134" w:type="dxa"/>
            <w:vAlign w:val="center"/>
          </w:tcPr>
          <w:p w14:paraId="21511621" w14:textId="6289BEBF" w:rsidR="000A06FA" w:rsidRPr="00747DFB" w:rsidRDefault="00B4556D" w:rsidP="000A06FA">
            <w:pPr>
              <w:jc w:val="right"/>
              <w:rPr>
                <w:sz w:val="22"/>
                <w:szCs w:val="22"/>
                <w:lang w:eastAsia="en-GB"/>
              </w:rPr>
            </w:pPr>
            <w:r>
              <w:rPr>
                <w:sz w:val="22"/>
                <w:szCs w:val="22"/>
                <w:lang w:eastAsia="en-GB"/>
              </w:rPr>
              <w:t>3,145</w:t>
            </w:r>
          </w:p>
        </w:tc>
        <w:tc>
          <w:tcPr>
            <w:tcW w:w="567" w:type="dxa"/>
            <w:vAlign w:val="center"/>
          </w:tcPr>
          <w:p w14:paraId="3ECAA9D5" w14:textId="77777777" w:rsidR="000A06FA" w:rsidRPr="00840B04" w:rsidRDefault="000A06FA" w:rsidP="000A06FA">
            <w:pPr>
              <w:jc w:val="right"/>
              <w:rPr>
                <w:sz w:val="22"/>
                <w:szCs w:val="22"/>
                <w:lang w:eastAsia="en-GB"/>
              </w:rPr>
            </w:pPr>
          </w:p>
        </w:tc>
        <w:tc>
          <w:tcPr>
            <w:tcW w:w="1134" w:type="dxa"/>
            <w:vAlign w:val="center"/>
          </w:tcPr>
          <w:p w14:paraId="7FE232E8" w14:textId="34B9129A" w:rsidR="000A06FA" w:rsidRPr="00840B04" w:rsidRDefault="000A06FA" w:rsidP="000A06FA">
            <w:pPr>
              <w:jc w:val="right"/>
              <w:rPr>
                <w:sz w:val="22"/>
                <w:szCs w:val="22"/>
                <w:lang w:eastAsia="en-GB"/>
              </w:rPr>
            </w:pPr>
            <w:r>
              <w:rPr>
                <w:sz w:val="22"/>
                <w:szCs w:val="22"/>
                <w:lang w:eastAsia="en-GB"/>
              </w:rPr>
              <w:t>2,732</w:t>
            </w:r>
          </w:p>
        </w:tc>
      </w:tr>
      <w:tr w:rsidR="000A06FA" w:rsidRPr="00840B04" w14:paraId="0773C131" w14:textId="77777777" w:rsidTr="004A21F5">
        <w:trPr>
          <w:trHeight w:val="292"/>
        </w:trPr>
        <w:tc>
          <w:tcPr>
            <w:tcW w:w="5070" w:type="dxa"/>
            <w:shd w:val="clear" w:color="auto" w:fill="auto"/>
            <w:noWrap/>
            <w:vAlign w:val="bottom"/>
          </w:tcPr>
          <w:p w14:paraId="08D72929" w14:textId="7D3B8D3E" w:rsidR="000A06FA" w:rsidRDefault="000A06FA" w:rsidP="000A06FA">
            <w:pPr>
              <w:rPr>
                <w:sz w:val="22"/>
                <w:szCs w:val="22"/>
                <w:lang w:eastAsia="en-GB"/>
              </w:rPr>
            </w:pPr>
            <w:r>
              <w:rPr>
                <w:sz w:val="22"/>
                <w:szCs w:val="22"/>
                <w:lang w:eastAsia="en-GB"/>
              </w:rPr>
              <w:t>Interest on intragroup loans</w:t>
            </w:r>
          </w:p>
        </w:tc>
        <w:tc>
          <w:tcPr>
            <w:tcW w:w="742" w:type="dxa"/>
            <w:vAlign w:val="center"/>
          </w:tcPr>
          <w:p w14:paraId="4152C337" w14:textId="77777777" w:rsidR="000A06FA" w:rsidRPr="00840B04" w:rsidRDefault="000A06FA" w:rsidP="000A06FA">
            <w:pPr>
              <w:jc w:val="right"/>
              <w:rPr>
                <w:sz w:val="22"/>
                <w:szCs w:val="22"/>
                <w:lang w:eastAsia="en-GB"/>
              </w:rPr>
            </w:pPr>
          </w:p>
        </w:tc>
        <w:tc>
          <w:tcPr>
            <w:tcW w:w="1134" w:type="dxa"/>
            <w:vAlign w:val="center"/>
          </w:tcPr>
          <w:p w14:paraId="1F17ED19" w14:textId="2DDDB6FF" w:rsidR="000A06FA" w:rsidRDefault="00B4556D" w:rsidP="000A06FA">
            <w:pPr>
              <w:jc w:val="right"/>
              <w:rPr>
                <w:sz w:val="22"/>
                <w:szCs w:val="22"/>
                <w:lang w:eastAsia="en-GB"/>
              </w:rPr>
            </w:pPr>
            <w:r>
              <w:rPr>
                <w:sz w:val="22"/>
                <w:szCs w:val="22"/>
                <w:lang w:eastAsia="en-GB"/>
              </w:rPr>
              <w:t>3,0</w:t>
            </w:r>
            <w:r w:rsidR="00136523">
              <w:rPr>
                <w:sz w:val="22"/>
                <w:szCs w:val="22"/>
                <w:lang w:eastAsia="en-GB"/>
              </w:rPr>
              <w:t>73</w:t>
            </w:r>
          </w:p>
        </w:tc>
        <w:tc>
          <w:tcPr>
            <w:tcW w:w="567" w:type="dxa"/>
            <w:vAlign w:val="center"/>
          </w:tcPr>
          <w:p w14:paraId="73EFA2EF" w14:textId="77777777" w:rsidR="000A06FA" w:rsidRPr="00840B04" w:rsidRDefault="000A06FA" w:rsidP="000A06FA">
            <w:pPr>
              <w:jc w:val="right"/>
              <w:rPr>
                <w:sz w:val="22"/>
                <w:szCs w:val="22"/>
                <w:lang w:eastAsia="en-GB"/>
              </w:rPr>
            </w:pPr>
          </w:p>
        </w:tc>
        <w:tc>
          <w:tcPr>
            <w:tcW w:w="1134" w:type="dxa"/>
            <w:vAlign w:val="center"/>
          </w:tcPr>
          <w:p w14:paraId="4B4A9645" w14:textId="41AEAF50" w:rsidR="000A06FA" w:rsidRDefault="000A06FA" w:rsidP="000A06FA">
            <w:pPr>
              <w:jc w:val="right"/>
              <w:rPr>
                <w:sz w:val="22"/>
                <w:szCs w:val="22"/>
                <w:lang w:eastAsia="en-GB"/>
              </w:rPr>
            </w:pPr>
            <w:r>
              <w:rPr>
                <w:sz w:val="22"/>
                <w:szCs w:val="22"/>
                <w:lang w:eastAsia="en-GB"/>
              </w:rPr>
              <w:t>2,509</w:t>
            </w:r>
          </w:p>
        </w:tc>
      </w:tr>
      <w:tr w:rsidR="000A06FA" w:rsidRPr="00840B04" w14:paraId="38B236C9" w14:textId="77777777" w:rsidTr="004A21F5">
        <w:trPr>
          <w:trHeight w:val="292"/>
        </w:trPr>
        <w:tc>
          <w:tcPr>
            <w:tcW w:w="5070" w:type="dxa"/>
            <w:shd w:val="clear" w:color="auto" w:fill="auto"/>
            <w:noWrap/>
            <w:vAlign w:val="bottom"/>
          </w:tcPr>
          <w:p w14:paraId="4743064F" w14:textId="77777777" w:rsidR="000A06FA" w:rsidRDefault="000A06FA" w:rsidP="000A06FA">
            <w:pPr>
              <w:rPr>
                <w:sz w:val="22"/>
                <w:szCs w:val="22"/>
                <w:lang w:eastAsia="en-GB"/>
              </w:rPr>
            </w:pPr>
            <w:r>
              <w:rPr>
                <w:sz w:val="22"/>
                <w:szCs w:val="22"/>
                <w:lang w:eastAsia="en-GB"/>
              </w:rPr>
              <w:t>Amortisation of loan premium</w:t>
            </w:r>
          </w:p>
        </w:tc>
        <w:tc>
          <w:tcPr>
            <w:tcW w:w="742" w:type="dxa"/>
            <w:vAlign w:val="center"/>
          </w:tcPr>
          <w:p w14:paraId="7155E5F4" w14:textId="77777777" w:rsidR="000A06FA" w:rsidRPr="00840B04" w:rsidRDefault="000A06FA" w:rsidP="000A06FA">
            <w:pPr>
              <w:jc w:val="right"/>
              <w:rPr>
                <w:sz w:val="22"/>
                <w:szCs w:val="22"/>
                <w:lang w:eastAsia="en-GB"/>
              </w:rPr>
            </w:pPr>
          </w:p>
        </w:tc>
        <w:tc>
          <w:tcPr>
            <w:tcW w:w="1134" w:type="dxa"/>
            <w:vAlign w:val="center"/>
          </w:tcPr>
          <w:p w14:paraId="0763B901" w14:textId="18EF9C0A" w:rsidR="000A06FA" w:rsidRPr="00747DFB" w:rsidRDefault="00B4556D" w:rsidP="000A06FA">
            <w:pPr>
              <w:jc w:val="right"/>
              <w:rPr>
                <w:sz w:val="22"/>
                <w:szCs w:val="22"/>
                <w:lang w:eastAsia="en-GB"/>
              </w:rPr>
            </w:pPr>
            <w:r>
              <w:rPr>
                <w:sz w:val="22"/>
                <w:szCs w:val="22"/>
                <w:lang w:eastAsia="en-GB"/>
              </w:rPr>
              <w:t>(52)</w:t>
            </w:r>
          </w:p>
        </w:tc>
        <w:tc>
          <w:tcPr>
            <w:tcW w:w="567" w:type="dxa"/>
            <w:vAlign w:val="center"/>
          </w:tcPr>
          <w:p w14:paraId="17BD1C7B" w14:textId="77777777" w:rsidR="000A06FA" w:rsidRPr="00840B04" w:rsidRDefault="000A06FA" w:rsidP="000A06FA">
            <w:pPr>
              <w:jc w:val="right"/>
              <w:rPr>
                <w:sz w:val="22"/>
                <w:szCs w:val="22"/>
                <w:lang w:eastAsia="en-GB"/>
              </w:rPr>
            </w:pPr>
          </w:p>
        </w:tc>
        <w:tc>
          <w:tcPr>
            <w:tcW w:w="1134" w:type="dxa"/>
            <w:vAlign w:val="center"/>
          </w:tcPr>
          <w:p w14:paraId="4CFA483D" w14:textId="3D4DD4D9" w:rsidR="000A06FA" w:rsidRDefault="000A06FA" w:rsidP="000A06FA">
            <w:pPr>
              <w:jc w:val="right"/>
              <w:rPr>
                <w:sz w:val="22"/>
                <w:szCs w:val="22"/>
                <w:lang w:eastAsia="en-GB"/>
              </w:rPr>
            </w:pPr>
            <w:r>
              <w:rPr>
                <w:sz w:val="22"/>
                <w:szCs w:val="22"/>
                <w:lang w:eastAsia="en-GB"/>
              </w:rPr>
              <w:t>(52)</w:t>
            </w:r>
          </w:p>
        </w:tc>
      </w:tr>
      <w:tr w:rsidR="000A06FA" w:rsidRPr="00840B04" w14:paraId="6440E0D8" w14:textId="77777777" w:rsidTr="004A21F5">
        <w:trPr>
          <w:trHeight w:val="292"/>
        </w:trPr>
        <w:tc>
          <w:tcPr>
            <w:tcW w:w="5070" w:type="dxa"/>
            <w:shd w:val="clear" w:color="auto" w:fill="auto"/>
            <w:noWrap/>
            <w:vAlign w:val="bottom"/>
          </w:tcPr>
          <w:p w14:paraId="27EC82B4" w14:textId="77777777" w:rsidR="000A06FA" w:rsidRDefault="000A06FA" w:rsidP="000A06FA">
            <w:pPr>
              <w:rPr>
                <w:sz w:val="22"/>
                <w:szCs w:val="22"/>
                <w:lang w:eastAsia="en-GB"/>
              </w:rPr>
            </w:pPr>
            <w:r>
              <w:rPr>
                <w:sz w:val="22"/>
                <w:szCs w:val="22"/>
                <w:lang w:eastAsia="en-GB"/>
              </w:rPr>
              <w:t>Other financing costs</w:t>
            </w:r>
          </w:p>
        </w:tc>
        <w:tc>
          <w:tcPr>
            <w:tcW w:w="742" w:type="dxa"/>
            <w:vAlign w:val="center"/>
          </w:tcPr>
          <w:p w14:paraId="375F0A62" w14:textId="77777777" w:rsidR="000A06FA" w:rsidRPr="00840B04" w:rsidRDefault="000A06FA" w:rsidP="000A06FA">
            <w:pPr>
              <w:jc w:val="right"/>
              <w:rPr>
                <w:sz w:val="22"/>
                <w:szCs w:val="22"/>
                <w:lang w:eastAsia="en-GB"/>
              </w:rPr>
            </w:pPr>
          </w:p>
        </w:tc>
        <w:tc>
          <w:tcPr>
            <w:tcW w:w="1134" w:type="dxa"/>
            <w:vAlign w:val="center"/>
          </w:tcPr>
          <w:p w14:paraId="541E2705" w14:textId="3D4A1C1A" w:rsidR="000A06FA" w:rsidRPr="00747DFB" w:rsidRDefault="00B4556D" w:rsidP="000A06FA">
            <w:pPr>
              <w:jc w:val="right"/>
              <w:rPr>
                <w:sz w:val="22"/>
                <w:szCs w:val="22"/>
                <w:lang w:eastAsia="en-GB"/>
              </w:rPr>
            </w:pPr>
            <w:r>
              <w:rPr>
                <w:sz w:val="22"/>
                <w:szCs w:val="22"/>
                <w:lang w:eastAsia="en-GB"/>
              </w:rPr>
              <w:t>30</w:t>
            </w:r>
            <w:r w:rsidR="00EB62C4">
              <w:rPr>
                <w:sz w:val="22"/>
                <w:szCs w:val="22"/>
                <w:lang w:eastAsia="en-GB"/>
              </w:rPr>
              <w:t>7</w:t>
            </w:r>
          </w:p>
        </w:tc>
        <w:tc>
          <w:tcPr>
            <w:tcW w:w="567" w:type="dxa"/>
            <w:vAlign w:val="center"/>
          </w:tcPr>
          <w:p w14:paraId="23CBC75B" w14:textId="77777777" w:rsidR="000A06FA" w:rsidRPr="00840B04" w:rsidRDefault="000A06FA" w:rsidP="000A06FA">
            <w:pPr>
              <w:jc w:val="right"/>
              <w:rPr>
                <w:sz w:val="22"/>
                <w:szCs w:val="22"/>
                <w:lang w:eastAsia="en-GB"/>
              </w:rPr>
            </w:pPr>
          </w:p>
        </w:tc>
        <w:tc>
          <w:tcPr>
            <w:tcW w:w="1134" w:type="dxa"/>
            <w:vAlign w:val="center"/>
          </w:tcPr>
          <w:p w14:paraId="5BABAE0C" w14:textId="7B6024B4" w:rsidR="000A06FA" w:rsidRDefault="000A06FA" w:rsidP="000A06FA">
            <w:pPr>
              <w:jc w:val="right"/>
              <w:rPr>
                <w:sz w:val="22"/>
                <w:szCs w:val="22"/>
                <w:lang w:eastAsia="en-GB"/>
              </w:rPr>
            </w:pPr>
            <w:r>
              <w:rPr>
                <w:sz w:val="22"/>
                <w:szCs w:val="22"/>
                <w:lang w:eastAsia="en-GB"/>
              </w:rPr>
              <w:t>118</w:t>
            </w:r>
          </w:p>
        </w:tc>
      </w:tr>
      <w:tr w:rsidR="000A06FA" w:rsidRPr="00840B04" w14:paraId="2EC10334" w14:textId="77777777" w:rsidTr="004A21F5">
        <w:trPr>
          <w:trHeight w:val="391"/>
        </w:trPr>
        <w:tc>
          <w:tcPr>
            <w:tcW w:w="5070" w:type="dxa"/>
            <w:shd w:val="clear" w:color="auto" w:fill="auto"/>
            <w:noWrap/>
            <w:vAlign w:val="bottom"/>
          </w:tcPr>
          <w:p w14:paraId="101A7C4E" w14:textId="77777777" w:rsidR="000A06FA" w:rsidRPr="00840B04" w:rsidRDefault="000A06FA" w:rsidP="000A06FA">
            <w:pPr>
              <w:rPr>
                <w:sz w:val="22"/>
                <w:szCs w:val="22"/>
                <w:lang w:eastAsia="en-GB"/>
              </w:rPr>
            </w:pPr>
          </w:p>
        </w:tc>
        <w:tc>
          <w:tcPr>
            <w:tcW w:w="742" w:type="dxa"/>
            <w:vAlign w:val="center"/>
          </w:tcPr>
          <w:p w14:paraId="631F7E92" w14:textId="77777777" w:rsidR="000A06FA" w:rsidRPr="00840B04" w:rsidRDefault="000A06FA" w:rsidP="000A06FA">
            <w:pPr>
              <w:jc w:val="right"/>
              <w:rPr>
                <w:sz w:val="22"/>
                <w:szCs w:val="22"/>
                <w:lang w:eastAsia="en-GB"/>
              </w:rPr>
            </w:pPr>
          </w:p>
        </w:tc>
        <w:tc>
          <w:tcPr>
            <w:tcW w:w="1134" w:type="dxa"/>
            <w:tcBorders>
              <w:top w:val="single" w:sz="4" w:space="0" w:color="auto"/>
              <w:bottom w:val="single" w:sz="4" w:space="0" w:color="auto"/>
            </w:tcBorders>
            <w:shd w:val="clear" w:color="auto" w:fill="auto"/>
            <w:vAlign w:val="center"/>
          </w:tcPr>
          <w:p w14:paraId="4A4796C2" w14:textId="34853B2E" w:rsidR="000A06FA" w:rsidRPr="00D40838" w:rsidRDefault="00480270" w:rsidP="000A06FA">
            <w:pPr>
              <w:jc w:val="right"/>
              <w:rPr>
                <w:sz w:val="22"/>
                <w:szCs w:val="22"/>
                <w:lang w:eastAsia="en-GB"/>
              </w:rPr>
            </w:pPr>
            <w:r>
              <w:rPr>
                <w:sz w:val="22"/>
                <w:szCs w:val="22"/>
                <w:lang w:eastAsia="en-GB"/>
              </w:rPr>
              <w:t>6,4</w:t>
            </w:r>
            <w:r w:rsidR="00C43872">
              <w:rPr>
                <w:sz w:val="22"/>
                <w:szCs w:val="22"/>
                <w:lang w:eastAsia="en-GB"/>
              </w:rPr>
              <w:t>73</w:t>
            </w:r>
          </w:p>
        </w:tc>
        <w:tc>
          <w:tcPr>
            <w:tcW w:w="567" w:type="dxa"/>
            <w:vAlign w:val="center"/>
          </w:tcPr>
          <w:p w14:paraId="376F63A6" w14:textId="77777777" w:rsidR="000A06FA" w:rsidRPr="00D40838" w:rsidRDefault="000A06FA" w:rsidP="000A06FA">
            <w:pPr>
              <w:jc w:val="right"/>
              <w:rPr>
                <w:sz w:val="22"/>
                <w:szCs w:val="22"/>
                <w:lang w:eastAsia="en-GB"/>
              </w:rPr>
            </w:pPr>
          </w:p>
        </w:tc>
        <w:tc>
          <w:tcPr>
            <w:tcW w:w="1134" w:type="dxa"/>
            <w:tcBorders>
              <w:top w:val="single" w:sz="4" w:space="0" w:color="auto"/>
              <w:bottom w:val="single" w:sz="4" w:space="0" w:color="auto"/>
            </w:tcBorders>
            <w:vAlign w:val="center"/>
          </w:tcPr>
          <w:p w14:paraId="474EA29C" w14:textId="180ED6CF" w:rsidR="000A06FA" w:rsidRPr="00840B04" w:rsidRDefault="000A06FA" w:rsidP="000A06FA">
            <w:pPr>
              <w:jc w:val="right"/>
              <w:rPr>
                <w:sz w:val="22"/>
                <w:szCs w:val="22"/>
                <w:lang w:eastAsia="en-GB"/>
              </w:rPr>
            </w:pPr>
            <w:r>
              <w:rPr>
                <w:sz w:val="22"/>
                <w:szCs w:val="22"/>
                <w:lang w:eastAsia="en-GB"/>
              </w:rPr>
              <w:t>5,307</w:t>
            </w:r>
          </w:p>
        </w:tc>
      </w:tr>
    </w:tbl>
    <w:p w14:paraId="20BBDE5C" w14:textId="77777777" w:rsidR="00D415FC" w:rsidRPr="00840B04" w:rsidRDefault="00D415FC" w:rsidP="00C81860">
      <w:pPr>
        <w:spacing w:after="200" w:line="276" w:lineRule="auto"/>
        <w:rPr>
          <w:b/>
          <w:sz w:val="22"/>
        </w:rPr>
      </w:pPr>
    </w:p>
    <w:p w14:paraId="66BA6668" w14:textId="09C9BDD0" w:rsidR="00AC1308" w:rsidRDefault="004A21F5" w:rsidP="000A3A00">
      <w:pPr>
        <w:spacing w:after="200" w:line="276" w:lineRule="auto"/>
        <w:rPr>
          <w:b/>
          <w:bCs/>
        </w:rPr>
      </w:pPr>
      <w:r>
        <w:rPr>
          <w:b/>
          <w:sz w:val="22"/>
        </w:rPr>
        <w:br/>
      </w:r>
      <w:r>
        <w:rPr>
          <w:bCs/>
          <w:sz w:val="22"/>
        </w:rPr>
        <w:t>O</w:t>
      </w:r>
      <w:r w:rsidR="004A7398" w:rsidRPr="004A7398">
        <w:rPr>
          <w:bCs/>
          <w:sz w:val="22"/>
        </w:rPr>
        <w:t xml:space="preserve">ther financing costs include commitment, non-utilisation fees and the amortisation of transaction costs of the </w:t>
      </w:r>
      <w:r w:rsidR="00C50CE7">
        <w:rPr>
          <w:bCs/>
          <w:sz w:val="22"/>
        </w:rPr>
        <w:t>Company’s</w:t>
      </w:r>
      <w:r w:rsidR="004A7398" w:rsidRPr="004A7398">
        <w:rPr>
          <w:bCs/>
          <w:sz w:val="22"/>
        </w:rPr>
        <w:t xml:space="preserve"> funding arrangements.</w:t>
      </w:r>
    </w:p>
    <w:p w14:paraId="057B46C1" w14:textId="5080BB9E" w:rsidR="000A3A00" w:rsidRDefault="000A3A00">
      <w:pPr>
        <w:rPr>
          <w:b/>
          <w:bCs/>
          <w:sz w:val="22"/>
          <w:szCs w:val="22"/>
        </w:rPr>
      </w:pPr>
    </w:p>
    <w:p w14:paraId="5EE75696" w14:textId="05FDA494" w:rsidR="00C81860" w:rsidRPr="00840B04" w:rsidRDefault="00C81860" w:rsidP="00C81860">
      <w:pPr>
        <w:spacing w:after="200" w:line="276" w:lineRule="auto"/>
        <w:rPr>
          <w:b/>
          <w:sz w:val="22"/>
        </w:rPr>
      </w:pPr>
      <w:r w:rsidRPr="00840B04">
        <w:rPr>
          <w:b/>
          <w:sz w:val="22"/>
        </w:rPr>
        <w:t>1</w:t>
      </w:r>
      <w:r w:rsidR="00AF5224">
        <w:rPr>
          <w:b/>
          <w:sz w:val="22"/>
        </w:rPr>
        <w:t>2</w:t>
      </w:r>
      <w:r w:rsidRPr="00840B04">
        <w:rPr>
          <w:b/>
          <w:sz w:val="22"/>
        </w:rPr>
        <w:t>.</w:t>
      </w:r>
      <w:r w:rsidRPr="00840B04">
        <w:rPr>
          <w:b/>
          <w:sz w:val="22"/>
        </w:rPr>
        <w:tab/>
        <w:t xml:space="preserve"> Auditor</w:t>
      </w:r>
      <w:r w:rsidR="001D4C7F">
        <w:rPr>
          <w:b/>
          <w:sz w:val="22"/>
        </w:rPr>
        <w:t>’</w:t>
      </w:r>
      <w:r w:rsidRPr="00840B04">
        <w:rPr>
          <w:b/>
          <w:sz w:val="22"/>
        </w:rPr>
        <w:t xml:space="preserve">s </w:t>
      </w:r>
      <w:r w:rsidR="0097555D">
        <w:rPr>
          <w:b/>
          <w:sz w:val="22"/>
        </w:rPr>
        <w:t>remuneration</w:t>
      </w:r>
    </w:p>
    <w:tbl>
      <w:tblPr>
        <w:tblW w:w="9025" w:type="dxa"/>
        <w:tblLayout w:type="fixed"/>
        <w:tblLook w:val="04A0" w:firstRow="1" w:lastRow="0" w:firstColumn="1" w:lastColumn="0" w:noHBand="0" w:noVBand="1"/>
      </w:tblPr>
      <w:tblGrid>
        <w:gridCol w:w="1728"/>
        <w:gridCol w:w="2977"/>
        <w:gridCol w:w="1951"/>
        <w:gridCol w:w="148"/>
        <w:gridCol w:w="851"/>
        <w:gridCol w:w="283"/>
        <w:gridCol w:w="851"/>
        <w:gridCol w:w="236"/>
      </w:tblGrid>
      <w:tr w:rsidR="006546CF" w:rsidRPr="00840B04" w14:paraId="42ACC13F" w14:textId="77777777" w:rsidTr="00CB4839">
        <w:trPr>
          <w:trHeight w:val="320"/>
        </w:trPr>
        <w:tc>
          <w:tcPr>
            <w:tcW w:w="4705" w:type="dxa"/>
            <w:gridSpan w:val="2"/>
            <w:shd w:val="clear" w:color="auto" w:fill="auto"/>
            <w:noWrap/>
            <w:vAlign w:val="bottom"/>
          </w:tcPr>
          <w:p w14:paraId="6BF1A643" w14:textId="77777777" w:rsidR="006546CF" w:rsidRPr="00840B04" w:rsidRDefault="00C03B56" w:rsidP="00C81860">
            <w:pPr>
              <w:rPr>
                <w:sz w:val="22"/>
                <w:szCs w:val="22"/>
                <w:lang w:eastAsia="en-GB"/>
              </w:rPr>
            </w:pPr>
            <w:r>
              <w:rPr>
                <w:sz w:val="22"/>
                <w:szCs w:val="22"/>
                <w:lang w:eastAsia="en-GB"/>
              </w:rPr>
              <w:t xml:space="preserve">The remuneration of the </w:t>
            </w:r>
            <w:r w:rsidRPr="006D6C14">
              <w:rPr>
                <w:sz w:val="22"/>
                <w:szCs w:val="22"/>
                <w:lang w:eastAsia="en-GB"/>
              </w:rPr>
              <w:t>auditor</w:t>
            </w:r>
            <w:r w:rsidR="006546CF" w:rsidRPr="006D6C14">
              <w:rPr>
                <w:sz w:val="22"/>
                <w:szCs w:val="22"/>
                <w:lang w:eastAsia="en-GB"/>
              </w:rPr>
              <w:t xml:space="preserve"> (excluding VAT)</w:t>
            </w:r>
            <w:r w:rsidR="006546CF">
              <w:rPr>
                <w:sz w:val="22"/>
                <w:szCs w:val="22"/>
                <w:lang w:eastAsia="en-GB"/>
              </w:rPr>
              <w:t xml:space="preserve"> is as follows:</w:t>
            </w:r>
          </w:p>
        </w:tc>
        <w:tc>
          <w:tcPr>
            <w:tcW w:w="1951" w:type="dxa"/>
            <w:shd w:val="clear" w:color="auto" w:fill="auto"/>
            <w:noWrap/>
            <w:vAlign w:val="bottom"/>
          </w:tcPr>
          <w:p w14:paraId="30843627" w14:textId="77777777" w:rsidR="006546CF" w:rsidRPr="00840B04" w:rsidRDefault="006546CF" w:rsidP="00E42143">
            <w:pPr>
              <w:jc w:val="center"/>
              <w:rPr>
                <w:b/>
                <w:bCs/>
                <w:sz w:val="22"/>
                <w:szCs w:val="22"/>
                <w:lang w:eastAsia="en-GB"/>
              </w:rPr>
            </w:pPr>
          </w:p>
        </w:tc>
        <w:tc>
          <w:tcPr>
            <w:tcW w:w="2133" w:type="dxa"/>
            <w:gridSpan w:val="4"/>
          </w:tcPr>
          <w:p w14:paraId="5B1E3987" w14:textId="77777777" w:rsidR="006546CF" w:rsidRPr="00840B04" w:rsidRDefault="006546CF" w:rsidP="00E42143">
            <w:pPr>
              <w:jc w:val="center"/>
              <w:rPr>
                <w:b/>
                <w:bCs/>
                <w:sz w:val="22"/>
                <w:szCs w:val="22"/>
                <w:lang w:eastAsia="en-GB"/>
              </w:rPr>
            </w:pPr>
          </w:p>
        </w:tc>
        <w:tc>
          <w:tcPr>
            <w:tcW w:w="236" w:type="dxa"/>
            <w:vAlign w:val="bottom"/>
          </w:tcPr>
          <w:p w14:paraId="3191D533" w14:textId="77777777" w:rsidR="006546CF" w:rsidRPr="00840B04" w:rsidRDefault="006546CF" w:rsidP="00CB3A80">
            <w:pPr>
              <w:jc w:val="center"/>
              <w:rPr>
                <w:b/>
                <w:bCs/>
                <w:sz w:val="22"/>
                <w:szCs w:val="22"/>
                <w:lang w:eastAsia="en-GB"/>
              </w:rPr>
            </w:pPr>
          </w:p>
        </w:tc>
      </w:tr>
      <w:tr w:rsidR="00B92ADC" w:rsidRPr="00840B04" w14:paraId="664C7C4E" w14:textId="77777777" w:rsidTr="00CB4839">
        <w:trPr>
          <w:gridAfter w:val="1"/>
          <w:wAfter w:w="236" w:type="dxa"/>
          <w:trHeight w:val="320"/>
        </w:trPr>
        <w:tc>
          <w:tcPr>
            <w:tcW w:w="1728" w:type="dxa"/>
            <w:shd w:val="clear" w:color="auto" w:fill="auto"/>
            <w:noWrap/>
            <w:vAlign w:val="bottom"/>
            <w:hideMark/>
          </w:tcPr>
          <w:p w14:paraId="100FCE67" w14:textId="77777777" w:rsidR="00B92ADC" w:rsidRPr="00840B04" w:rsidRDefault="00B92ADC" w:rsidP="00C81860">
            <w:pPr>
              <w:rPr>
                <w:sz w:val="22"/>
                <w:szCs w:val="22"/>
                <w:lang w:eastAsia="en-GB"/>
              </w:rPr>
            </w:pPr>
          </w:p>
        </w:tc>
        <w:tc>
          <w:tcPr>
            <w:tcW w:w="2977" w:type="dxa"/>
            <w:shd w:val="clear" w:color="auto" w:fill="auto"/>
            <w:noWrap/>
            <w:vAlign w:val="bottom"/>
            <w:hideMark/>
          </w:tcPr>
          <w:p w14:paraId="496DF6B8" w14:textId="77777777" w:rsidR="00B92ADC" w:rsidRPr="00840B04" w:rsidRDefault="00B92ADC" w:rsidP="00C81860">
            <w:pPr>
              <w:rPr>
                <w:sz w:val="22"/>
                <w:szCs w:val="22"/>
                <w:lang w:eastAsia="en-GB"/>
              </w:rPr>
            </w:pPr>
          </w:p>
        </w:tc>
        <w:tc>
          <w:tcPr>
            <w:tcW w:w="2099" w:type="dxa"/>
            <w:gridSpan w:val="2"/>
            <w:vAlign w:val="center"/>
          </w:tcPr>
          <w:p w14:paraId="19283EF5" w14:textId="77777777" w:rsidR="00B92ADC" w:rsidRPr="00840B04" w:rsidRDefault="00B92ADC" w:rsidP="008A5CD5">
            <w:pPr>
              <w:jc w:val="right"/>
              <w:rPr>
                <w:b/>
                <w:bCs/>
                <w:sz w:val="22"/>
                <w:szCs w:val="22"/>
                <w:lang w:eastAsia="en-GB"/>
              </w:rPr>
            </w:pPr>
          </w:p>
        </w:tc>
        <w:tc>
          <w:tcPr>
            <w:tcW w:w="851" w:type="dxa"/>
            <w:vAlign w:val="center"/>
          </w:tcPr>
          <w:p w14:paraId="3803F8B9" w14:textId="5E1EDBED" w:rsidR="00B92ADC" w:rsidRPr="00840B04" w:rsidRDefault="00B92ADC" w:rsidP="00C97851">
            <w:pPr>
              <w:jc w:val="right"/>
              <w:rPr>
                <w:b/>
                <w:bCs/>
                <w:sz w:val="22"/>
                <w:szCs w:val="22"/>
                <w:lang w:eastAsia="en-GB"/>
              </w:rPr>
            </w:pPr>
            <w:r>
              <w:rPr>
                <w:b/>
                <w:bCs/>
                <w:sz w:val="22"/>
                <w:szCs w:val="22"/>
                <w:lang w:eastAsia="en-GB"/>
              </w:rPr>
              <w:t>202</w:t>
            </w:r>
            <w:r w:rsidR="004B2F41">
              <w:rPr>
                <w:b/>
                <w:bCs/>
                <w:sz w:val="22"/>
                <w:szCs w:val="22"/>
                <w:lang w:eastAsia="en-GB"/>
              </w:rPr>
              <w:t>4</w:t>
            </w:r>
          </w:p>
        </w:tc>
        <w:tc>
          <w:tcPr>
            <w:tcW w:w="283" w:type="dxa"/>
            <w:vAlign w:val="center"/>
          </w:tcPr>
          <w:p w14:paraId="0B69A222" w14:textId="77777777" w:rsidR="00B92ADC" w:rsidRPr="00840B04" w:rsidRDefault="00B92ADC" w:rsidP="008A5CD5">
            <w:pPr>
              <w:jc w:val="right"/>
              <w:rPr>
                <w:b/>
                <w:bCs/>
                <w:sz w:val="22"/>
                <w:szCs w:val="22"/>
                <w:lang w:eastAsia="en-GB"/>
              </w:rPr>
            </w:pPr>
          </w:p>
        </w:tc>
        <w:tc>
          <w:tcPr>
            <w:tcW w:w="851" w:type="dxa"/>
            <w:vAlign w:val="center"/>
          </w:tcPr>
          <w:p w14:paraId="6E7DAC6B" w14:textId="3E39F0AF" w:rsidR="00B92ADC" w:rsidRPr="00840B04" w:rsidRDefault="00B92ADC" w:rsidP="00C97851">
            <w:pPr>
              <w:jc w:val="right"/>
              <w:rPr>
                <w:b/>
                <w:bCs/>
                <w:sz w:val="22"/>
                <w:szCs w:val="22"/>
                <w:lang w:eastAsia="en-GB"/>
              </w:rPr>
            </w:pPr>
            <w:r>
              <w:rPr>
                <w:b/>
                <w:bCs/>
                <w:sz w:val="22"/>
                <w:szCs w:val="22"/>
                <w:lang w:eastAsia="en-GB"/>
              </w:rPr>
              <w:t>202</w:t>
            </w:r>
            <w:r w:rsidR="004B2F41">
              <w:rPr>
                <w:b/>
                <w:bCs/>
                <w:sz w:val="22"/>
                <w:szCs w:val="22"/>
                <w:lang w:eastAsia="en-GB"/>
              </w:rPr>
              <w:t>3</w:t>
            </w:r>
          </w:p>
        </w:tc>
      </w:tr>
      <w:tr w:rsidR="00B92ADC" w:rsidRPr="00840B04" w14:paraId="20FFB5F8" w14:textId="77777777" w:rsidTr="00CB4839">
        <w:trPr>
          <w:gridAfter w:val="1"/>
          <w:wAfter w:w="236" w:type="dxa"/>
          <w:trHeight w:val="320"/>
        </w:trPr>
        <w:tc>
          <w:tcPr>
            <w:tcW w:w="4705" w:type="dxa"/>
            <w:gridSpan w:val="2"/>
            <w:shd w:val="clear" w:color="auto" w:fill="auto"/>
            <w:noWrap/>
            <w:vAlign w:val="bottom"/>
          </w:tcPr>
          <w:p w14:paraId="1F49AADC" w14:textId="77777777" w:rsidR="00B92ADC" w:rsidRPr="00840B04" w:rsidRDefault="00B92ADC" w:rsidP="00C81860">
            <w:pPr>
              <w:rPr>
                <w:sz w:val="22"/>
                <w:szCs w:val="22"/>
                <w:lang w:eastAsia="en-GB"/>
              </w:rPr>
            </w:pPr>
          </w:p>
        </w:tc>
        <w:tc>
          <w:tcPr>
            <w:tcW w:w="2099" w:type="dxa"/>
            <w:gridSpan w:val="2"/>
            <w:vAlign w:val="center"/>
          </w:tcPr>
          <w:p w14:paraId="005C3648" w14:textId="77777777" w:rsidR="00B92ADC" w:rsidRPr="00840B04" w:rsidRDefault="00B92ADC" w:rsidP="008A5CD5">
            <w:pPr>
              <w:jc w:val="right"/>
              <w:rPr>
                <w:b/>
                <w:bCs/>
                <w:sz w:val="22"/>
                <w:szCs w:val="22"/>
                <w:lang w:eastAsia="en-GB"/>
              </w:rPr>
            </w:pPr>
          </w:p>
        </w:tc>
        <w:tc>
          <w:tcPr>
            <w:tcW w:w="851" w:type="dxa"/>
            <w:vAlign w:val="center"/>
          </w:tcPr>
          <w:p w14:paraId="6C9B2AD7" w14:textId="77777777" w:rsidR="00B92ADC" w:rsidRPr="00840B04" w:rsidRDefault="00B92ADC" w:rsidP="008A5CD5">
            <w:pPr>
              <w:jc w:val="right"/>
              <w:rPr>
                <w:b/>
                <w:bCs/>
                <w:sz w:val="22"/>
                <w:szCs w:val="22"/>
                <w:lang w:eastAsia="en-GB"/>
              </w:rPr>
            </w:pPr>
            <w:r w:rsidRPr="00840B04">
              <w:rPr>
                <w:b/>
                <w:bCs/>
                <w:sz w:val="22"/>
                <w:szCs w:val="22"/>
                <w:lang w:eastAsia="en-GB"/>
              </w:rPr>
              <w:t>£’000</w:t>
            </w:r>
          </w:p>
        </w:tc>
        <w:tc>
          <w:tcPr>
            <w:tcW w:w="283" w:type="dxa"/>
            <w:vAlign w:val="center"/>
          </w:tcPr>
          <w:p w14:paraId="17C76D46" w14:textId="77777777" w:rsidR="00B92ADC" w:rsidRPr="00840B04" w:rsidRDefault="00B92ADC" w:rsidP="008A5CD5">
            <w:pPr>
              <w:jc w:val="right"/>
              <w:rPr>
                <w:b/>
                <w:bCs/>
                <w:sz w:val="22"/>
                <w:szCs w:val="22"/>
                <w:lang w:eastAsia="en-GB"/>
              </w:rPr>
            </w:pPr>
          </w:p>
        </w:tc>
        <w:tc>
          <w:tcPr>
            <w:tcW w:w="851" w:type="dxa"/>
            <w:vAlign w:val="center"/>
          </w:tcPr>
          <w:p w14:paraId="58B7DF55" w14:textId="77777777" w:rsidR="00B92ADC" w:rsidRPr="00840B04" w:rsidRDefault="00B92ADC" w:rsidP="008A5CD5">
            <w:pPr>
              <w:jc w:val="right"/>
              <w:rPr>
                <w:b/>
                <w:bCs/>
                <w:sz w:val="22"/>
                <w:szCs w:val="22"/>
                <w:lang w:eastAsia="en-GB"/>
              </w:rPr>
            </w:pPr>
            <w:r w:rsidRPr="00840B04">
              <w:rPr>
                <w:b/>
                <w:bCs/>
                <w:sz w:val="22"/>
                <w:szCs w:val="22"/>
                <w:lang w:eastAsia="en-GB"/>
              </w:rPr>
              <w:t>£’000</w:t>
            </w:r>
          </w:p>
        </w:tc>
      </w:tr>
      <w:tr w:rsidR="004B2F41" w:rsidRPr="006D6C14" w14:paraId="2B5C7CD8" w14:textId="77777777" w:rsidTr="00CB4839">
        <w:trPr>
          <w:gridAfter w:val="1"/>
          <w:wAfter w:w="236" w:type="dxa"/>
          <w:trHeight w:val="320"/>
        </w:trPr>
        <w:tc>
          <w:tcPr>
            <w:tcW w:w="4705" w:type="dxa"/>
            <w:gridSpan w:val="2"/>
            <w:shd w:val="clear" w:color="auto" w:fill="auto"/>
            <w:noWrap/>
            <w:vAlign w:val="bottom"/>
            <w:hideMark/>
          </w:tcPr>
          <w:p w14:paraId="0CF4A8C3" w14:textId="77777777" w:rsidR="004B2F41" w:rsidRPr="006D6C14" w:rsidRDefault="004B2F41" w:rsidP="004B2F41">
            <w:pPr>
              <w:rPr>
                <w:sz w:val="22"/>
                <w:szCs w:val="22"/>
                <w:lang w:eastAsia="en-GB"/>
              </w:rPr>
            </w:pPr>
            <w:r w:rsidRPr="006D6C14">
              <w:rPr>
                <w:sz w:val="22"/>
                <w:szCs w:val="22"/>
                <w:lang w:eastAsia="en-GB"/>
              </w:rPr>
              <w:t>Audit of these financial statements</w:t>
            </w:r>
          </w:p>
        </w:tc>
        <w:tc>
          <w:tcPr>
            <w:tcW w:w="2099" w:type="dxa"/>
            <w:gridSpan w:val="2"/>
            <w:vAlign w:val="center"/>
          </w:tcPr>
          <w:p w14:paraId="7088EC13" w14:textId="77777777" w:rsidR="004B2F41" w:rsidRPr="006D6C14" w:rsidRDefault="004B2F41" w:rsidP="004B2F41">
            <w:pPr>
              <w:jc w:val="right"/>
              <w:rPr>
                <w:sz w:val="22"/>
                <w:szCs w:val="22"/>
                <w:lang w:eastAsia="en-GB"/>
              </w:rPr>
            </w:pPr>
          </w:p>
        </w:tc>
        <w:tc>
          <w:tcPr>
            <w:tcW w:w="851" w:type="dxa"/>
            <w:vAlign w:val="center"/>
          </w:tcPr>
          <w:p w14:paraId="4FD58585" w14:textId="79B7A9C6" w:rsidR="004B2F41" w:rsidRPr="006D6C14" w:rsidRDefault="007E1B8F" w:rsidP="004B2F41">
            <w:pPr>
              <w:jc w:val="right"/>
              <w:rPr>
                <w:sz w:val="22"/>
                <w:szCs w:val="22"/>
                <w:lang w:eastAsia="en-GB"/>
              </w:rPr>
            </w:pPr>
            <w:r>
              <w:rPr>
                <w:sz w:val="22"/>
                <w:szCs w:val="22"/>
                <w:lang w:eastAsia="en-GB"/>
              </w:rPr>
              <w:t>85</w:t>
            </w:r>
          </w:p>
        </w:tc>
        <w:tc>
          <w:tcPr>
            <w:tcW w:w="283" w:type="dxa"/>
            <w:vAlign w:val="center"/>
          </w:tcPr>
          <w:p w14:paraId="4D701974" w14:textId="77777777" w:rsidR="004B2F41" w:rsidRPr="006D6C14" w:rsidRDefault="004B2F41" w:rsidP="004B2F41">
            <w:pPr>
              <w:jc w:val="right"/>
              <w:rPr>
                <w:sz w:val="22"/>
                <w:szCs w:val="22"/>
                <w:lang w:eastAsia="en-GB"/>
              </w:rPr>
            </w:pPr>
          </w:p>
        </w:tc>
        <w:tc>
          <w:tcPr>
            <w:tcW w:w="851" w:type="dxa"/>
            <w:vAlign w:val="center"/>
          </w:tcPr>
          <w:p w14:paraId="608D64AF" w14:textId="3E9C54C7" w:rsidR="004B2F41" w:rsidRPr="006D6C14" w:rsidRDefault="004B2F41" w:rsidP="004B2F41">
            <w:pPr>
              <w:jc w:val="right"/>
              <w:rPr>
                <w:sz w:val="22"/>
                <w:szCs w:val="22"/>
                <w:lang w:eastAsia="en-GB"/>
              </w:rPr>
            </w:pPr>
            <w:r>
              <w:rPr>
                <w:sz w:val="22"/>
                <w:szCs w:val="22"/>
                <w:lang w:eastAsia="en-GB"/>
              </w:rPr>
              <w:t>85</w:t>
            </w:r>
          </w:p>
        </w:tc>
      </w:tr>
      <w:tr w:rsidR="004B2F41" w:rsidRPr="006D6C14" w14:paraId="50869D71" w14:textId="77777777" w:rsidTr="00CB4839">
        <w:trPr>
          <w:gridAfter w:val="1"/>
          <w:wAfter w:w="236" w:type="dxa"/>
          <w:trHeight w:val="320"/>
        </w:trPr>
        <w:tc>
          <w:tcPr>
            <w:tcW w:w="4705" w:type="dxa"/>
            <w:gridSpan w:val="2"/>
            <w:shd w:val="clear" w:color="auto" w:fill="auto"/>
            <w:noWrap/>
            <w:vAlign w:val="bottom"/>
          </w:tcPr>
          <w:p w14:paraId="162E3A32" w14:textId="77777777" w:rsidR="004B2F41" w:rsidRPr="006D6C14" w:rsidRDefault="004B2F41" w:rsidP="004B2F41">
            <w:pPr>
              <w:rPr>
                <w:sz w:val="22"/>
                <w:szCs w:val="22"/>
                <w:lang w:eastAsia="en-GB"/>
              </w:rPr>
            </w:pPr>
            <w:r w:rsidRPr="006D6C14">
              <w:rPr>
                <w:sz w:val="22"/>
                <w:szCs w:val="22"/>
                <w:lang w:eastAsia="en-GB"/>
              </w:rPr>
              <w:t>Other services</w:t>
            </w:r>
          </w:p>
        </w:tc>
        <w:tc>
          <w:tcPr>
            <w:tcW w:w="2099" w:type="dxa"/>
            <w:gridSpan w:val="2"/>
            <w:vAlign w:val="center"/>
          </w:tcPr>
          <w:p w14:paraId="74244960" w14:textId="77777777" w:rsidR="004B2F41" w:rsidRPr="006D6C14" w:rsidRDefault="004B2F41" w:rsidP="004B2F41">
            <w:pPr>
              <w:jc w:val="right"/>
              <w:rPr>
                <w:sz w:val="22"/>
                <w:szCs w:val="22"/>
                <w:lang w:eastAsia="en-GB"/>
              </w:rPr>
            </w:pPr>
          </w:p>
        </w:tc>
        <w:tc>
          <w:tcPr>
            <w:tcW w:w="851" w:type="dxa"/>
            <w:tcBorders>
              <w:bottom w:val="single" w:sz="4" w:space="0" w:color="auto"/>
            </w:tcBorders>
            <w:vAlign w:val="center"/>
          </w:tcPr>
          <w:p w14:paraId="2F1FEDC6" w14:textId="15F8FB8E" w:rsidR="004B2F41" w:rsidRPr="006D6C14" w:rsidRDefault="007E1B8F" w:rsidP="004B2F41">
            <w:pPr>
              <w:jc w:val="right"/>
              <w:rPr>
                <w:sz w:val="22"/>
                <w:szCs w:val="22"/>
                <w:lang w:eastAsia="en-GB"/>
              </w:rPr>
            </w:pPr>
            <w:r>
              <w:rPr>
                <w:sz w:val="22"/>
                <w:szCs w:val="22"/>
                <w:lang w:eastAsia="en-GB"/>
              </w:rPr>
              <w:t>-</w:t>
            </w:r>
          </w:p>
        </w:tc>
        <w:tc>
          <w:tcPr>
            <w:tcW w:w="283" w:type="dxa"/>
            <w:vAlign w:val="center"/>
          </w:tcPr>
          <w:p w14:paraId="76F18F2E" w14:textId="77777777" w:rsidR="004B2F41" w:rsidRPr="006D6C14" w:rsidRDefault="004B2F41" w:rsidP="004B2F41">
            <w:pPr>
              <w:jc w:val="right"/>
              <w:rPr>
                <w:sz w:val="22"/>
                <w:szCs w:val="22"/>
                <w:lang w:eastAsia="en-GB"/>
              </w:rPr>
            </w:pPr>
          </w:p>
        </w:tc>
        <w:tc>
          <w:tcPr>
            <w:tcW w:w="851" w:type="dxa"/>
            <w:tcBorders>
              <w:bottom w:val="single" w:sz="4" w:space="0" w:color="auto"/>
            </w:tcBorders>
            <w:vAlign w:val="center"/>
          </w:tcPr>
          <w:p w14:paraId="2C0ED824" w14:textId="0D2D01EA" w:rsidR="004B2F41" w:rsidRPr="006D6C14" w:rsidRDefault="004B2F41" w:rsidP="004B2F41">
            <w:pPr>
              <w:jc w:val="right"/>
              <w:rPr>
                <w:sz w:val="22"/>
                <w:szCs w:val="22"/>
                <w:lang w:eastAsia="en-GB"/>
              </w:rPr>
            </w:pPr>
            <w:r>
              <w:rPr>
                <w:sz w:val="22"/>
                <w:szCs w:val="22"/>
                <w:lang w:eastAsia="en-GB"/>
              </w:rPr>
              <w:t>-</w:t>
            </w:r>
          </w:p>
        </w:tc>
      </w:tr>
      <w:tr w:rsidR="004B2F41" w:rsidRPr="006D6C14" w14:paraId="3BEE9BDC" w14:textId="77777777" w:rsidTr="00CB4839">
        <w:trPr>
          <w:gridAfter w:val="1"/>
          <w:wAfter w:w="236" w:type="dxa"/>
          <w:trHeight w:val="320"/>
        </w:trPr>
        <w:tc>
          <w:tcPr>
            <w:tcW w:w="4705" w:type="dxa"/>
            <w:gridSpan w:val="2"/>
            <w:shd w:val="clear" w:color="auto" w:fill="auto"/>
            <w:noWrap/>
            <w:vAlign w:val="bottom"/>
          </w:tcPr>
          <w:p w14:paraId="5752D303" w14:textId="77777777" w:rsidR="004B2F41" w:rsidRPr="006D6C14" w:rsidRDefault="004B2F41" w:rsidP="004B2F41">
            <w:pPr>
              <w:rPr>
                <w:sz w:val="22"/>
                <w:szCs w:val="22"/>
                <w:lang w:eastAsia="en-GB"/>
              </w:rPr>
            </w:pPr>
          </w:p>
        </w:tc>
        <w:tc>
          <w:tcPr>
            <w:tcW w:w="2099" w:type="dxa"/>
            <w:gridSpan w:val="2"/>
            <w:vAlign w:val="center"/>
          </w:tcPr>
          <w:p w14:paraId="2F510460" w14:textId="77777777" w:rsidR="004B2F41" w:rsidRPr="006D6C14" w:rsidRDefault="004B2F41" w:rsidP="004B2F41">
            <w:pPr>
              <w:jc w:val="right"/>
              <w:rPr>
                <w:sz w:val="22"/>
                <w:szCs w:val="22"/>
                <w:lang w:eastAsia="en-GB"/>
              </w:rPr>
            </w:pPr>
          </w:p>
        </w:tc>
        <w:tc>
          <w:tcPr>
            <w:tcW w:w="851" w:type="dxa"/>
            <w:tcBorders>
              <w:top w:val="single" w:sz="4" w:space="0" w:color="auto"/>
              <w:bottom w:val="single" w:sz="4" w:space="0" w:color="auto"/>
            </w:tcBorders>
            <w:vAlign w:val="center"/>
          </w:tcPr>
          <w:p w14:paraId="5221A0AE" w14:textId="5B32D9ED" w:rsidR="004B2F41" w:rsidRPr="006D6C14" w:rsidRDefault="007E1B8F" w:rsidP="004B2F41">
            <w:pPr>
              <w:jc w:val="right"/>
              <w:rPr>
                <w:sz w:val="22"/>
                <w:szCs w:val="22"/>
                <w:lang w:eastAsia="en-GB"/>
              </w:rPr>
            </w:pPr>
            <w:r>
              <w:rPr>
                <w:sz w:val="22"/>
                <w:szCs w:val="22"/>
                <w:lang w:eastAsia="en-GB"/>
              </w:rPr>
              <w:t>85</w:t>
            </w:r>
          </w:p>
        </w:tc>
        <w:tc>
          <w:tcPr>
            <w:tcW w:w="283" w:type="dxa"/>
            <w:vAlign w:val="center"/>
          </w:tcPr>
          <w:p w14:paraId="6F1E09D3" w14:textId="77777777" w:rsidR="004B2F41" w:rsidRPr="006D6C14" w:rsidRDefault="004B2F41" w:rsidP="004B2F41">
            <w:pPr>
              <w:jc w:val="right"/>
              <w:rPr>
                <w:sz w:val="22"/>
                <w:szCs w:val="22"/>
                <w:lang w:eastAsia="en-GB"/>
              </w:rPr>
            </w:pPr>
          </w:p>
        </w:tc>
        <w:tc>
          <w:tcPr>
            <w:tcW w:w="851" w:type="dxa"/>
            <w:tcBorders>
              <w:top w:val="single" w:sz="4" w:space="0" w:color="auto"/>
              <w:bottom w:val="single" w:sz="4" w:space="0" w:color="auto"/>
            </w:tcBorders>
            <w:vAlign w:val="center"/>
          </w:tcPr>
          <w:p w14:paraId="6E6BE2F4" w14:textId="66C09FE5" w:rsidR="004B2F41" w:rsidRPr="006D6C14" w:rsidRDefault="004B2F41" w:rsidP="004B2F41">
            <w:pPr>
              <w:jc w:val="right"/>
              <w:rPr>
                <w:sz w:val="22"/>
                <w:szCs w:val="22"/>
                <w:lang w:eastAsia="en-GB"/>
              </w:rPr>
            </w:pPr>
            <w:r>
              <w:rPr>
                <w:sz w:val="22"/>
                <w:szCs w:val="22"/>
                <w:lang w:eastAsia="en-GB"/>
              </w:rPr>
              <w:t>85</w:t>
            </w:r>
          </w:p>
        </w:tc>
      </w:tr>
    </w:tbl>
    <w:p w14:paraId="18AF6E6A" w14:textId="77777777" w:rsidR="0096581A" w:rsidRDefault="0096581A" w:rsidP="00C81860">
      <w:pPr>
        <w:rPr>
          <w:b/>
          <w:sz w:val="22"/>
          <w:szCs w:val="22"/>
        </w:rPr>
      </w:pPr>
    </w:p>
    <w:p w14:paraId="7761189D" w14:textId="541137F8" w:rsidR="00B14383" w:rsidRPr="00AB7087" w:rsidRDefault="00B14383" w:rsidP="00B14383">
      <w:pPr>
        <w:rPr>
          <w:b/>
          <w:sz w:val="22"/>
          <w:szCs w:val="22"/>
        </w:rPr>
      </w:pPr>
      <w:r w:rsidRPr="00AB7087">
        <w:rPr>
          <w:b/>
          <w:sz w:val="22"/>
          <w:szCs w:val="22"/>
        </w:rPr>
        <w:t>1</w:t>
      </w:r>
      <w:r w:rsidR="00AF5224">
        <w:rPr>
          <w:b/>
          <w:sz w:val="22"/>
          <w:szCs w:val="22"/>
        </w:rPr>
        <w:t>3</w:t>
      </w:r>
      <w:r w:rsidRPr="00AB7087">
        <w:rPr>
          <w:b/>
          <w:sz w:val="22"/>
          <w:szCs w:val="22"/>
        </w:rPr>
        <w:t>.</w:t>
      </w:r>
      <w:r w:rsidRPr="00AB7087">
        <w:rPr>
          <w:b/>
          <w:sz w:val="22"/>
          <w:szCs w:val="22"/>
        </w:rPr>
        <w:tab/>
      </w:r>
      <w:r w:rsidRPr="00C1011B">
        <w:rPr>
          <w:b/>
          <w:sz w:val="22"/>
          <w:szCs w:val="22"/>
        </w:rPr>
        <w:t>Financial commitments</w:t>
      </w:r>
      <w:r w:rsidRPr="00AB7087">
        <w:rPr>
          <w:b/>
          <w:sz w:val="22"/>
          <w:szCs w:val="22"/>
        </w:rPr>
        <w:t xml:space="preserve"> </w:t>
      </w:r>
    </w:p>
    <w:p w14:paraId="62FA472E" w14:textId="77777777" w:rsidR="00B14383" w:rsidRPr="00AB7087" w:rsidRDefault="00B14383" w:rsidP="00B14383">
      <w:pPr>
        <w:rPr>
          <w:b/>
          <w:sz w:val="22"/>
          <w:szCs w:val="22"/>
        </w:rPr>
      </w:pPr>
    </w:p>
    <w:p w14:paraId="36898B33" w14:textId="77777777" w:rsidR="00B14383" w:rsidRPr="00AB7087" w:rsidRDefault="00B14383" w:rsidP="00B14383">
      <w:pPr>
        <w:pStyle w:val="BodyText"/>
        <w:rPr>
          <w:b/>
          <w:sz w:val="22"/>
        </w:rPr>
      </w:pPr>
      <w:r w:rsidRPr="00E817F0">
        <w:rPr>
          <w:b/>
          <w:sz w:val="22"/>
        </w:rPr>
        <w:t xml:space="preserve">Capital commitments </w:t>
      </w:r>
    </w:p>
    <w:p w14:paraId="55ADF50C" w14:textId="77777777" w:rsidR="00B14383" w:rsidRPr="00AB7087" w:rsidRDefault="00B14383" w:rsidP="00B14383">
      <w:pPr>
        <w:pStyle w:val="BodyText"/>
        <w:rPr>
          <w:b/>
          <w:sz w:val="22"/>
        </w:rPr>
      </w:pPr>
    </w:p>
    <w:p w14:paraId="0D9EBF2E" w14:textId="77777777" w:rsidR="00B14383" w:rsidRPr="00AB7087" w:rsidRDefault="00B14383" w:rsidP="00B14383">
      <w:pPr>
        <w:pStyle w:val="BodyText"/>
        <w:rPr>
          <w:sz w:val="22"/>
        </w:rPr>
      </w:pPr>
      <w:r w:rsidRPr="00AB7087">
        <w:rPr>
          <w:sz w:val="22"/>
        </w:rPr>
        <w:t>All capital commitments were as follows:</w:t>
      </w:r>
    </w:p>
    <w:tbl>
      <w:tblPr>
        <w:tblW w:w="8789" w:type="dxa"/>
        <w:tblLayout w:type="fixed"/>
        <w:tblCellMar>
          <w:left w:w="0" w:type="dxa"/>
          <w:right w:w="0" w:type="dxa"/>
        </w:tblCellMar>
        <w:tblLook w:val="0000" w:firstRow="0" w:lastRow="0" w:firstColumn="0" w:lastColumn="0" w:noHBand="0" w:noVBand="0"/>
      </w:tblPr>
      <w:tblGrid>
        <w:gridCol w:w="6804"/>
        <w:gridCol w:w="908"/>
        <w:gridCol w:w="425"/>
        <w:gridCol w:w="652"/>
      </w:tblGrid>
      <w:tr w:rsidR="00B14383" w:rsidRPr="00AB7087" w14:paraId="1383D549" w14:textId="77777777" w:rsidTr="00FE5983">
        <w:trPr>
          <w:cantSplit/>
          <w:trHeight w:val="257"/>
        </w:trPr>
        <w:tc>
          <w:tcPr>
            <w:tcW w:w="6804" w:type="dxa"/>
            <w:tcBorders>
              <w:top w:val="nil"/>
              <w:left w:val="nil"/>
              <w:bottom w:val="nil"/>
              <w:right w:val="nil"/>
            </w:tcBorders>
            <w:noWrap/>
            <w:tcMar>
              <w:top w:w="17" w:type="dxa"/>
              <w:left w:w="57" w:type="dxa"/>
              <w:bottom w:w="0" w:type="dxa"/>
              <w:right w:w="57" w:type="dxa"/>
            </w:tcMar>
            <w:vAlign w:val="bottom"/>
          </w:tcPr>
          <w:p w14:paraId="1E18F7D1" w14:textId="77777777" w:rsidR="00B14383" w:rsidRPr="008B5BCB" w:rsidRDefault="00B14383" w:rsidP="00FE5983">
            <w:pPr>
              <w:rPr>
                <w:b/>
                <w:bCs/>
                <w:sz w:val="22"/>
                <w:szCs w:val="22"/>
              </w:rPr>
            </w:pPr>
          </w:p>
        </w:tc>
        <w:tc>
          <w:tcPr>
            <w:tcW w:w="908" w:type="dxa"/>
            <w:tcBorders>
              <w:top w:val="nil"/>
              <w:left w:val="nil"/>
              <w:bottom w:val="nil"/>
              <w:right w:val="nil"/>
            </w:tcBorders>
            <w:noWrap/>
            <w:tcMar>
              <w:top w:w="17" w:type="dxa"/>
              <w:left w:w="57" w:type="dxa"/>
              <w:right w:w="57" w:type="dxa"/>
            </w:tcMar>
            <w:vAlign w:val="center"/>
          </w:tcPr>
          <w:p w14:paraId="3EE7D7EE" w14:textId="5CF208A7" w:rsidR="00B14383" w:rsidRPr="00575580" w:rsidRDefault="00B14383" w:rsidP="00FE5983">
            <w:pPr>
              <w:jc w:val="right"/>
              <w:rPr>
                <w:b/>
                <w:bCs/>
                <w:sz w:val="22"/>
                <w:szCs w:val="22"/>
              </w:rPr>
            </w:pPr>
            <w:r w:rsidRPr="00575580">
              <w:rPr>
                <w:b/>
                <w:bCs/>
                <w:sz w:val="22"/>
                <w:szCs w:val="22"/>
              </w:rPr>
              <w:t>202</w:t>
            </w:r>
            <w:r w:rsidR="004B2F41">
              <w:rPr>
                <w:b/>
                <w:bCs/>
                <w:sz w:val="22"/>
                <w:szCs w:val="22"/>
              </w:rPr>
              <w:t>4</w:t>
            </w:r>
          </w:p>
        </w:tc>
        <w:tc>
          <w:tcPr>
            <w:tcW w:w="425" w:type="dxa"/>
            <w:tcBorders>
              <w:top w:val="nil"/>
              <w:left w:val="nil"/>
              <w:bottom w:val="nil"/>
              <w:right w:val="nil"/>
            </w:tcBorders>
            <w:vAlign w:val="center"/>
          </w:tcPr>
          <w:p w14:paraId="5F53987B" w14:textId="77777777" w:rsidR="00B14383" w:rsidRPr="00575580" w:rsidRDefault="00B14383" w:rsidP="00FE5983">
            <w:pPr>
              <w:jc w:val="right"/>
              <w:rPr>
                <w:b/>
                <w:bCs/>
                <w:sz w:val="22"/>
                <w:szCs w:val="22"/>
              </w:rPr>
            </w:pPr>
          </w:p>
        </w:tc>
        <w:tc>
          <w:tcPr>
            <w:tcW w:w="652" w:type="dxa"/>
            <w:tcBorders>
              <w:top w:val="nil"/>
              <w:left w:val="nil"/>
              <w:bottom w:val="nil"/>
              <w:right w:val="nil"/>
            </w:tcBorders>
            <w:noWrap/>
            <w:tcMar>
              <w:top w:w="17" w:type="dxa"/>
            </w:tcMar>
            <w:vAlign w:val="center"/>
          </w:tcPr>
          <w:p w14:paraId="250D8A6A" w14:textId="392FB39B" w:rsidR="00B14383" w:rsidRPr="00AB7087" w:rsidRDefault="00B14383" w:rsidP="00FE5983">
            <w:pPr>
              <w:jc w:val="right"/>
              <w:rPr>
                <w:b/>
                <w:bCs/>
                <w:sz w:val="22"/>
                <w:szCs w:val="22"/>
              </w:rPr>
            </w:pPr>
            <w:r>
              <w:rPr>
                <w:b/>
                <w:bCs/>
                <w:sz w:val="22"/>
                <w:szCs w:val="22"/>
              </w:rPr>
              <w:t>202</w:t>
            </w:r>
            <w:r w:rsidR="004B2F41">
              <w:rPr>
                <w:b/>
                <w:bCs/>
                <w:sz w:val="22"/>
                <w:szCs w:val="22"/>
              </w:rPr>
              <w:t>3</w:t>
            </w:r>
          </w:p>
        </w:tc>
      </w:tr>
      <w:tr w:rsidR="00B14383" w:rsidRPr="00AB7087" w14:paraId="46E289B8" w14:textId="77777777" w:rsidTr="00FE5983">
        <w:trPr>
          <w:cantSplit/>
          <w:trHeight w:val="257"/>
        </w:trPr>
        <w:tc>
          <w:tcPr>
            <w:tcW w:w="6804" w:type="dxa"/>
            <w:tcBorders>
              <w:top w:val="nil"/>
              <w:left w:val="nil"/>
              <w:bottom w:val="nil"/>
              <w:right w:val="nil"/>
            </w:tcBorders>
            <w:noWrap/>
            <w:tcMar>
              <w:top w:w="17" w:type="dxa"/>
              <w:left w:w="57" w:type="dxa"/>
              <w:bottom w:w="0" w:type="dxa"/>
              <w:right w:w="57" w:type="dxa"/>
            </w:tcMar>
            <w:vAlign w:val="bottom"/>
          </w:tcPr>
          <w:p w14:paraId="4399FDA7" w14:textId="77777777" w:rsidR="00B14383" w:rsidRPr="008B5BCB" w:rsidRDefault="00B14383" w:rsidP="00FE5983">
            <w:pPr>
              <w:rPr>
                <w:b/>
                <w:bCs/>
                <w:sz w:val="22"/>
                <w:szCs w:val="22"/>
              </w:rPr>
            </w:pPr>
          </w:p>
        </w:tc>
        <w:tc>
          <w:tcPr>
            <w:tcW w:w="908" w:type="dxa"/>
            <w:tcBorders>
              <w:top w:val="nil"/>
              <w:left w:val="nil"/>
              <w:bottom w:val="nil"/>
              <w:right w:val="nil"/>
            </w:tcBorders>
            <w:noWrap/>
            <w:tcMar>
              <w:top w:w="17" w:type="dxa"/>
              <w:left w:w="57" w:type="dxa"/>
              <w:right w:w="57" w:type="dxa"/>
            </w:tcMar>
            <w:vAlign w:val="center"/>
          </w:tcPr>
          <w:p w14:paraId="05A4C8FD" w14:textId="77777777" w:rsidR="00B14383" w:rsidRPr="00575580" w:rsidRDefault="00B14383" w:rsidP="00FE5983">
            <w:pPr>
              <w:jc w:val="right"/>
              <w:rPr>
                <w:b/>
                <w:bCs/>
                <w:sz w:val="22"/>
                <w:szCs w:val="22"/>
              </w:rPr>
            </w:pPr>
            <w:r w:rsidRPr="00575580">
              <w:rPr>
                <w:b/>
                <w:bCs/>
                <w:sz w:val="22"/>
                <w:szCs w:val="22"/>
              </w:rPr>
              <w:t>£’000</w:t>
            </w:r>
          </w:p>
        </w:tc>
        <w:tc>
          <w:tcPr>
            <w:tcW w:w="425" w:type="dxa"/>
            <w:tcBorders>
              <w:top w:val="nil"/>
              <w:left w:val="nil"/>
              <w:bottom w:val="nil"/>
              <w:right w:val="nil"/>
            </w:tcBorders>
            <w:vAlign w:val="center"/>
          </w:tcPr>
          <w:p w14:paraId="1DBF32CE" w14:textId="77777777" w:rsidR="00B14383" w:rsidRPr="00575580" w:rsidRDefault="00B14383" w:rsidP="00FE5983">
            <w:pPr>
              <w:jc w:val="right"/>
              <w:rPr>
                <w:b/>
                <w:bCs/>
                <w:sz w:val="22"/>
                <w:szCs w:val="22"/>
              </w:rPr>
            </w:pPr>
          </w:p>
        </w:tc>
        <w:tc>
          <w:tcPr>
            <w:tcW w:w="652" w:type="dxa"/>
            <w:tcBorders>
              <w:top w:val="nil"/>
              <w:left w:val="nil"/>
              <w:bottom w:val="nil"/>
              <w:right w:val="nil"/>
            </w:tcBorders>
            <w:noWrap/>
            <w:tcMar>
              <w:top w:w="17" w:type="dxa"/>
            </w:tcMar>
            <w:vAlign w:val="center"/>
          </w:tcPr>
          <w:p w14:paraId="4B0CD8B6" w14:textId="77777777" w:rsidR="00B14383" w:rsidRPr="00AB7087" w:rsidRDefault="00B14383" w:rsidP="00FE5983">
            <w:pPr>
              <w:jc w:val="right"/>
              <w:rPr>
                <w:b/>
                <w:bCs/>
                <w:sz w:val="22"/>
                <w:szCs w:val="22"/>
              </w:rPr>
            </w:pPr>
            <w:r w:rsidRPr="00AB7087">
              <w:rPr>
                <w:b/>
                <w:bCs/>
                <w:sz w:val="22"/>
                <w:szCs w:val="22"/>
              </w:rPr>
              <w:t>£’000</w:t>
            </w:r>
          </w:p>
        </w:tc>
      </w:tr>
      <w:tr w:rsidR="00B14383" w:rsidRPr="00AB7087" w14:paraId="14A1507E" w14:textId="77777777" w:rsidTr="00FE5983">
        <w:trPr>
          <w:cantSplit/>
          <w:trHeight w:val="257"/>
        </w:trPr>
        <w:tc>
          <w:tcPr>
            <w:tcW w:w="6804" w:type="dxa"/>
            <w:tcBorders>
              <w:top w:val="nil"/>
              <w:left w:val="nil"/>
              <w:bottom w:val="nil"/>
              <w:right w:val="nil"/>
            </w:tcBorders>
            <w:noWrap/>
            <w:tcMar>
              <w:top w:w="17" w:type="dxa"/>
              <w:left w:w="57" w:type="dxa"/>
              <w:bottom w:w="0" w:type="dxa"/>
              <w:right w:w="57" w:type="dxa"/>
            </w:tcMar>
            <w:vAlign w:val="bottom"/>
          </w:tcPr>
          <w:p w14:paraId="7BCA3C3F" w14:textId="77777777" w:rsidR="00B14383" w:rsidRPr="00AB7087" w:rsidRDefault="00B14383" w:rsidP="00FE5983">
            <w:pPr>
              <w:rPr>
                <w:sz w:val="22"/>
                <w:szCs w:val="22"/>
              </w:rPr>
            </w:pPr>
          </w:p>
        </w:tc>
        <w:tc>
          <w:tcPr>
            <w:tcW w:w="908" w:type="dxa"/>
            <w:tcBorders>
              <w:top w:val="nil"/>
              <w:left w:val="nil"/>
              <w:bottom w:val="nil"/>
              <w:right w:val="nil"/>
            </w:tcBorders>
            <w:noWrap/>
            <w:tcMar>
              <w:top w:w="17" w:type="dxa"/>
              <w:left w:w="57" w:type="dxa"/>
              <w:right w:w="57" w:type="dxa"/>
            </w:tcMar>
            <w:vAlign w:val="center"/>
          </w:tcPr>
          <w:p w14:paraId="18762604" w14:textId="77777777" w:rsidR="00B14383" w:rsidRPr="00575580" w:rsidRDefault="00B14383" w:rsidP="00FE5983">
            <w:pPr>
              <w:jc w:val="right"/>
              <w:rPr>
                <w:sz w:val="22"/>
                <w:szCs w:val="22"/>
              </w:rPr>
            </w:pPr>
          </w:p>
        </w:tc>
        <w:tc>
          <w:tcPr>
            <w:tcW w:w="425" w:type="dxa"/>
            <w:tcBorders>
              <w:top w:val="nil"/>
              <w:left w:val="nil"/>
              <w:bottom w:val="nil"/>
              <w:right w:val="nil"/>
            </w:tcBorders>
            <w:vAlign w:val="center"/>
          </w:tcPr>
          <w:p w14:paraId="079D14F0" w14:textId="77777777" w:rsidR="00B14383" w:rsidRPr="00575580" w:rsidRDefault="00B14383" w:rsidP="00FE5983">
            <w:pPr>
              <w:jc w:val="right"/>
              <w:rPr>
                <w:sz w:val="22"/>
                <w:szCs w:val="22"/>
              </w:rPr>
            </w:pPr>
          </w:p>
        </w:tc>
        <w:tc>
          <w:tcPr>
            <w:tcW w:w="652" w:type="dxa"/>
            <w:tcBorders>
              <w:top w:val="nil"/>
              <w:left w:val="nil"/>
              <w:bottom w:val="nil"/>
              <w:right w:val="nil"/>
            </w:tcBorders>
            <w:noWrap/>
            <w:tcMar>
              <w:top w:w="17" w:type="dxa"/>
            </w:tcMar>
            <w:vAlign w:val="center"/>
          </w:tcPr>
          <w:p w14:paraId="3038F87B" w14:textId="77777777" w:rsidR="00B14383" w:rsidRPr="00AB7087" w:rsidRDefault="00B14383" w:rsidP="00FE5983">
            <w:pPr>
              <w:jc w:val="right"/>
              <w:rPr>
                <w:sz w:val="22"/>
                <w:szCs w:val="22"/>
              </w:rPr>
            </w:pPr>
          </w:p>
        </w:tc>
      </w:tr>
      <w:tr w:rsidR="004B2F41" w:rsidRPr="00AB7087" w14:paraId="153CCB15" w14:textId="77777777" w:rsidTr="00FE5983">
        <w:trPr>
          <w:cantSplit/>
          <w:trHeight w:val="257"/>
        </w:trPr>
        <w:tc>
          <w:tcPr>
            <w:tcW w:w="6804" w:type="dxa"/>
            <w:tcBorders>
              <w:top w:val="nil"/>
              <w:left w:val="nil"/>
              <w:bottom w:val="nil"/>
              <w:right w:val="nil"/>
            </w:tcBorders>
            <w:noWrap/>
            <w:tcMar>
              <w:top w:w="17" w:type="dxa"/>
              <w:left w:w="57" w:type="dxa"/>
              <w:bottom w:w="0" w:type="dxa"/>
              <w:right w:w="57" w:type="dxa"/>
            </w:tcMar>
          </w:tcPr>
          <w:p w14:paraId="0B99A208" w14:textId="77777777" w:rsidR="004B2F41" w:rsidRPr="00941FAC" w:rsidRDefault="004B2F41" w:rsidP="004B2F41">
            <w:pPr>
              <w:rPr>
                <w:sz w:val="22"/>
                <w:szCs w:val="22"/>
              </w:rPr>
            </w:pPr>
            <w:r w:rsidRPr="00941FAC">
              <w:rPr>
                <w:sz w:val="22"/>
                <w:szCs w:val="22"/>
              </w:rPr>
              <w:t>Expenditure contracted for, but not provided in the financial statements</w:t>
            </w:r>
            <w:r w:rsidRPr="00941FAC">
              <w:t xml:space="preserve">  </w:t>
            </w:r>
          </w:p>
        </w:tc>
        <w:tc>
          <w:tcPr>
            <w:tcW w:w="908" w:type="dxa"/>
            <w:tcBorders>
              <w:top w:val="nil"/>
              <w:left w:val="nil"/>
              <w:bottom w:val="nil"/>
              <w:right w:val="nil"/>
            </w:tcBorders>
            <w:shd w:val="clear" w:color="auto" w:fill="auto"/>
            <w:noWrap/>
            <w:tcMar>
              <w:top w:w="17" w:type="dxa"/>
              <w:left w:w="57" w:type="dxa"/>
              <w:right w:w="57" w:type="dxa"/>
            </w:tcMar>
            <w:vAlign w:val="center"/>
          </w:tcPr>
          <w:p w14:paraId="1FE9BF7C" w14:textId="49A21D40" w:rsidR="004B2F41" w:rsidRPr="001C36F0" w:rsidRDefault="00941FAC" w:rsidP="004B2F41">
            <w:pPr>
              <w:jc w:val="right"/>
              <w:rPr>
                <w:sz w:val="22"/>
                <w:szCs w:val="22"/>
              </w:rPr>
            </w:pPr>
            <w:r>
              <w:rPr>
                <w:sz w:val="22"/>
                <w:szCs w:val="22"/>
              </w:rPr>
              <w:t>1</w:t>
            </w:r>
            <w:r w:rsidR="0093699A">
              <w:rPr>
                <w:sz w:val="22"/>
                <w:szCs w:val="22"/>
              </w:rPr>
              <w:t>4,390</w:t>
            </w:r>
          </w:p>
        </w:tc>
        <w:tc>
          <w:tcPr>
            <w:tcW w:w="425" w:type="dxa"/>
            <w:tcBorders>
              <w:top w:val="nil"/>
              <w:left w:val="nil"/>
              <w:right w:val="nil"/>
            </w:tcBorders>
            <w:vAlign w:val="center"/>
          </w:tcPr>
          <w:p w14:paraId="6563C2D3" w14:textId="77777777" w:rsidR="004B2F41" w:rsidRPr="00AB7087" w:rsidRDefault="004B2F41" w:rsidP="004B2F41">
            <w:pPr>
              <w:jc w:val="right"/>
              <w:rPr>
                <w:sz w:val="22"/>
                <w:szCs w:val="22"/>
              </w:rPr>
            </w:pPr>
          </w:p>
        </w:tc>
        <w:tc>
          <w:tcPr>
            <w:tcW w:w="652" w:type="dxa"/>
            <w:tcBorders>
              <w:top w:val="nil"/>
              <w:left w:val="nil"/>
              <w:bottom w:val="nil"/>
              <w:right w:val="nil"/>
            </w:tcBorders>
            <w:noWrap/>
            <w:tcMar>
              <w:top w:w="17" w:type="dxa"/>
            </w:tcMar>
            <w:vAlign w:val="center"/>
          </w:tcPr>
          <w:p w14:paraId="3F35FD22" w14:textId="687166BA" w:rsidR="004B2F41" w:rsidRPr="00AB7087" w:rsidRDefault="004B2F41" w:rsidP="004B2F41">
            <w:pPr>
              <w:jc w:val="right"/>
              <w:rPr>
                <w:sz w:val="22"/>
                <w:szCs w:val="22"/>
              </w:rPr>
            </w:pPr>
            <w:r>
              <w:rPr>
                <w:sz w:val="22"/>
                <w:szCs w:val="22"/>
              </w:rPr>
              <w:t>22,993</w:t>
            </w:r>
          </w:p>
        </w:tc>
      </w:tr>
      <w:tr w:rsidR="004B2F41" w:rsidRPr="00AB7087" w14:paraId="5616AC7B" w14:textId="77777777" w:rsidTr="00FE5983">
        <w:trPr>
          <w:cantSplit/>
          <w:trHeight w:val="257"/>
        </w:trPr>
        <w:tc>
          <w:tcPr>
            <w:tcW w:w="6804" w:type="dxa"/>
            <w:tcBorders>
              <w:top w:val="nil"/>
              <w:left w:val="nil"/>
              <w:bottom w:val="nil"/>
              <w:right w:val="nil"/>
            </w:tcBorders>
            <w:noWrap/>
            <w:tcMar>
              <w:top w:w="17" w:type="dxa"/>
              <w:left w:w="57" w:type="dxa"/>
              <w:bottom w:w="0" w:type="dxa"/>
              <w:right w:w="57" w:type="dxa"/>
            </w:tcMar>
            <w:vAlign w:val="bottom"/>
          </w:tcPr>
          <w:p w14:paraId="5847B447" w14:textId="77777777" w:rsidR="004B2F41" w:rsidRPr="00941FAC" w:rsidRDefault="004B2F41" w:rsidP="004B2F41">
            <w:pPr>
              <w:rPr>
                <w:sz w:val="22"/>
                <w:szCs w:val="22"/>
              </w:rPr>
            </w:pPr>
            <w:r w:rsidRPr="00941FAC">
              <w:rPr>
                <w:sz w:val="22"/>
                <w:szCs w:val="22"/>
              </w:rPr>
              <w:t>Expenditure authorised by the Board but not contracted</w:t>
            </w:r>
          </w:p>
        </w:tc>
        <w:tc>
          <w:tcPr>
            <w:tcW w:w="908" w:type="dxa"/>
            <w:tcBorders>
              <w:top w:val="nil"/>
              <w:left w:val="nil"/>
              <w:bottom w:val="nil"/>
              <w:right w:val="nil"/>
            </w:tcBorders>
            <w:shd w:val="clear" w:color="auto" w:fill="auto"/>
            <w:noWrap/>
            <w:tcMar>
              <w:top w:w="17" w:type="dxa"/>
              <w:left w:w="57" w:type="dxa"/>
              <w:right w:w="57" w:type="dxa"/>
            </w:tcMar>
            <w:vAlign w:val="center"/>
          </w:tcPr>
          <w:p w14:paraId="51DBE4DA" w14:textId="62742046" w:rsidR="004B2F41" w:rsidRPr="001C36F0" w:rsidRDefault="00941FAC" w:rsidP="004B2F41">
            <w:pPr>
              <w:jc w:val="right"/>
              <w:rPr>
                <w:sz w:val="22"/>
                <w:szCs w:val="22"/>
              </w:rPr>
            </w:pPr>
            <w:r>
              <w:rPr>
                <w:sz w:val="22"/>
                <w:szCs w:val="22"/>
              </w:rPr>
              <w:t>-</w:t>
            </w:r>
          </w:p>
        </w:tc>
        <w:tc>
          <w:tcPr>
            <w:tcW w:w="425" w:type="dxa"/>
            <w:tcBorders>
              <w:top w:val="nil"/>
              <w:left w:val="nil"/>
              <w:bottom w:val="nil"/>
              <w:right w:val="nil"/>
            </w:tcBorders>
            <w:shd w:val="clear" w:color="auto" w:fill="auto"/>
            <w:vAlign w:val="center"/>
          </w:tcPr>
          <w:p w14:paraId="7BE76FF6" w14:textId="77777777" w:rsidR="004B2F41" w:rsidRPr="00AB7087" w:rsidRDefault="004B2F41" w:rsidP="004B2F41">
            <w:pPr>
              <w:jc w:val="right"/>
              <w:rPr>
                <w:sz w:val="22"/>
                <w:szCs w:val="22"/>
              </w:rPr>
            </w:pPr>
          </w:p>
        </w:tc>
        <w:tc>
          <w:tcPr>
            <w:tcW w:w="652" w:type="dxa"/>
            <w:tcBorders>
              <w:top w:val="nil"/>
              <w:left w:val="nil"/>
              <w:bottom w:val="nil"/>
              <w:right w:val="nil"/>
            </w:tcBorders>
            <w:noWrap/>
            <w:tcMar>
              <w:top w:w="17" w:type="dxa"/>
            </w:tcMar>
            <w:vAlign w:val="center"/>
          </w:tcPr>
          <w:p w14:paraId="78BF185D" w14:textId="584D31F6" w:rsidR="004B2F41" w:rsidRPr="00AB7087" w:rsidRDefault="004B2F41" w:rsidP="004B2F41">
            <w:pPr>
              <w:jc w:val="right"/>
              <w:rPr>
                <w:sz w:val="22"/>
                <w:szCs w:val="22"/>
              </w:rPr>
            </w:pPr>
            <w:r>
              <w:rPr>
                <w:sz w:val="22"/>
                <w:szCs w:val="22"/>
              </w:rPr>
              <w:t>-</w:t>
            </w:r>
          </w:p>
        </w:tc>
      </w:tr>
      <w:tr w:rsidR="004B2F41" w:rsidRPr="00AB7087" w14:paraId="1D41CBFC" w14:textId="77777777" w:rsidTr="00FE5983">
        <w:trPr>
          <w:cantSplit/>
          <w:trHeight w:val="257"/>
        </w:trPr>
        <w:tc>
          <w:tcPr>
            <w:tcW w:w="6804" w:type="dxa"/>
            <w:tcBorders>
              <w:top w:val="nil"/>
              <w:left w:val="nil"/>
              <w:bottom w:val="nil"/>
              <w:right w:val="nil"/>
            </w:tcBorders>
            <w:noWrap/>
            <w:tcMar>
              <w:top w:w="17" w:type="dxa"/>
              <w:left w:w="57" w:type="dxa"/>
              <w:bottom w:w="0" w:type="dxa"/>
              <w:right w:w="57" w:type="dxa"/>
            </w:tcMar>
            <w:vAlign w:val="bottom"/>
          </w:tcPr>
          <w:p w14:paraId="3EE3DEE6" w14:textId="77777777" w:rsidR="004B2F41" w:rsidRPr="00AB7087" w:rsidRDefault="004B2F41" w:rsidP="004B2F41">
            <w:pPr>
              <w:rPr>
                <w:sz w:val="22"/>
                <w:szCs w:val="22"/>
              </w:rPr>
            </w:pPr>
          </w:p>
        </w:tc>
        <w:tc>
          <w:tcPr>
            <w:tcW w:w="908" w:type="dxa"/>
            <w:tcBorders>
              <w:top w:val="single" w:sz="4" w:space="0" w:color="auto"/>
              <w:left w:val="nil"/>
              <w:bottom w:val="single" w:sz="4" w:space="0" w:color="auto"/>
              <w:right w:val="nil"/>
            </w:tcBorders>
            <w:shd w:val="clear" w:color="auto" w:fill="auto"/>
            <w:noWrap/>
            <w:tcMar>
              <w:top w:w="17" w:type="dxa"/>
              <w:left w:w="57" w:type="dxa"/>
              <w:right w:w="57" w:type="dxa"/>
            </w:tcMar>
            <w:vAlign w:val="center"/>
          </w:tcPr>
          <w:p w14:paraId="46EAECD4" w14:textId="76B00625" w:rsidR="004B2F41" w:rsidRPr="001C36F0" w:rsidRDefault="00941FAC" w:rsidP="004B2F41">
            <w:pPr>
              <w:jc w:val="right"/>
              <w:rPr>
                <w:sz w:val="22"/>
                <w:szCs w:val="22"/>
              </w:rPr>
            </w:pPr>
            <w:r>
              <w:rPr>
                <w:sz w:val="22"/>
                <w:szCs w:val="22"/>
              </w:rPr>
              <w:t>1</w:t>
            </w:r>
            <w:r w:rsidR="00CE1CC3">
              <w:rPr>
                <w:sz w:val="22"/>
                <w:szCs w:val="22"/>
              </w:rPr>
              <w:t>4,390</w:t>
            </w:r>
            <w:r w:rsidR="00CE1CC3" w:rsidRPr="001C36F0">
              <w:rPr>
                <w:sz w:val="22"/>
                <w:szCs w:val="22"/>
              </w:rPr>
              <w:t xml:space="preserve"> </w:t>
            </w:r>
          </w:p>
        </w:tc>
        <w:tc>
          <w:tcPr>
            <w:tcW w:w="425" w:type="dxa"/>
            <w:tcBorders>
              <w:top w:val="nil"/>
              <w:left w:val="nil"/>
              <w:right w:val="nil"/>
            </w:tcBorders>
            <w:shd w:val="clear" w:color="auto" w:fill="auto"/>
            <w:vAlign w:val="center"/>
          </w:tcPr>
          <w:p w14:paraId="3D8C6199" w14:textId="77777777" w:rsidR="004B2F41" w:rsidRPr="00AB7087" w:rsidRDefault="004B2F41" w:rsidP="004B2F41">
            <w:pPr>
              <w:jc w:val="right"/>
              <w:rPr>
                <w:sz w:val="22"/>
                <w:szCs w:val="22"/>
              </w:rPr>
            </w:pPr>
          </w:p>
        </w:tc>
        <w:tc>
          <w:tcPr>
            <w:tcW w:w="652" w:type="dxa"/>
            <w:tcBorders>
              <w:top w:val="single" w:sz="4" w:space="0" w:color="auto"/>
              <w:left w:val="nil"/>
              <w:bottom w:val="single" w:sz="4" w:space="0" w:color="auto"/>
              <w:right w:val="nil"/>
            </w:tcBorders>
            <w:noWrap/>
            <w:tcMar>
              <w:top w:w="17" w:type="dxa"/>
            </w:tcMar>
            <w:vAlign w:val="center"/>
          </w:tcPr>
          <w:p w14:paraId="4D890997" w14:textId="3FC8C366" w:rsidR="004B2F41" w:rsidRPr="00AB7087" w:rsidRDefault="004B2F41" w:rsidP="004B2F41">
            <w:pPr>
              <w:jc w:val="right"/>
              <w:rPr>
                <w:sz w:val="22"/>
                <w:szCs w:val="22"/>
              </w:rPr>
            </w:pPr>
            <w:r>
              <w:rPr>
                <w:sz w:val="22"/>
                <w:szCs w:val="22"/>
              </w:rPr>
              <w:t>22,993</w:t>
            </w:r>
          </w:p>
        </w:tc>
      </w:tr>
    </w:tbl>
    <w:p w14:paraId="003B4C21" w14:textId="77777777" w:rsidR="00B14383" w:rsidRDefault="00B14383" w:rsidP="00B14383">
      <w:pPr>
        <w:rPr>
          <w:b/>
          <w:sz w:val="22"/>
          <w:szCs w:val="22"/>
        </w:rPr>
      </w:pPr>
    </w:p>
    <w:p w14:paraId="7DE44FB2" w14:textId="77777777" w:rsidR="00B14383" w:rsidRPr="006546CF" w:rsidRDefault="00B14383" w:rsidP="00B14383">
      <w:pPr>
        <w:tabs>
          <w:tab w:val="left" w:pos="720"/>
        </w:tabs>
        <w:jc w:val="both"/>
        <w:rPr>
          <w:bCs/>
          <w:sz w:val="22"/>
          <w:szCs w:val="20"/>
        </w:rPr>
      </w:pPr>
      <w:r w:rsidRPr="00B04B09">
        <w:rPr>
          <w:bCs/>
          <w:sz w:val="22"/>
          <w:szCs w:val="20"/>
        </w:rPr>
        <w:t>Capital commitments are funded through a combination of grant received from the Scottish Government in relation to our new build programme</w:t>
      </w:r>
      <w:r>
        <w:rPr>
          <w:bCs/>
          <w:sz w:val="22"/>
          <w:szCs w:val="20"/>
        </w:rPr>
        <w:t>, operating surplus generated by the WHS,</w:t>
      </w:r>
      <w:r w:rsidRPr="00B04B09">
        <w:rPr>
          <w:bCs/>
          <w:sz w:val="22"/>
          <w:szCs w:val="20"/>
        </w:rPr>
        <w:t xml:space="preserve"> and private funding.</w:t>
      </w:r>
    </w:p>
    <w:p w14:paraId="60EFF46A" w14:textId="77777777" w:rsidR="006E0C78" w:rsidRDefault="006E0C78">
      <w:pPr>
        <w:rPr>
          <w:b/>
          <w:bCs/>
          <w:sz w:val="22"/>
          <w:szCs w:val="22"/>
        </w:rPr>
      </w:pPr>
      <w:r>
        <w:rPr>
          <w:b/>
          <w:bCs/>
          <w:sz w:val="22"/>
          <w:szCs w:val="22"/>
        </w:rPr>
        <w:br w:type="page"/>
      </w:r>
    </w:p>
    <w:p w14:paraId="24822ADD" w14:textId="7C41D82A" w:rsidR="008266B0" w:rsidRPr="00F031B6" w:rsidRDefault="008266B0" w:rsidP="008266B0">
      <w:pPr>
        <w:spacing w:line="276" w:lineRule="auto"/>
        <w:rPr>
          <w:b/>
          <w:bCs/>
          <w:sz w:val="22"/>
          <w:szCs w:val="22"/>
        </w:rPr>
      </w:pPr>
      <w:r w:rsidRPr="00F031B6">
        <w:rPr>
          <w:b/>
          <w:bCs/>
          <w:sz w:val="22"/>
          <w:szCs w:val="22"/>
        </w:rPr>
        <w:lastRenderedPageBreak/>
        <w:t>NOTES TO THE FINANCIAL STATEMENTS FOR THE YEAR ENDED 31 MARCH 202</w:t>
      </w:r>
      <w:r w:rsidR="004B2F41">
        <w:rPr>
          <w:b/>
          <w:bCs/>
          <w:sz w:val="22"/>
          <w:szCs w:val="22"/>
        </w:rPr>
        <w:t>4</w:t>
      </w:r>
      <w:r w:rsidRPr="00F031B6">
        <w:rPr>
          <w:b/>
          <w:bCs/>
          <w:sz w:val="22"/>
          <w:szCs w:val="22"/>
        </w:rPr>
        <w:t xml:space="preserve"> (continued)</w:t>
      </w:r>
    </w:p>
    <w:p w14:paraId="2BE805BC" w14:textId="77777777" w:rsidR="0096581A" w:rsidRDefault="0096581A" w:rsidP="00C81860">
      <w:pPr>
        <w:rPr>
          <w:b/>
          <w:sz w:val="22"/>
          <w:szCs w:val="22"/>
        </w:rPr>
      </w:pPr>
    </w:p>
    <w:p w14:paraId="41FF1328" w14:textId="2A2EDA03" w:rsidR="00C81860" w:rsidRPr="00AB7087" w:rsidRDefault="00C81860" w:rsidP="00C81860">
      <w:pPr>
        <w:rPr>
          <w:b/>
          <w:sz w:val="22"/>
          <w:szCs w:val="22"/>
        </w:rPr>
      </w:pPr>
      <w:r w:rsidRPr="00AB7087">
        <w:rPr>
          <w:b/>
          <w:sz w:val="22"/>
          <w:szCs w:val="22"/>
        </w:rPr>
        <w:t>1</w:t>
      </w:r>
      <w:r w:rsidR="00AF5224">
        <w:rPr>
          <w:b/>
          <w:sz w:val="22"/>
          <w:szCs w:val="22"/>
        </w:rPr>
        <w:t>3</w:t>
      </w:r>
      <w:r w:rsidRPr="00AB7087">
        <w:rPr>
          <w:b/>
          <w:sz w:val="22"/>
          <w:szCs w:val="22"/>
        </w:rPr>
        <w:t>.</w:t>
      </w:r>
      <w:r w:rsidRPr="00AB7087">
        <w:rPr>
          <w:b/>
          <w:sz w:val="22"/>
          <w:szCs w:val="22"/>
        </w:rPr>
        <w:tab/>
      </w:r>
      <w:r w:rsidRPr="00C1011B">
        <w:rPr>
          <w:b/>
          <w:sz w:val="22"/>
          <w:szCs w:val="22"/>
        </w:rPr>
        <w:t>Financial commitments</w:t>
      </w:r>
      <w:r w:rsidRPr="00AB7087">
        <w:rPr>
          <w:b/>
          <w:sz w:val="22"/>
          <w:szCs w:val="22"/>
        </w:rPr>
        <w:t xml:space="preserve"> </w:t>
      </w:r>
      <w:r w:rsidR="00B14383">
        <w:rPr>
          <w:b/>
          <w:sz w:val="22"/>
          <w:szCs w:val="22"/>
        </w:rPr>
        <w:t xml:space="preserve">(continued) </w:t>
      </w:r>
    </w:p>
    <w:p w14:paraId="718EBF71" w14:textId="77777777" w:rsidR="00C81860" w:rsidRPr="00AB7087" w:rsidRDefault="00C81860" w:rsidP="00C81860">
      <w:pPr>
        <w:rPr>
          <w:b/>
          <w:sz w:val="22"/>
          <w:szCs w:val="22"/>
        </w:rPr>
      </w:pPr>
    </w:p>
    <w:p w14:paraId="410F01CB" w14:textId="1A2921C9" w:rsidR="00C81860" w:rsidRPr="00D52BE3" w:rsidRDefault="004F12EA" w:rsidP="00C81860">
      <w:pPr>
        <w:tabs>
          <w:tab w:val="left" w:pos="720"/>
        </w:tabs>
        <w:rPr>
          <w:b/>
          <w:bCs/>
          <w:sz w:val="22"/>
          <w:szCs w:val="20"/>
        </w:rPr>
      </w:pPr>
      <w:r w:rsidRPr="006A734C">
        <w:rPr>
          <w:b/>
          <w:bCs/>
          <w:sz w:val="22"/>
          <w:szCs w:val="20"/>
        </w:rPr>
        <w:t xml:space="preserve">Operating leases </w:t>
      </w:r>
    </w:p>
    <w:p w14:paraId="77C4A0A2" w14:textId="77777777" w:rsidR="0035698E" w:rsidRPr="00D52BE3" w:rsidRDefault="0035698E" w:rsidP="00C81860">
      <w:pPr>
        <w:tabs>
          <w:tab w:val="left" w:pos="720"/>
        </w:tabs>
        <w:rPr>
          <w:b/>
          <w:bCs/>
          <w:sz w:val="22"/>
          <w:szCs w:val="20"/>
        </w:rPr>
      </w:pPr>
    </w:p>
    <w:p w14:paraId="4D536987" w14:textId="69E47B7F" w:rsidR="00DA6B5F" w:rsidRPr="00D52BE3" w:rsidRDefault="00DA6B5F" w:rsidP="00DA6B5F">
      <w:pPr>
        <w:tabs>
          <w:tab w:val="right" w:pos="7200"/>
          <w:tab w:val="right" w:pos="8460"/>
        </w:tabs>
        <w:jc w:val="both"/>
        <w:rPr>
          <w:bCs/>
          <w:sz w:val="22"/>
          <w:szCs w:val="20"/>
        </w:rPr>
      </w:pPr>
      <w:r w:rsidRPr="00D52BE3">
        <w:rPr>
          <w:bCs/>
          <w:sz w:val="22"/>
          <w:szCs w:val="20"/>
        </w:rPr>
        <w:t xml:space="preserve">At 31 March </w:t>
      </w:r>
      <w:r w:rsidR="00B23FDF">
        <w:rPr>
          <w:bCs/>
          <w:sz w:val="22"/>
          <w:szCs w:val="20"/>
        </w:rPr>
        <w:t xml:space="preserve">WHS </w:t>
      </w:r>
      <w:r w:rsidRPr="00D52BE3">
        <w:rPr>
          <w:bCs/>
          <w:sz w:val="22"/>
          <w:szCs w:val="20"/>
        </w:rPr>
        <w:t>had total commitments under non-cancellable operating leases as follows:</w:t>
      </w:r>
    </w:p>
    <w:p w14:paraId="1404317E" w14:textId="77777777" w:rsidR="00DA6B5F" w:rsidRPr="00D52BE3" w:rsidRDefault="00DA6B5F" w:rsidP="00DA6B5F">
      <w:pPr>
        <w:pStyle w:val="BodyText"/>
        <w:jc w:val="both"/>
        <w:rPr>
          <w:b/>
          <w:bCs/>
          <w:sz w:val="24"/>
        </w:rPr>
      </w:pPr>
    </w:p>
    <w:tbl>
      <w:tblPr>
        <w:tblW w:w="8700" w:type="dxa"/>
        <w:jc w:val="right"/>
        <w:tblLayout w:type="fixed"/>
        <w:tblCellMar>
          <w:left w:w="0" w:type="dxa"/>
          <w:right w:w="0" w:type="dxa"/>
        </w:tblCellMar>
        <w:tblLook w:val="04A0" w:firstRow="1" w:lastRow="0" w:firstColumn="1" w:lastColumn="0" w:noHBand="0" w:noVBand="1"/>
      </w:tblPr>
      <w:tblGrid>
        <w:gridCol w:w="5812"/>
        <w:gridCol w:w="1276"/>
        <w:gridCol w:w="283"/>
        <w:gridCol w:w="1134"/>
        <w:gridCol w:w="195"/>
      </w:tblGrid>
      <w:tr w:rsidR="00DA6B5F" w:rsidRPr="00D52BE3" w14:paraId="63E68E38" w14:textId="77777777" w:rsidTr="006C7621">
        <w:trPr>
          <w:cantSplit/>
          <w:trHeight w:val="255"/>
          <w:jc w:val="right"/>
        </w:trPr>
        <w:tc>
          <w:tcPr>
            <w:tcW w:w="5812" w:type="dxa"/>
            <w:noWrap/>
            <w:tcMar>
              <w:top w:w="17" w:type="dxa"/>
              <w:left w:w="57" w:type="dxa"/>
              <w:bottom w:w="0" w:type="dxa"/>
              <w:right w:w="57" w:type="dxa"/>
            </w:tcMar>
            <w:vAlign w:val="bottom"/>
            <w:hideMark/>
          </w:tcPr>
          <w:p w14:paraId="7FEB7341" w14:textId="77777777" w:rsidR="00DA6B5F" w:rsidRPr="00D52BE3" w:rsidRDefault="00DA6B5F" w:rsidP="00710521">
            <w:pPr>
              <w:rPr>
                <w:b/>
                <w:bCs/>
                <w:sz w:val="20"/>
                <w:szCs w:val="20"/>
              </w:rPr>
            </w:pPr>
          </w:p>
        </w:tc>
        <w:tc>
          <w:tcPr>
            <w:tcW w:w="1276" w:type="dxa"/>
            <w:noWrap/>
            <w:tcMar>
              <w:top w:w="17" w:type="dxa"/>
              <w:left w:w="57" w:type="dxa"/>
              <w:bottom w:w="0" w:type="dxa"/>
              <w:right w:w="57" w:type="dxa"/>
            </w:tcMar>
            <w:vAlign w:val="bottom"/>
            <w:hideMark/>
          </w:tcPr>
          <w:p w14:paraId="06B18592" w14:textId="36AF7873" w:rsidR="00DA6B5F" w:rsidRPr="000B5112" w:rsidRDefault="00DA6B5F" w:rsidP="00710521">
            <w:pPr>
              <w:jc w:val="center"/>
              <w:rPr>
                <w:b/>
                <w:sz w:val="20"/>
                <w:szCs w:val="20"/>
              </w:rPr>
            </w:pPr>
            <w:r w:rsidRPr="000B5112">
              <w:rPr>
                <w:b/>
                <w:sz w:val="20"/>
                <w:szCs w:val="20"/>
              </w:rPr>
              <w:t>202</w:t>
            </w:r>
            <w:r w:rsidR="00EB1C7D">
              <w:rPr>
                <w:b/>
                <w:sz w:val="20"/>
                <w:szCs w:val="20"/>
              </w:rPr>
              <w:t>4</w:t>
            </w:r>
          </w:p>
        </w:tc>
        <w:tc>
          <w:tcPr>
            <w:tcW w:w="283" w:type="dxa"/>
            <w:vAlign w:val="bottom"/>
            <w:hideMark/>
          </w:tcPr>
          <w:p w14:paraId="635DD661" w14:textId="77777777" w:rsidR="00DA6B5F" w:rsidRPr="00D52BE3" w:rsidRDefault="00DA6B5F" w:rsidP="00710521">
            <w:pPr>
              <w:jc w:val="center"/>
              <w:rPr>
                <w:b/>
                <w:bCs/>
                <w:sz w:val="20"/>
                <w:szCs w:val="20"/>
              </w:rPr>
            </w:pPr>
          </w:p>
        </w:tc>
        <w:tc>
          <w:tcPr>
            <w:tcW w:w="1134" w:type="dxa"/>
            <w:noWrap/>
            <w:tcMar>
              <w:top w:w="17" w:type="dxa"/>
              <w:left w:w="0" w:type="dxa"/>
              <w:bottom w:w="0" w:type="dxa"/>
              <w:right w:w="0" w:type="dxa"/>
            </w:tcMar>
            <w:vAlign w:val="bottom"/>
            <w:hideMark/>
          </w:tcPr>
          <w:p w14:paraId="21F624C0" w14:textId="6D4A2217" w:rsidR="00DA6B5F" w:rsidRPr="00D52BE3" w:rsidRDefault="00B34CCB" w:rsidP="00710521">
            <w:pPr>
              <w:jc w:val="center"/>
              <w:rPr>
                <w:b/>
                <w:bCs/>
                <w:sz w:val="20"/>
                <w:szCs w:val="20"/>
              </w:rPr>
            </w:pPr>
            <w:r>
              <w:rPr>
                <w:b/>
                <w:bCs/>
                <w:sz w:val="20"/>
                <w:szCs w:val="20"/>
              </w:rPr>
              <w:t>202</w:t>
            </w:r>
            <w:r w:rsidR="00EB1C7D">
              <w:rPr>
                <w:b/>
                <w:bCs/>
                <w:sz w:val="20"/>
                <w:szCs w:val="20"/>
              </w:rPr>
              <w:t>3</w:t>
            </w:r>
          </w:p>
        </w:tc>
        <w:tc>
          <w:tcPr>
            <w:tcW w:w="195" w:type="dxa"/>
            <w:vAlign w:val="bottom"/>
            <w:hideMark/>
          </w:tcPr>
          <w:p w14:paraId="7AECA799" w14:textId="77777777" w:rsidR="00DA6B5F" w:rsidRPr="00D52BE3" w:rsidRDefault="00DA6B5F" w:rsidP="00710521">
            <w:pPr>
              <w:jc w:val="center"/>
              <w:rPr>
                <w:b/>
                <w:bCs/>
                <w:sz w:val="20"/>
                <w:szCs w:val="20"/>
              </w:rPr>
            </w:pPr>
          </w:p>
        </w:tc>
      </w:tr>
      <w:tr w:rsidR="00DA6B5F" w:rsidRPr="00D52BE3" w14:paraId="72D03B2F" w14:textId="77777777" w:rsidTr="006C7621">
        <w:trPr>
          <w:cantSplit/>
          <w:trHeight w:val="255"/>
          <w:jc w:val="right"/>
        </w:trPr>
        <w:tc>
          <w:tcPr>
            <w:tcW w:w="5812" w:type="dxa"/>
            <w:noWrap/>
            <w:tcMar>
              <w:top w:w="17" w:type="dxa"/>
              <w:left w:w="57" w:type="dxa"/>
              <w:bottom w:w="0" w:type="dxa"/>
              <w:right w:w="57" w:type="dxa"/>
            </w:tcMar>
            <w:vAlign w:val="bottom"/>
          </w:tcPr>
          <w:p w14:paraId="1EEADB14" w14:textId="77777777" w:rsidR="00DA6B5F" w:rsidRPr="00D52BE3" w:rsidRDefault="00DA6B5F" w:rsidP="00710521">
            <w:pPr>
              <w:rPr>
                <w:b/>
                <w:bCs/>
                <w:sz w:val="20"/>
                <w:szCs w:val="20"/>
              </w:rPr>
            </w:pPr>
          </w:p>
        </w:tc>
        <w:tc>
          <w:tcPr>
            <w:tcW w:w="1276" w:type="dxa"/>
            <w:noWrap/>
            <w:tcMar>
              <w:top w:w="17" w:type="dxa"/>
              <w:left w:w="57" w:type="dxa"/>
              <w:bottom w:w="0" w:type="dxa"/>
              <w:right w:w="57" w:type="dxa"/>
            </w:tcMar>
            <w:vAlign w:val="bottom"/>
          </w:tcPr>
          <w:p w14:paraId="32E354D9" w14:textId="77777777" w:rsidR="00DA6B5F" w:rsidRPr="000B5112" w:rsidRDefault="00DA6B5F" w:rsidP="00710521">
            <w:pPr>
              <w:jc w:val="center"/>
              <w:rPr>
                <w:b/>
                <w:sz w:val="20"/>
                <w:szCs w:val="20"/>
              </w:rPr>
            </w:pPr>
            <w:r w:rsidRPr="000B5112">
              <w:rPr>
                <w:b/>
                <w:sz w:val="20"/>
                <w:szCs w:val="20"/>
              </w:rPr>
              <w:t>Land and Buildings</w:t>
            </w:r>
          </w:p>
          <w:p w14:paraId="563AE6B7" w14:textId="77777777" w:rsidR="00DA6B5F" w:rsidRPr="000B5112" w:rsidRDefault="00DA6B5F" w:rsidP="00710521">
            <w:pPr>
              <w:rPr>
                <w:b/>
                <w:sz w:val="20"/>
                <w:szCs w:val="20"/>
              </w:rPr>
            </w:pPr>
          </w:p>
        </w:tc>
        <w:tc>
          <w:tcPr>
            <w:tcW w:w="283" w:type="dxa"/>
            <w:hideMark/>
          </w:tcPr>
          <w:p w14:paraId="2CB1EB2D" w14:textId="77777777" w:rsidR="00DA6B5F" w:rsidRPr="00D52BE3" w:rsidRDefault="00DA6B5F" w:rsidP="00710521">
            <w:pPr>
              <w:jc w:val="center"/>
              <w:rPr>
                <w:b/>
                <w:bCs/>
                <w:sz w:val="20"/>
                <w:szCs w:val="20"/>
              </w:rPr>
            </w:pPr>
          </w:p>
        </w:tc>
        <w:tc>
          <w:tcPr>
            <w:tcW w:w="1134" w:type="dxa"/>
            <w:noWrap/>
            <w:tcMar>
              <w:top w:w="17" w:type="dxa"/>
              <w:left w:w="0" w:type="dxa"/>
              <w:bottom w:w="0" w:type="dxa"/>
              <w:right w:w="0" w:type="dxa"/>
            </w:tcMar>
            <w:vAlign w:val="bottom"/>
          </w:tcPr>
          <w:p w14:paraId="4097D804" w14:textId="77777777" w:rsidR="00DA6B5F" w:rsidRPr="00D52BE3" w:rsidRDefault="00DA6B5F" w:rsidP="00710521">
            <w:pPr>
              <w:jc w:val="center"/>
              <w:rPr>
                <w:b/>
                <w:bCs/>
                <w:sz w:val="20"/>
                <w:szCs w:val="20"/>
              </w:rPr>
            </w:pPr>
            <w:r w:rsidRPr="00D52BE3">
              <w:rPr>
                <w:b/>
                <w:bCs/>
                <w:sz w:val="20"/>
                <w:szCs w:val="20"/>
              </w:rPr>
              <w:t>Land and Buildings</w:t>
            </w:r>
          </w:p>
          <w:p w14:paraId="1C46F3E9" w14:textId="77777777" w:rsidR="00DA6B5F" w:rsidRPr="00D52BE3" w:rsidRDefault="00DA6B5F" w:rsidP="00710521">
            <w:pPr>
              <w:jc w:val="center"/>
              <w:rPr>
                <w:b/>
                <w:bCs/>
                <w:sz w:val="20"/>
                <w:szCs w:val="20"/>
              </w:rPr>
            </w:pPr>
          </w:p>
        </w:tc>
        <w:tc>
          <w:tcPr>
            <w:tcW w:w="195" w:type="dxa"/>
          </w:tcPr>
          <w:p w14:paraId="6907FF0B" w14:textId="77777777" w:rsidR="00DA6B5F" w:rsidRPr="00D52BE3" w:rsidRDefault="00DA6B5F" w:rsidP="00DA6B5F">
            <w:pPr>
              <w:jc w:val="center"/>
              <w:rPr>
                <w:b/>
                <w:bCs/>
                <w:sz w:val="20"/>
                <w:szCs w:val="20"/>
              </w:rPr>
            </w:pPr>
          </w:p>
        </w:tc>
      </w:tr>
      <w:tr w:rsidR="00DA6B5F" w:rsidRPr="00D52BE3" w14:paraId="679B18B6" w14:textId="77777777" w:rsidTr="006C7621">
        <w:trPr>
          <w:cantSplit/>
          <w:trHeight w:val="255"/>
          <w:jc w:val="right"/>
        </w:trPr>
        <w:tc>
          <w:tcPr>
            <w:tcW w:w="5812" w:type="dxa"/>
            <w:noWrap/>
            <w:tcMar>
              <w:top w:w="17" w:type="dxa"/>
              <w:left w:w="57" w:type="dxa"/>
              <w:bottom w:w="0" w:type="dxa"/>
              <w:right w:w="57" w:type="dxa"/>
            </w:tcMar>
            <w:vAlign w:val="bottom"/>
          </w:tcPr>
          <w:p w14:paraId="397B7362" w14:textId="77777777" w:rsidR="00DA6B5F" w:rsidRPr="00D52BE3" w:rsidRDefault="00DA6B5F" w:rsidP="00710521">
            <w:pPr>
              <w:ind w:left="2186"/>
              <w:rPr>
                <w:b/>
                <w:bCs/>
                <w:sz w:val="20"/>
                <w:szCs w:val="20"/>
              </w:rPr>
            </w:pPr>
          </w:p>
        </w:tc>
        <w:tc>
          <w:tcPr>
            <w:tcW w:w="1276" w:type="dxa"/>
            <w:noWrap/>
            <w:tcMar>
              <w:top w:w="17" w:type="dxa"/>
              <w:left w:w="57" w:type="dxa"/>
              <w:bottom w:w="0" w:type="dxa"/>
              <w:right w:w="57" w:type="dxa"/>
            </w:tcMar>
            <w:vAlign w:val="bottom"/>
            <w:hideMark/>
          </w:tcPr>
          <w:p w14:paraId="50065370" w14:textId="77777777" w:rsidR="00DA6B5F" w:rsidRPr="00D52BE3" w:rsidRDefault="00DA6B5F" w:rsidP="00710521">
            <w:pPr>
              <w:jc w:val="center"/>
              <w:rPr>
                <w:b/>
                <w:bCs/>
                <w:sz w:val="20"/>
                <w:szCs w:val="20"/>
              </w:rPr>
            </w:pPr>
            <w:r w:rsidRPr="00D52BE3">
              <w:rPr>
                <w:b/>
                <w:bCs/>
                <w:sz w:val="20"/>
                <w:szCs w:val="20"/>
              </w:rPr>
              <w:t>£000</w:t>
            </w:r>
          </w:p>
        </w:tc>
        <w:tc>
          <w:tcPr>
            <w:tcW w:w="283" w:type="dxa"/>
            <w:vAlign w:val="bottom"/>
            <w:hideMark/>
          </w:tcPr>
          <w:p w14:paraId="1DBBCB8D" w14:textId="77777777" w:rsidR="00DA6B5F" w:rsidRPr="00D52BE3" w:rsidRDefault="00DA6B5F" w:rsidP="00710521">
            <w:pPr>
              <w:jc w:val="center"/>
              <w:rPr>
                <w:b/>
                <w:bCs/>
                <w:sz w:val="20"/>
                <w:szCs w:val="20"/>
              </w:rPr>
            </w:pPr>
          </w:p>
        </w:tc>
        <w:tc>
          <w:tcPr>
            <w:tcW w:w="1134" w:type="dxa"/>
            <w:noWrap/>
            <w:tcMar>
              <w:top w:w="17" w:type="dxa"/>
              <w:left w:w="0" w:type="dxa"/>
              <w:bottom w:w="0" w:type="dxa"/>
              <w:right w:w="0" w:type="dxa"/>
            </w:tcMar>
            <w:vAlign w:val="bottom"/>
            <w:hideMark/>
          </w:tcPr>
          <w:p w14:paraId="487CAE39" w14:textId="77777777" w:rsidR="00DA6B5F" w:rsidRPr="00D52BE3" w:rsidRDefault="00DA6B5F" w:rsidP="00710521">
            <w:pPr>
              <w:jc w:val="center"/>
              <w:rPr>
                <w:b/>
                <w:bCs/>
                <w:sz w:val="20"/>
                <w:szCs w:val="20"/>
              </w:rPr>
            </w:pPr>
            <w:r w:rsidRPr="00D52BE3">
              <w:rPr>
                <w:b/>
                <w:bCs/>
                <w:sz w:val="20"/>
                <w:szCs w:val="20"/>
              </w:rPr>
              <w:t>£000</w:t>
            </w:r>
          </w:p>
        </w:tc>
        <w:tc>
          <w:tcPr>
            <w:tcW w:w="195" w:type="dxa"/>
            <w:vAlign w:val="bottom"/>
            <w:hideMark/>
          </w:tcPr>
          <w:p w14:paraId="72349DEA" w14:textId="77777777" w:rsidR="00DA6B5F" w:rsidRPr="00D52BE3" w:rsidRDefault="00DA6B5F" w:rsidP="00710521">
            <w:pPr>
              <w:jc w:val="center"/>
              <w:rPr>
                <w:b/>
                <w:bCs/>
                <w:sz w:val="20"/>
                <w:szCs w:val="20"/>
              </w:rPr>
            </w:pPr>
          </w:p>
        </w:tc>
      </w:tr>
      <w:tr w:rsidR="001B7F15" w:rsidRPr="006C7621" w14:paraId="2019B757" w14:textId="77777777" w:rsidTr="006C7621">
        <w:trPr>
          <w:cantSplit/>
          <w:trHeight w:val="255"/>
          <w:jc w:val="right"/>
        </w:trPr>
        <w:tc>
          <w:tcPr>
            <w:tcW w:w="5812" w:type="dxa"/>
            <w:noWrap/>
            <w:tcMar>
              <w:top w:w="17" w:type="dxa"/>
              <w:left w:w="57" w:type="dxa"/>
              <w:bottom w:w="0" w:type="dxa"/>
              <w:right w:w="57" w:type="dxa"/>
            </w:tcMar>
            <w:vAlign w:val="bottom"/>
            <w:hideMark/>
          </w:tcPr>
          <w:p w14:paraId="440FDDF3" w14:textId="77777777" w:rsidR="001B7F15" w:rsidRPr="006C7621" w:rsidRDefault="001B7F15" w:rsidP="001B7F15">
            <w:pPr>
              <w:rPr>
                <w:sz w:val="22"/>
                <w:szCs w:val="22"/>
              </w:rPr>
            </w:pPr>
            <w:r w:rsidRPr="006C7621">
              <w:rPr>
                <w:sz w:val="22"/>
                <w:szCs w:val="22"/>
              </w:rPr>
              <w:t>Operating lease payments due:</w:t>
            </w:r>
          </w:p>
        </w:tc>
        <w:tc>
          <w:tcPr>
            <w:tcW w:w="1276" w:type="dxa"/>
            <w:noWrap/>
            <w:tcMar>
              <w:top w:w="17" w:type="dxa"/>
              <w:left w:w="57" w:type="dxa"/>
              <w:bottom w:w="0" w:type="dxa"/>
              <w:right w:w="57" w:type="dxa"/>
            </w:tcMar>
          </w:tcPr>
          <w:p w14:paraId="2FC29955" w14:textId="77777777" w:rsidR="001B7F15" w:rsidRPr="006C7621" w:rsidRDefault="001B7F15" w:rsidP="001B7F15">
            <w:pPr>
              <w:jc w:val="center"/>
              <w:rPr>
                <w:sz w:val="22"/>
                <w:szCs w:val="22"/>
              </w:rPr>
            </w:pPr>
          </w:p>
        </w:tc>
        <w:tc>
          <w:tcPr>
            <w:tcW w:w="283" w:type="dxa"/>
          </w:tcPr>
          <w:p w14:paraId="5781147D" w14:textId="77777777" w:rsidR="001B7F15" w:rsidRPr="006C7621" w:rsidRDefault="001B7F15" w:rsidP="001B7F15">
            <w:pPr>
              <w:jc w:val="center"/>
              <w:rPr>
                <w:sz w:val="22"/>
                <w:szCs w:val="22"/>
              </w:rPr>
            </w:pPr>
          </w:p>
        </w:tc>
        <w:tc>
          <w:tcPr>
            <w:tcW w:w="1134" w:type="dxa"/>
            <w:noWrap/>
            <w:tcMar>
              <w:top w:w="17" w:type="dxa"/>
              <w:left w:w="0" w:type="dxa"/>
              <w:bottom w:w="0" w:type="dxa"/>
              <w:right w:w="0" w:type="dxa"/>
            </w:tcMar>
          </w:tcPr>
          <w:p w14:paraId="0DFBEB9C" w14:textId="77777777" w:rsidR="001B7F15" w:rsidRPr="006C7621" w:rsidRDefault="001B7F15" w:rsidP="001B7F15">
            <w:pPr>
              <w:jc w:val="center"/>
              <w:rPr>
                <w:sz w:val="22"/>
                <w:szCs w:val="22"/>
              </w:rPr>
            </w:pPr>
          </w:p>
        </w:tc>
        <w:tc>
          <w:tcPr>
            <w:tcW w:w="195" w:type="dxa"/>
          </w:tcPr>
          <w:p w14:paraId="148A7E3D" w14:textId="77777777" w:rsidR="001B7F15" w:rsidRPr="006C7621" w:rsidRDefault="001B7F15" w:rsidP="001B7F15">
            <w:pPr>
              <w:jc w:val="center"/>
              <w:rPr>
                <w:sz w:val="22"/>
                <w:szCs w:val="22"/>
              </w:rPr>
            </w:pPr>
          </w:p>
        </w:tc>
      </w:tr>
      <w:tr w:rsidR="00EB1C7D" w:rsidRPr="006C7621" w14:paraId="3F2D9BE7" w14:textId="77777777" w:rsidTr="006C7621">
        <w:trPr>
          <w:cantSplit/>
          <w:trHeight w:val="255"/>
          <w:jc w:val="right"/>
        </w:trPr>
        <w:tc>
          <w:tcPr>
            <w:tcW w:w="5812" w:type="dxa"/>
            <w:noWrap/>
            <w:tcMar>
              <w:top w:w="17" w:type="dxa"/>
              <w:left w:w="57" w:type="dxa"/>
              <w:bottom w:w="0" w:type="dxa"/>
              <w:right w:w="57" w:type="dxa"/>
            </w:tcMar>
            <w:vAlign w:val="center"/>
            <w:hideMark/>
          </w:tcPr>
          <w:p w14:paraId="159B3B88" w14:textId="77777777" w:rsidR="00EB1C7D" w:rsidRPr="006C7621" w:rsidRDefault="00EB1C7D" w:rsidP="00EB1C7D">
            <w:pPr>
              <w:rPr>
                <w:sz w:val="22"/>
                <w:szCs w:val="22"/>
              </w:rPr>
            </w:pPr>
            <w:r w:rsidRPr="006C7621">
              <w:rPr>
                <w:sz w:val="22"/>
                <w:szCs w:val="22"/>
              </w:rPr>
              <w:t>Within one year</w:t>
            </w:r>
          </w:p>
        </w:tc>
        <w:tc>
          <w:tcPr>
            <w:tcW w:w="1276" w:type="dxa"/>
            <w:noWrap/>
            <w:tcMar>
              <w:top w:w="17" w:type="dxa"/>
              <w:left w:w="57" w:type="dxa"/>
              <w:bottom w:w="0" w:type="dxa"/>
              <w:right w:w="57" w:type="dxa"/>
            </w:tcMar>
            <w:vAlign w:val="center"/>
          </w:tcPr>
          <w:p w14:paraId="7F478959" w14:textId="14BD7FE0" w:rsidR="00EB1C7D" w:rsidRPr="006C7621" w:rsidRDefault="00046BE0" w:rsidP="00EB1C7D">
            <w:pPr>
              <w:jc w:val="center"/>
              <w:rPr>
                <w:sz w:val="22"/>
                <w:szCs w:val="22"/>
              </w:rPr>
            </w:pPr>
            <w:r>
              <w:rPr>
                <w:sz w:val="22"/>
                <w:szCs w:val="22"/>
              </w:rPr>
              <w:t>800</w:t>
            </w:r>
          </w:p>
        </w:tc>
        <w:tc>
          <w:tcPr>
            <w:tcW w:w="283" w:type="dxa"/>
            <w:vAlign w:val="center"/>
          </w:tcPr>
          <w:p w14:paraId="766D1D54" w14:textId="77777777" w:rsidR="00EB1C7D" w:rsidRPr="006C7621" w:rsidRDefault="00EB1C7D" w:rsidP="00EB1C7D">
            <w:pPr>
              <w:jc w:val="center"/>
              <w:rPr>
                <w:sz w:val="22"/>
                <w:szCs w:val="22"/>
              </w:rPr>
            </w:pPr>
          </w:p>
        </w:tc>
        <w:tc>
          <w:tcPr>
            <w:tcW w:w="1134" w:type="dxa"/>
            <w:noWrap/>
            <w:tcMar>
              <w:top w:w="17" w:type="dxa"/>
              <w:left w:w="0" w:type="dxa"/>
              <w:bottom w:w="0" w:type="dxa"/>
              <w:right w:w="0" w:type="dxa"/>
            </w:tcMar>
            <w:vAlign w:val="center"/>
            <w:hideMark/>
          </w:tcPr>
          <w:p w14:paraId="530B2569" w14:textId="26CCE5FE" w:rsidR="00EB1C7D" w:rsidRPr="006C7621" w:rsidRDefault="00EB1C7D" w:rsidP="00EB1C7D">
            <w:pPr>
              <w:jc w:val="center"/>
              <w:rPr>
                <w:sz w:val="22"/>
                <w:szCs w:val="22"/>
              </w:rPr>
            </w:pPr>
            <w:r w:rsidRPr="006C7621">
              <w:rPr>
                <w:sz w:val="22"/>
                <w:szCs w:val="22"/>
              </w:rPr>
              <w:t>160</w:t>
            </w:r>
          </w:p>
        </w:tc>
        <w:tc>
          <w:tcPr>
            <w:tcW w:w="195" w:type="dxa"/>
            <w:vAlign w:val="center"/>
            <w:hideMark/>
          </w:tcPr>
          <w:p w14:paraId="6DA71DC2" w14:textId="77777777" w:rsidR="00EB1C7D" w:rsidRPr="006C7621" w:rsidRDefault="00EB1C7D" w:rsidP="00EB1C7D">
            <w:pPr>
              <w:jc w:val="center"/>
              <w:rPr>
                <w:sz w:val="22"/>
                <w:szCs w:val="22"/>
              </w:rPr>
            </w:pPr>
          </w:p>
        </w:tc>
      </w:tr>
      <w:tr w:rsidR="00EB1C7D" w:rsidRPr="006C7621" w14:paraId="5F7BCC67" w14:textId="77777777" w:rsidTr="006C7621">
        <w:trPr>
          <w:cantSplit/>
          <w:trHeight w:val="255"/>
          <w:jc w:val="right"/>
        </w:trPr>
        <w:tc>
          <w:tcPr>
            <w:tcW w:w="5812" w:type="dxa"/>
            <w:noWrap/>
            <w:tcMar>
              <w:top w:w="17" w:type="dxa"/>
              <w:left w:w="57" w:type="dxa"/>
              <w:bottom w:w="0" w:type="dxa"/>
              <w:right w:w="57" w:type="dxa"/>
            </w:tcMar>
            <w:vAlign w:val="center"/>
            <w:hideMark/>
          </w:tcPr>
          <w:p w14:paraId="53C2D3A5" w14:textId="77777777" w:rsidR="00EB1C7D" w:rsidRPr="006C7621" w:rsidRDefault="00EB1C7D" w:rsidP="00EB1C7D">
            <w:pPr>
              <w:rPr>
                <w:sz w:val="22"/>
                <w:szCs w:val="22"/>
              </w:rPr>
            </w:pPr>
            <w:r w:rsidRPr="006C7621">
              <w:rPr>
                <w:sz w:val="22"/>
                <w:szCs w:val="22"/>
              </w:rPr>
              <w:t>In the second to fifth years inclusive</w:t>
            </w:r>
          </w:p>
        </w:tc>
        <w:tc>
          <w:tcPr>
            <w:tcW w:w="1276" w:type="dxa"/>
            <w:noWrap/>
            <w:tcMar>
              <w:top w:w="17" w:type="dxa"/>
              <w:left w:w="57" w:type="dxa"/>
              <w:bottom w:w="0" w:type="dxa"/>
              <w:right w:w="57" w:type="dxa"/>
            </w:tcMar>
            <w:vAlign w:val="center"/>
          </w:tcPr>
          <w:p w14:paraId="743E3BE7" w14:textId="02CF905F" w:rsidR="00EB1C7D" w:rsidRPr="006C7621" w:rsidRDefault="00754168" w:rsidP="00EB1C7D">
            <w:pPr>
              <w:jc w:val="center"/>
              <w:rPr>
                <w:sz w:val="22"/>
                <w:szCs w:val="22"/>
              </w:rPr>
            </w:pPr>
            <w:r>
              <w:rPr>
                <w:sz w:val="22"/>
                <w:szCs w:val="22"/>
              </w:rPr>
              <w:t>404</w:t>
            </w:r>
          </w:p>
        </w:tc>
        <w:tc>
          <w:tcPr>
            <w:tcW w:w="283" w:type="dxa"/>
            <w:vAlign w:val="center"/>
          </w:tcPr>
          <w:p w14:paraId="128CFA64" w14:textId="77777777" w:rsidR="00EB1C7D" w:rsidRPr="006C7621" w:rsidRDefault="00EB1C7D" w:rsidP="00EB1C7D">
            <w:pPr>
              <w:jc w:val="center"/>
              <w:rPr>
                <w:sz w:val="22"/>
                <w:szCs w:val="22"/>
              </w:rPr>
            </w:pPr>
          </w:p>
        </w:tc>
        <w:tc>
          <w:tcPr>
            <w:tcW w:w="1134" w:type="dxa"/>
            <w:noWrap/>
            <w:tcMar>
              <w:top w:w="17" w:type="dxa"/>
              <w:left w:w="0" w:type="dxa"/>
              <w:bottom w:w="0" w:type="dxa"/>
              <w:right w:w="0" w:type="dxa"/>
            </w:tcMar>
            <w:vAlign w:val="center"/>
            <w:hideMark/>
          </w:tcPr>
          <w:p w14:paraId="456E9057" w14:textId="1FAAB6D3" w:rsidR="00EB1C7D" w:rsidRPr="006C7621" w:rsidRDefault="00EB1C7D" w:rsidP="00EB1C7D">
            <w:pPr>
              <w:jc w:val="center"/>
              <w:rPr>
                <w:sz w:val="22"/>
                <w:szCs w:val="22"/>
              </w:rPr>
            </w:pPr>
            <w:r w:rsidRPr="006C7621">
              <w:rPr>
                <w:sz w:val="22"/>
                <w:szCs w:val="22"/>
              </w:rPr>
              <w:t>23</w:t>
            </w:r>
          </w:p>
        </w:tc>
        <w:tc>
          <w:tcPr>
            <w:tcW w:w="195" w:type="dxa"/>
            <w:vAlign w:val="center"/>
            <w:hideMark/>
          </w:tcPr>
          <w:p w14:paraId="3DA4346B" w14:textId="77777777" w:rsidR="00EB1C7D" w:rsidRPr="006C7621" w:rsidRDefault="00EB1C7D" w:rsidP="00EB1C7D">
            <w:pPr>
              <w:jc w:val="center"/>
              <w:rPr>
                <w:sz w:val="22"/>
                <w:szCs w:val="22"/>
              </w:rPr>
            </w:pPr>
          </w:p>
        </w:tc>
      </w:tr>
      <w:tr w:rsidR="00EB1C7D" w:rsidRPr="006C7621" w14:paraId="5F145BC2" w14:textId="77777777" w:rsidTr="006C7621">
        <w:trPr>
          <w:cantSplit/>
          <w:trHeight w:val="255"/>
          <w:jc w:val="right"/>
        </w:trPr>
        <w:tc>
          <w:tcPr>
            <w:tcW w:w="5812" w:type="dxa"/>
            <w:noWrap/>
            <w:tcMar>
              <w:top w:w="17" w:type="dxa"/>
              <w:left w:w="57" w:type="dxa"/>
              <w:bottom w:w="0" w:type="dxa"/>
              <w:right w:w="57" w:type="dxa"/>
            </w:tcMar>
            <w:vAlign w:val="center"/>
            <w:hideMark/>
          </w:tcPr>
          <w:p w14:paraId="2B5D7BF6" w14:textId="77777777" w:rsidR="00EB1C7D" w:rsidRPr="006C7621" w:rsidRDefault="00EB1C7D" w:rsidP="00EB1C7D">
            <w:pPr>
              <w:rPr>
                <w:sz w:val="22"/>
                <w:szCs w:val="22"/>
              </w:rPr>
            </w:pPr>
            <w:r w:rsidRPr="006C7621">
              <w:rPr>
                <w:sz w:val="22"/>
                <w:szCs w:val="22"/>
              </w:rPr>
              <w:t>Over five years</w:t>
            </w:r>
          </w:p>
        </w:tc>
        <w:tc>
          <w:tcPr>
            <w:tcW w:w="1276" w:type="dxa"/>
            <w:noWrap/>
            <w:tcMar>
              <w:top w:w="17" w:type="dxa"/>
              <w:left w:w="57" w:type="dxa"/>
              <w:bottom w:w="0" w:type="dxa"/>
              <w:right w:w="57" w:type="dxa"/>
            </w:tcMar>
            <w:vAlign w:val="center"/>
          </w:tcPr>
          <w:p w14:paraId="3C695F77" w14:textId="6FE2344C" w:rsidR="00EB1C7D" w:rsidRPr="006C7621" w:rsidRDefault="00754168" w:rsidP="00EB1C7D">
            <w:pPr>
              <w:jc w:val="center"/>
              <w:rPr>
                <w:sz w:val="22"/>
                <w:szCs w:val="22"/>
              </w:rPr>
            </w:pPr>
            <w:r>
              <w:rPr>
                <w:sz w:val="22"/>
                <w:szCs w:val="22"/>
              </w:rPr>
              <w:t>-</w:t>
            </w:r>
          </w:p>
        </w:tc>
        <w:tc>
          <w:tcPr>
            <w:tcW w:w="283" w:type="dxa"/>
            <w:vAlign w:val="center"/>
          </w:tcPr>
          <w:p w14:paraId="31801C91" w14:textId="77777777" w:rsidR="00EB1C7D" w:rsidRPr="006C7621" w:rsidRDefault="00EB1C7D" w:rsidP="00EB1C7D">
            <w:pPr>
              <w:jc w:val="center"/>
              <w:rPr>
                <w:sz w:val="22"/>
                <w:szCs w:val="22"/>
              </w:rPr>
            </w:pPr>
          </w:p>
        </w:tc>
        <w:tc>
          <w:tcPr>
            <w:tcW w:w="1134" w:type="dxa"/>
            <w:noWrap/>
            <w:tcMar>
              <w:top w:w="17" w:type="dxa"/>
              <w:left w:w="0" w:type="dxa"/>
              <w:bottom w:w="0" w:type="dxa"/>
              <w:right w:w="0" w:type="dxa"/>
            </w:tcMar>
            <w:vAlign w:val="center"/>
            <w:hideMark/>
          </w:tcPr>
          <w:p w14:paraId="1AD4B354" w14:textId="411FACBC" w:rsidR="00EB1C7D" w:rsidRPr="006C7621" w:rsidRDefault="00EB1C7D" w:rsidP="00EB1C7D">
            <w:pPr>
              <w:jc w:val="center"/>
              <w:rPr>
                <w:sz w:val="22"/>
                <w:szCs w:val="22"/>
              </w:rPr>
            </w:pPr>
            <w:r w:rsidRPr="006C7621">
              <w:rPr>
                <w:sz w:val="22"/>
                <w:szCs w:val="22"/>
              </w:rPr>
              <w:t>-</w:t>
            </w:r>
          </w:p>
        </w:tc>
        <w:tc>
          <w:tcPr>
            <w:tcW w:w="195" w:type="dxa"/>
            <w:vAlign w:val="center"/>
            <w:hideMark/>
          </w:tcPr>
          <w:p w14:paraId="6CF07062" w14:textId="77777777" w:rsidR="00EB1C7D" w:rsidRPr="006C7621" w:rsidRDefault="00EB1C7D" w:rsidP="00EB1C7D">
            <w:pPr>
              <w:jc w:val="center"/>
              <w:rPr>
                <w:sz w:val="22"/>
                <w:szCs w:val="22"/>
              </w:rPr>
            </w:pPr>
          </w:p>
        </w:tc>
      </w:tr>
      <w:tr w:rsidR="00EB1C7D" w:rsidRPr="006C7621" w14:paraId="65AAC5BB" w14:textId="77777777" w:rsidTr="006C7621">
        <w:trPr>
          <w:cantSplit/>
          <w:trHeight w:val="255"/>
          <w:jc w:val="right"/>
        </w:trPr>
        <w:tc>
          <w:tcPr>
            <w:tcW w:w="5812" w:type="dxa"/>
            <w:noWrap/>
            <w:tcMar>
              <w:top w:w="17" w:type="dxa"/>
              <w:left w:w="57" w:type="dxa"/>
              <w:bottom w:w="0" w:type="dxa"/>
              <w:right w:w="57" w:type="dxa"/>
            </w:tcMar>
            <w:vAlign w:val="bottom"/>
          </w:tcPr>
          <w:p w14:paraId="577FB564" w14:textId="77777777" w:rsidR="00EB1C7D" w:rsidRPr="006C7621" w:rsidRDefault="00EB1C7D" w:rsidP="00EB1C7D">
            <w:pPr>
              <w:rPr>
                <w:sz w:val="22"/>
                <w:szCs w:val="22"/>
              </w:rPr>
            </w:pPr>
          </w:p>
        </w:tc>
        <w:tc>
          <w:tcPr>
            <w:tcW w:w="1276" w:type="dxa"/>
            <w:tcBorders>
              <w:top w:val="single" w:sz="4" w:space="0" w:color="auto"/>
              <w:left w:val="nil"/>
              <w:bottom w:val="single" w:sz="4" w:space="0" w:color="auto"/>
              <w:right w:val="nil"/>
            </w:tcBorders>
            <w:noWrap/>
            <w:tcMar>
              <w:top w:w="17" w:type="dxa"/>
              <w:left w:w="57" w:type="dxa"/>
              <w:bottom w:w="0" w:type="dxa"/>
              <w:right w:w="57" w:type="dxa"/>
            </w:tcMar>
          </w:tcPr>
          <w:p w14:paraId="595EA939" w14:textId="6FA96C10" w:rsidR="00EB1C7D" w:rsidRPr="006C7621" w:rsidRDefault="00046BE0" w:rsidP="00EB1C7D">
            <w:pPr>
              <w:jc w:val="center"/>
              <w:rPr>
                <w:sz w:val="22"/>
                <w:szCs w:val="22"/>
              </w:rPr>
            </w:pPr>
            <w:r>
              <w:rPr>
                <w:sz w:val="22"/>
                <w:szCs w:val="22"/>
              </w:rPr>
              <w:t>1,204</w:t>
            </w:r>
          </w:p>
        </w:tc>
        <w:tc>
          <w:tcPr>
            <w:tcW w:w="283" w:type="dxa"/>
            <w:tcBorders>
              <w:left w:val="nil"/>
              <w:right w:val="nil"/>
            </w:tcBorders>
          </w:tcPr>
          <w:p w14:paraId="1F8EDF21" w14:textId="77777777" w:rsidR="00EB1C7D" w:rsidRPr="006C7621" w:rsidRDefault="00EB1C7D" w:rsidP="00EB1C7D">
            <w:pPr>
              <w:jc w:val="center"/>
              <w:rPr>
                <w:sz w:val="22"/>
                <w:szCs w:val="22"/>
              </w:rPr>
            </w:pPr>
          </w:p>
        </w:tc>
        <w:tc>
          <w:tcPr>
            <w:tcW w:w="1134" w:type="dxa"/>
            <w:tcBorders>
              <w:top w:val="single" w:sz="4" w:space="0" w:color="auto"/>
              <w:left w:val="nil"/>
              <w:bottom w:val="single" w:sz="4" w:space="0" w:color="auto"/>
              <w:right w:val="nil"/>
            </w:tcBorders>
            <w:noWrap/>
            <w:tcMar>
              <w:top w:w="17" w:type="dxa"/>
              <w:left w:w="0" w:type="dxa"/>
              <w:bottom w:w="0" w:type="dxa"/>
              <w:right w:w="0" w:type="dxa"/>
            </w:tcMar>
            <w:hideMark/>
          </w:tcPr>
          <w:p w14:paraId="4712AC49" w14:textId="65BD6125" w:rsidR="00EB1C7D" w:rsidRPr="006C7621" w:rsidRDefault="00EB1C7D" w:rsidP="00EB1C7D">
            <w:pPr>
              <w:jc w:val="center"/>
              <w:rPr>
                <w:sz w:val="22"/>
                <w:szCs w:val="22"/>
              </w:rPr>
            </w:pPr>
            <w:r w:rsidRPr="006C7621">
              <w:rPr>
                <w:sz w:val="22"/>
                <w:szCs w:val="22"/>
              </w:rPr>
              <w:t>183</w:t>
            </w:r>
          </w:p>
        </w:tc>
        <w:tc>
          <w:tcPr>
            <w:tcW w:w="195" w:type="dxa"/>
            <w:tcBorders>
              <w:left w:val="nil"/>
              <w:right w:val="nil"/>
            </w:tcBorders>
            <w:hideMark/>
          </w:tcPr>
          <w:p w14:paraId="3268484F" w14:textId="77777777" w:rsidR="00EB1C7D" w:rsidRPr="006C7621" w:rsidRDefault="00EB1C7D" w:rsidP="00EB1C7D">
            <w:pPr>
              <w:jc w:val="center"/>
              <w:rPr>
                <w:sz w:val="22"/>
                <w:szCs w:val="22"/>
              </w:rPr>
            </w:pPr>
          </w:p>
        </w:tc>
      </w:tr>
    </w:tbl>
    <w:p w14:paraId="63707843" w14:textId="77777777" w:rsidR="00DA6B5F" w:rsidRPr="006C7621" w:rsidRDefault="00DA6B5F" w:rsidP="00DA6B5F">
      <w:pPr>
        <w:pStyle w:val="BodyText"/>
        <w:jc w:val="both"/>
        <w:rPr>
          <w:sz w:val="24"/>
        </w:rPr>
      </w:pPr>
    </w:p>
    <w:p w14:paraId="019AA368" w14:textId="6DEE35D9" w:rsidR="00DA6B5F" w:rsidRDefault="00DA6B5F" w:rsidP="00DA6B5F">
      <w:pPr>
        <w:pStyle w:val="BodyText"/>
        <w:jc w:val="both"/>
        <w:rPr>
          <w:sz w:val="22"/>
          <w:szCs w:val="22"/>
        </w:rPr>
      </w:pPr>
      <w:r w:rsidRPr="006F7AC7">
        <w:rPr>
          <w:sz w:val="22"/>
          <w:szCs w:val="22"/>
        </w:rPr>
        <w:t xml:space="preserve">Lease commitments include the timing of the full payment due under contract as required by FRS 102. </w:t>
      </w:r>
      <w:r w:rsidR="00C46DF2">
        <w:rPr>
          <w:sz w:val="22"/>
          <w:szCs w:val="22"/>
        </w:rPr>
        <w:t>WHS’s</w:t>
      </w:r>
      <w:r w:rsidRPr="006F7AC7">
        <w:rPr>
          <w:sz w:val="22"/>
          <w:szCs w:val="22"/>
        </w:rPr>
        <w:t xml:space="preserve"> social housing properties are held under operating leases and are tenanted under cancellable operating lease conditions. As such, no disclosure of tenant leases under FRS 102 section 20.30 is made.</w:t>
      </w:r>
      <w:r>
        <w:rPr>
          <w:sz w:val="22"/>
          <w:szCs w:val="22"/>
        </w:rPr>
        <w:t xml:space="preserve"> </w:t>
      </w:r>
    </w:p>
    <w:p w14:paraId="6911BBDE" w14:textId="77777777" w:rsidR="00FE3015" w:rsidRDefault="00FE3015" w:rsidP="006C7621">
      <w:pPr>
        <w:spacing w:line="276" w:lineRule="auto"/>
        <w:rPr>
          <w:b/>
          <w:bCs/>
          <w:sz w:val="22"/>
          <w:szCs w:val="22"/>
        </w:rPr>
      </w:pPr>
    </w:p>
    <w:p w14:paraId="73FDC4A4" w14:textId="77777777" w:rsidR="00FE3015" w:rsidRDefault="00FE3015">
      <w:pPr>
        <w:rPr>
          <w:b/>
          <w:bCs/>
          <w:sz w:val="22"/>
          <w:szCs w:val="22"/>
        </w:rPr>
      </w:pPr>
      <w:r>
        <w:rPr>
          <w:b/>
          <w:bCs/>
          <w:sz w:val="22"/>
          <w:szCs w:val="22"/>
        </w:rPr>
        <w:br w:type="page"/>
      </w:r>
    </w:p>
    <w:p w14:paraId="124BC428" w14:textId="19A761AD" w:rsidR="006C7621" w:rsidRPr="00F031B6" w:rsidRDefault="006C7621" w:rsidP="006C7621">
      <w:pPr>
        <w:spacing w:line="276" w:lineRule="auto"/>
        <w:rPr>
          <w:b/>
          <w:bCs/>
          <w:sz w:val="22"/>
          <w:szCs w:val="22"/>
        </w:rPr>
      </w:pPr>
      <w:r w:rsidRPr="00F031B6">
        <w:rPr>
          <w:b/>
          <w:bCs/>
          <w:sz w:val="22"/>
          <w:szCs w:val="22"/>
        </w:rPr>
        <w:lastRenderedPageBreak/>
        <w:t>NOTES TO THE FINANCIAL STATEMENTS FOR THE YEAR ENDED 31 MARCH 202</w:t>
      </w:r>
      <w:r w:rsidR="00A1297B">
        <w:rPr>
          <w:b/>
          <w:bCs/>
          <w:sz w:val="22"/>
          <w:szCs w:val="22"/>
        </w:rPr>
        <w:t>4</w:t>
      </w:r>
      <w:r w:rsidRPr="00F031B6">
        <w:rPr>
          <w:b/>
          <w:bCs/>
          <w:sz w:val="22"/>
          <w:szCs w:val="22"/>
        </w:rPr>
        <w:t xml:space="preserve"> (continued)</w:t>
      </w:r>
    </w:p>
    <w:p w14:paraId="47BBF27E" w14:textId="77777777" w:rsidR="00896104" w:rsidRDefault="00896104" w:rsidP="00AA3450">
      <w:pPr>
        <w:rPr>
          <w:b/>
          <w:sz w:val="22"/>
          <w:szCs w:val="22"/>
        </w:rPr>
      </w:pPr>
    </w:p>
    <w:p w14:paraId="18AA9377" w14:textId="43C904FA" w:rsidR="00AA3450" w:rsidRPr="008032C0" w:rsidRDefault="00AA3450" w:rsidP="00AA3450">
      <w:pPr>
        <w:rPr>
          <w:b/>
          <w:sz w:val="22"/>
          <w:szCs w:val="22"/>
        </w:rPr>
      </w:pPr>
      <w:r w:rsidRPr="008032C0">
        <w:rPr>
          <w:b/>
          <w:sz w:val="22"/>
          <w:szCs w:val="22"/>
        </w:rPr>
        <w:t>1</w:t>
      </w:r>
      <w:r w:rsidR="00AF5224">
        <w:rPr>
          <w:b/>
          <w:sz w:val="22"/>
          <w:szCs w:val="22"/>
        </w:rPr>
        <w:t>4</w:t>
      </w:r>
      <w:r w:rsidRPr="008032C0">
        <w:rPr>
          <w:b/>
          <w:sz w:val="22"/>
          <w:szCs w:val="22"/>
        </w:rPr>
        <w:t>.</w:t>
      </w:r>
      <w:r w:rsidRPr="008032C0">
        <w:rPr>
          <w:b/>
          <w:sz w:val="22"/>
          <w:szCs w:val="22"/>
        </w:rPr>
        <w:tab/>
        <w:t xml:space="preserve">Tangible fixed assets </w:t>
      </w:r>
    </w:p>
    <w:p w14:paraId="62E7F4A6" w14:textId="77777777" w:rsidR="00AA3450" w:rsidRDefault="00AA3450" w:rsidP="00134B8F">
      <w:pPr>
        <w:jc w:val="both"/>
        <w:rPr>
          <w:b/>
          <w:sz w:val="22"/>
        </w:rPr>
      </w:pPr>
    </w:p>
    <w:p w14:paraId="77A17BE3" w14:textId="28AA3954" w:rsidR="00AA3450" w:rsidRDefault="00AA3450" w:rsidP="00134B8F">
      <w:pPr>
        <w:jc w:val="both"/>
        <w:rPr>
          <w:b/>
          <w:sz w:val="22"/>
        </w:rPr>
      </w:pPr>
      <w:r w:rsidRPr="00AA3450">
        <w:rPr>
          <w:b/>
          <w:sz w:val="22"/>
        </w:rPr>
        <w:t xml:space="preserve">Social Housing Properties </w:t>
      </w:r>
    </w:p>
    <w:p w14:paraId="091AAFC6" w14:textId="77777777" w:rsidR="00AA3450" w:rsidRDefault="00AA3450" w:rsidP="00134B8F">
      <w:pPr>
        <w:jc w:val="both"/>
        <w:rPr>
          <w:b/>
          <w:sz w:val="22"/>
        </w:rPr>
      </w:pPr>
    </w:p>
    <w:tbl>
      <w:tblPr>
        <w:tblW w:w="10353" w:type="dxa"/>
        <w:tblInd w:w="93" w:type="dxa"/>
        <w:tblLook w:val="04A0" w:firstRow="1" w:lastRow="0" w:firstColumn="1" w:lastColumn="0" w:noHBand="0" w:noVBand="1"/>
      </w:tblPr>
      <w:tblGrid>
        <w:gridCol w:w="1280"/>
        <w:gridCol w:w="295"/>
        <w:gridCol w:w="1417"/>
        <w:gridCol w:w="1262"/>
        <w:gridCol w:w="236"/>
        <w:gridCol w:w="1260"/>
        <w:gridCol w:w="236"/>
        <w:gridCol w:w="265"/>
        <w:gridCol w:w="1347"/>
        <w:gridCol w:w="284"/>
        <w:gridCol w:w="1272"/>
        <w:gridCol w:w="1199"/>
      </w:tblGrid>
      <w:tr w:rsidR="0020228A" w:rsidRPr="0096522C" w14:paraId="0B95E1DD" w14:textId="77777777" w:rsidTr="0020228A">
        <w:trPr>
          <w:trHeight w:val="300"/>
        </w:trPr>
        <w:tc>
          <w:tcPr>
            <w:tcW w:w="1280" w:type="dxa"/>
            <w:shd w:val="clear" w:color="auto" w:fill="auto"/>
            <w:noWrap/>
            <w:vAlign w:val="bottom"/>
            <w:hideMark/>
          </w:tcPr>
          <w:p w14:paraId="5FD5FF97" w14:textId="77777777" w:rsidR="0020228A" w:rsidRPr="0096522C" w:rsidRDefault="0020228A" w:rsidP="0020228A">
            <w:pPr>
              <w:rPr>
                <w:sz w:val="22"/>
                <w:szCs w:val="22"/>
              </w:rPr>
            </w:pPr>
          </w:p>
        </w:tc>
        <w:tc>
          <w:tcPr>
            <w:tcW w:w="1712" w:type="dxa"/>
            <w:gridSpan w:val="2"/>
            <w:shd w:val="clear" w:color="auto" w:fill="auto"/>
            <w:noWrap/>
            <w:vAlign w:val="bottom"/>
            <w:hideMark/>
          </w:tcPr>
          <w:p w14:paraId="2FBB3AB1" w14:textId="77777777" w:rsidR="0020228A" w:rsidRPr="0096522C" w:rsidRDefault="0020228A" w:rsidP="0020228A">
            <w:pPr>
              <w:rPr>
                <w:sz w:val="22"/>
                <w:szCs w:val="22"/>
              </w:rPr>
            </w:pPr>
          </w:p>
        </w:tc>
        <w:tc>
          <w:tcPr>
            <w:tcW w:w="1262" w:type="dxa"/>
            <w:shd w:val="clear" w:color="auto" w:fill="auto"/>
            <w:noWrap/>
            <w:vAlign w:val="bottom"/>
            <w:hideMark/>
          </w:tcPr>
          <w:p w14:paraId="3CC7754A" w14:textId="77777777" w:rsidR="0020228A" w:rsidRPr="0096522C" w:rsidRDefault="0020228A" w:rsidP="0020228A">
            <w:pPr>
              <w:jc w:val="right"/>
              <w:rPr>
                <w:b/>
                <w:bCs/>
                <w:sz w:val="22"/>
                <w:szCs w:val="22"/>
              </w:rPr>
            </w:pPr>
          </w:p>
        </w:tc>
        <w:tc>
          <w:tcPr>
            <w:tcW w:w="236" w:type="dxa"/>
            <w:shd w:val="clear" w:color="auto" w:fill="auto"/>
            <w:noWrap/>
            <w:vAlign w:val="center"/>
            <w:hideMark/>
          </w:tcPr>
          <w:p w14:paraId="4AEB5B51" w14:textId="77777777" w:rsidR="0020228A" w:rsidRPr="0096522C" w:rsidRDefault="0020228A" w:rsidP="0020228A">
            <w:pPr>
              <w:jc w:val="right"/>
              <w:rPr>
                <w:b/>
                <w:bCs/>
                <w:sz w:val="22"/>
                <w:szCs w:val="22"/>
              </w:rPr>
            </w:pPr>
          </w:p>
        </w:tc>
        <w:tc>
          <w:tcPr>
            <w:tcW w:w="1260" w:type="dxa"/>
            <w:shd w:val="clear" w:color="auto" w:fill="auto"/>
            <w:noWrap/>
            <w:vAlign w:val="center"/>
          </w:tcPr>
          <w:p w14:paraId="421B1E8C" w14:textId="77777777" w:rsidR="0020228A" w:rsidRPr="0096522C" w:rsidRDefault="0020228A" w:rsidP="0020228A">
            <w:pPr>
              <w:jc w:val="right"/>
              <w:rPr>
                <w:b/>
                <w:bCs/>
                <w:sz w:val="22"/>
                <w:szCs w:val="22"/>
              </w:rPr>
            </w:pPr>
            <w:r>
              <w:rPr>
                <w:b/>
                <w:bCs/>
                <w:sz w:val="22"/>
                <w:szCs w:val="22"/>
              </w:rPr>
              <w:t>Social Housing</w:t>
            </w:r>
          </w:p>
          <w:p w14:paraId="256FBED2" w14:textId="77777777" w:rsidR="0020228A" w:rsidRPr="0096522C" w:rsidRDefault="0020228A" w:rsidP="0020228A">
            <w:pPr>
              <w:jc w:val="right"/>
              <w:rPr>
                <w:b/>
                <w:bCs/>
                <w:sz w:val="22"/>
                <w:szCs w:val="22"/>
              </w:rPr>
            </w:pPr>
            <w:r w:rsidRPr="0096522C">
              <w:rPr>
                <w:b/>
                <w:bCs/>
                <w:sz w:val="22"/>
                <w:szCs w:val="22"/>
              </w:rPr>
              <w:t>Properties</w:t>
            </w:r>
          </w:p>
        </w:tc>
        <w:tc>
          <w:tcPr>
            <w:tcW w:w="1848" w:type="dxa"/>
            <w:gridSpan w:val="3"/>
            <w:shd w:val="clear" w:color="auto" w:fill="auto"/>
            <w:noWrap/>
            <w:vAlign w:val="bottom"/>
            <w:hideMark/>
          </w:tcPr>
          <w:p w14:paraId="4AF84F96" w14:textId="77777777" w:rsidR="0020228A" w:rsidRPr="0096522C" w:rsidRDefault="0020228A" w:rsidP="0020228A">
            <w:pPr>
              <w:jc w:val="right"/>
              <w:rPr>
                <w:b/>
                <w:bCs/>
                <w:sz w:val="22"/>
                <w:szCs w:val="22"/>
              </w:rPr>
            </w:pPr>
            <w:r w:rsidRPr="0096522C">
              <w:rPr>
                <w:b/>
                <w:bCs/>
                <w:sz w:val="22"/>
                <w:szCs w:val="22"/>
              </w:rPr>
              <w:t>Housing Under</w:t>
            </w:r>
          </w:p>
          <w:p w14:paraId="33120A68" w14:textId="77777777" w:rsidR="0020228A" w:rsidRPr="0096522C" w:rsidRDefault="0020228A" w:rsidP="0020228A">
            <w:pPr>
              <w:jc w:val="right"/>
              <w:rPr>
                <w:b/>
                <w:bCs/>
                <w:sz w:val="22"/>
                <w:szCs w:val="22"/>
              </w:rPr>
            </w:pPr>
            <w:r w:rsidRPr="0096522C">
              <w:rPr>
                <w:b/>
                <w:bCs/>
                <w:sz w:val="22"/>
                <w:szCs w:val="22"/>
              </w:rPr>
              <w:t>Construction</w:t>
            </w:r>
          </w:p>
        </w:tc>
        <w:tc>
          <w:tcPr>
            <w:tcW w:w="1556" w:type="dxa"/>
            <w:gridSpan w:val="2"/>
            <w:shd w:val="clear" w:color="auto" w:fill="auto"/>
            <w:noWrap/>
            <w:vAlign w:val="center"/>
            <w:hideMark/>
          </w:tcPr>
          <w:p w14:paraId="5625F43F" w14:textId="77777777" w:rsidR="0020228A" w:rsidRDefault="0020228A" w:rsidP="0020228A">
            <w:pPr>
              <w:jc w:val="right"/>
              <w:rPr>
                <w:b/>
                <w:bCs/>
                <w:sz w:val="22"/>
                <w:szCs w:val="22"/>
              </w:rPr>
            </w:pPr>
          </w:p>
          <w:p w14:paraId="09180522" w14:textId="77777777" w:rsidR="0020228A" w:rsidRDefault="0020228A" w:rsidP="0020228A">
            <w:pPr>
              <w:jc w:val="right"/>
              <w:rPr>
                <w:b/>
                <w:bCs/>
                <w:sz w:val="22"/>
                <w:szCs w:val="22"/>
              </w:rPr>
            </w:pPr>
          </w:p>
          <w:p w14:paraId="7989A092" w14:textId="77777777" w:rsidR="0020228A" w:rsidRPr="0096522C" w:rsidRDefault="0020228A" w:rsidP="0020228A">
            <w:pPr>
              <w:jc w:val="right"/>
              <w:rPr>
                <w:b/>
                <w:bCs/>
                <w:sz w:val="22"/>
                <w:szCs w:val="22"/>
              </w:rPr>
            </w:pPr>
            <w:r>
              <w:rPr>
                <w:b/>
                <w:bCs/>
                <w:sz w:val="22"/>
                <w:szCs w:val="22"/>
              </w:rPr>
              <w:t>Total</w:t>
            </w:r>
          </w:p>
        </w:tc>
        <w:tc>
          <w:tcPr>
            <w:tcW w:w="1199" w:type="dxa"/>
            <w:shd w:val="clear" w:color="auto" w:fill="auto"/>
            <w:noWrap/>
            <w:vAlign w:val="center"/>
            <w:hideMark/>
          </w:tcPr>
          <w:p w14:paraId="2FE1FC39" w14:textId="77777777" w:rsidR="0020228A" w:rsidRPr="0096522C" w:rsidRDefault="0020228A" w:rsidP="0020228A">
            <w:pPr>
              <w:jc w:val="right"/>
              <w:rPr>
                <w:b/>
                <w:bCs/>
                <w:sz w:val="22"/>
                <w:szCs w:val="22"/>
              </w:rPr>
            </w:pPr>
          </w:p>
        </w:tc>
      </w:tr>
      <w:tr w:rsidR="0020228A" w:rsidRPr="0096522C" w14:paraId="38AED467" w14:textId="77777777" w:rsidTr="0020228A">
        <w:trPr>
          <w:trHeight w:val="300"/>
        </w:trPr>
        <w:tc>
          <w:tcPr>
            <w:tcW w:w="1280" w:type="dxa"/>
            <w:shd w:val="clear" w:color="auto" w:fill="auto"/>
            <w:noWrap/>
            <w:vAlign w:val="bottom"/>
            <w:hideMark/>
          </w:tcPr>
          <w:p w14:paraId="100695E2" w14:textId="77777777" w:rsidR="0020228A" w:rsidRPr="0096522C" w:rsidRDefault="0020228A" w:rsidP="0020228A">
            <w:pPr>
              <w:jc w:val="right"/>
              <w:rPr>
                <w:sz w:val="22"/>
                <w:szCs w:val="22"/>
              </w:rPr>
            </w:pPr>
          </w:p>
        </w:tc>
        <w:tc>
          <w:tcPr>
            <w:tcW w:w="1712" w:type="dxa"/>
            <w:gridSpan w:val="2"/>
            <w:shd w:val="clear" w:color="auto" w:fill="auto"/>
            <w:noWrap/>
            <w:vAlign w:val="bottom"/>
            <w:hideMark/>
          </w:tcPr>
          <w:p w14:paraId="67B0B439" w14:textId="77777777" w:rsidR="0020228A" w:rsidRPr="0096522C" w:rsidRDefault="0020228A" w:rsidP="0020228A">
            <w:pPr>
              <w:jc w:val="right"/>
              <w:rPr>
                <w:sz w:val="22"/>
                <w:szCs w:val="22"/>
              </w:rPr>
            </w:pPr>
          </w:p>
        </w:tc>
        <w:tc>
          <w:tcPr>
            <w:tcW w:w="1262" w:type="dxa"/>
            <w:shd w:val="clear" w:color="auto" w:fill="auto"/>
            <w:noWrap/>
            <w:vAlign w:val="bottom"/>
            <w:hideMark/>
          </w:tcPr>
          <w:p w14:paraId="00FEE699" w14:textId="77777777" w:rsidR="0020228A" w:rsidRPr="0096522C" w:rsidRDefault="0020228A" w:rsidP="0020228A">
            <w:pPr>
              <w:jc w:val="right"/>
              <w:rPr>
                <w:b/>
                <w:bCs/>
                <w:sz w:val="22"/>
                <w:szCs w:val="22"/>
              </w:rPr>
            </w:pPr>
          </w:p>
        </w:tc>
        <w:tc>
          <w:tcPr>
            <w:tcW w:w="236" w:type="dxa"/>
            <w:shd w:val="clear" w:color="auto" w:fill="auto"/>
            <w:noWrap/>
            <w:vAlign w:val="bottom"/>
            <w:hideMark/>
          </w:tcPr>
          <w:p w14:paraId="4DE120AC" w14:textId="77777777" w:rsidR="0020228A" w:rsidRPr="0096522C" w:rsidRDefault="0020228A" w:rsidP="0020228A">
            <w:pPr>
              <w:jc w:val="right"/>
              <w:rPr>
                <w:b/>
                <w:bCs/>
                <w:sz w:val="22"/>
                <w:szCs w:val="22"/>
              </w:rPr>
            </w:pPr>
          </w:p>
        </w:tc>
        <w:tc>
          <w:tcPr>
            <w:tcW w:w="1260" w:type="dxa"/>
            <w:shd w:val="clear" w:color="auto" w:fill="auto"/>
            <w:noWrap/>
            <w:vAlign w:val="bottom"/>
            <w:hideMark/>
          </w:tcPr>
          <w:p w14:paraId="50AF3CF4" w14:textId="77777777" w:rsidR="0020228A" w:rsidRPr="0096522C" w:rsidRDefault="0020228A" w:rsidP="0020228A">
            <w:pPr>
              <w:jc w:val="right"/>
              <w:rPr>
                <w:b/>
                <w:bCs/>
                <w:sz w:val="22"/>
                <w:szCs w:val="22"/>
              </w:rPr>
            </w:pPr>
            <w:r w:rsidRPr="0096522C">
              <w:rPr>
                <w:b/>
                <w:bCs/>
                <w:sz w:val="22"/>
                <w:szCs w:val="22"/>
              </w:rPr>
              <w:t>£’000</w:t>
            </w:r>
          </w:p>
        </w:tc>
        <w:tc>
          <w:tcPr>
            <w:tcW w:w="501" w:type="dxa"/>
            <w:gridSpan w:val="2"/>
            <w:shd w:val="clear" w:color="auto" w:fill="auto"/>
            <w:noWrap/>
            <w:vAlign w:val="center"/>
            <w:hideMark/>
          </w:tcPr>
          <w:p w14:paraId="6DC2331B" w14:textId="77777777" w:rsidR="0020228A" w:rsidRPr="0096522C" w:rsidRDefault="0020228A" w:rsidP="0020228A">
            <w:pPr>
              <w:jc w:val="right"/>
              <w:rPr>
                <w:b/>
                <w:bCs/>
                <w:sz w:val="22"/>
                <w:szCs w:val="22"/>
              </w:rPr>
            </w:pPr>
          </w:p>
        </w:tc>
        <w:tc>
          <w:tcPr>
            <w:tcW w:w="1347" w:type="dxa"/>
            <w:shd w:val="clear" w:color="auto" w:fill="auto"/>
            <w:noWrap/>
            <w:vAlign w:val="bottom"/>
            <w:hideMark/>
          </w:tcPr>
          <w:p w14:paraId="4E2F842D" w14:textId="77777777" w:rsidR="0020228A" w:rsidRPr="0096522C" w:rsidRDefault="0020228A" w:rsidP="0020228A">
            <w:pPr>
              <w:jc w:val="right"/>
              <w:rPr>
                <w:b/>
                <w:bCs/>
                <w:sz w:val="22"/>
                <w:szCs w:val="22"/>
              </w:rPr>
            </w:pPr>
            <w:r w:rsidRPr="0096522C">
              <w:rPr>
                <w:b/>
                <w:bCs/>
                <w:sz w:val="22"/>
                <w:szCs w:val="22"/>
              </w:rPr>
              <w:t>£’000</w:t>
            </w:r>
          </w:p>
        </w:tc>
        <w:tc>
          <w:tcPr>
            <w:tcW w:w="1556" w:type="dxa"/>
            <w:gridSpan w:val="2"/>
            <w:shd w:val="clear" w:color="auto" w:fill="auto"/>
            <w:noWrap/>
            <w:vAlign w:val="bottom"/>
            <w:hideMark/>
          </w:tcPr>
          <w:p w14:paraId="0FEE8572" w14:textId="77777777" w:rsidR="0020228A" w:rsidRPr="0096522C" w:rsidRDefault="0020228A" w:rsidP="0020228A">
            <w:pPr>
              <w:jc w:val="right"/>
              <w:rPr>
                <w:b/>
                <w:bCs/>
                <w:sz w:val="22"/>
                <w:szCs w:val="22"/>
              </w:rPr>
            </w:pPr>
            <w:r>
              <w:rPr>
                <w:b/>
                <w:bCs/>
                <w:sz w:val="22"/>
                <w:szCs w:val="22"/>
              </w:rPr>
              <w:t>£000</w:t>
            </w:r>
          </w:p>
        </w:tc>
        <w:tc>
          <w:tcPr>
            <w:tcW w:w="1199" w:type="dxa"/>
            <w:shd w:val="clear" w:color="auto" w:fill="auto"/>
            <w:noWrap/>
            <w:vAlign w:val="bottom"/>
            <w:hideMark/>
          </w:tcPr>
          <w:p w14:paraId="4C822AC0" w14:textId="77777777" w:rsidR="0020228A" w:rsidRPr="0096522C" w:rsidRDefault="0020228A" w:rsidP="0020228A">
            <w:pPr>
              <w:rPr>
                <w:b/>
                <w:bCs/>
                <w:sz w:val="22"/>
                <w:szCs w:val="22"/>
              </w:rPr>
            </w:pPr>
          </w:p>
        </w:tc>
      </w:tr>
      <w:tr w:rsidR="0020228A" w:rsidRPr="0096522C" w14:paraId="0BDAF5B1" w14:textId="77777777" w:rsidTr="00AA3450">
        <w:trPr>
          <w:trHeight w:val="300"/>
        </w:trPr>
        <w:tc>
          <w:tcPr>
            <w:tcW w:w="1575" w:type="dxa"/>
            <w:gridSpan w:val="2"/>
            <w:shd w:val="clear" w:color="auto" w:fill="auto"/>
            <w:noWrap/>
            <w:vAlign w:val="bottom"/>
            <w:hideMark/>
          </w:tcPr>
          <w:p w14:paraId="2617464A" w14:textId="77777777" w:rsidR="0020228A" w:rsidRPr="0096522C" w:rsidRDefault="0020228A" w:rsidP="0020228A">
            <w:pPr>
              <w:rPr>
                <w:b/>
                <w:bCs/>
                <w:sz w:val="22"/>
                <w:szCs w:val="22"/>
              </w:rPr>
            </w:pPr>
            <w:r>
              <w:rPr>
                <w:b/>
                <w:bCs/>
                <w:sz w:val="22"/>
                <w:szCs w:val="22"/>
              </w:rPr>
              <w:t>V</w:t>
            </w:r>
            <w:r w:rsidRPr="0096522C">
              <w:rPr>
                <w:b/>
                <w:bCs/>
                <w:sz w:val="22"/>
                <w:szCs w:val="22"/>
              </w:rPr>
              <w:t>aluation</w:t>
            </w:r>
          </w:p>
        </w:tc>
        <w:tc>
          <w:tcPr>
            <w:tcW w:w="1417" w:type="dxa"/>
            <w:shd w:val="clear" w:color="auto" w:fill="auto"/>
            <w:noWrap/>
            <w:vAlign w:val="bottom"/>
            <w:hideMark/>
          </w:tcPr>
          <w:p w14:paraId="65F05AAC" w14:textId="77777777" w:rsidR="0020228A" w:rsidRPr="0096522C" w:rsidRDefault="0020228A" w:rsidP="0020228A">
            <w:pPr>
              <w:rPr>
                <w:sz w:val="22"/>
                <w:szCs w:val="22"/>
              </w:rPr>
            </w:pPr>
          </w:p>
        </w:tc>
        <w:tc>
          <w:tcPr>
            <w:tcW w:w="1262" w:type="dxa"/>
            <w:shd w:val="clear" w:color="auto" w:fill="auto"/>
            <w:noWrap/>
            <w:vAlign w:val="center"/>
            <w:hideMark/>
          </w:tcPr>
          <w:p w14:paraId="50D377DD" w14:textId="77777777" w:rsidR="0020228A" w:rsidRPr="0096522C" w:rsidRDefault="0020228A" w:rsidP="0020228A">
            <w:pPr>
              <w:jc w:val="right"/>
              <w:rPr>
                <w:sz w:val="22"/>
                <w:szCs w:val="22"/>
              </w:rPr>
            </w:pPr>
          </w:p>
        </w:tc>
        <w:tc>
          <w:tcPr>
            <w:tcW w:w="236" w:type="dxa"/>
            <w:shd w:val="clear" w:color="auto" w:fill="auto"/>
            <w:noWrap/>
            <w:vAlign w:val="center"/>
            <w:hideMark/>
          </w:tcPr>
          <w:p w14:paraId="5BAA2B08" w14:textId="77777777" w:rsidR="0020228A" w:rsidRPr="0096522C" w:rsidRDefault="0020228A" w:rsidP="0020228A">
            <w:pPr>
              <w:jc w:val="right"/>
              <w:rPr>
                <w:sz w:val="22"/>
                <w:szCs w:val="22"/>
              </w:rPr>
            </w:pPr>
          </w:p>
        </w:tc>
        <w:tc>
          <w:tcPr>
            <w:tcW w:w="1496" w:type="dxa"/>
            <w:gridSpan w:val="2"/>
            <w:shd w:val="clear" w:color="auto" w:fill="auto"/>
            <w:noWrap/>
            <w:vAlign w:val="center"/>
            <w:hideMark/>
          </w:tcPr>
          <w:p w14:paraId="2A41B244" w14:textId="77777777" w:rsidR="0020228A" w:rsidRPr="006053A2" w:rsidRDefault="0020228A" w:rsidP="0020228A">
            <w:pPr>
              <w:jc w:val="right"/>
              <w:rPr>
                <w:sz w:val="22"/>
                <w:szCs w:val="22"/>
              </w:rPr>
            </w:pPr>
          </w:p>
        </w:tc>
        <w:tc>
          <w:tcPr>
            <w:tcW w:w="265" w:type="dxa"/>
            <w:shd w:val="clear" w:color="auto" w:fill="auto"/>
            <w:noWrap/>
            <w:vAlign w:val="center"/>
            <w:hideMark/>
          </w:tcPr>
          <w:p w14:paraId="3560A4CF" w14:textId="77777777" w:rsidR="0020228A" w:rsidRPr="006053A2" w:rsidRDefault="0020228A" w:rsidP="0020228A">
            <w:pPr>
              <w:jc w:val="right"/>
              <w:rPr>
                <w:sz w:val="22"/>
                <w:szCs w:val="22"/>
              </w:rPr>
            </w:pPr>
          </w:p>
        </w:tc>
        <w:tc>
          <w:tcPr>
            <w:tcW w:w="1631" w:type="dxa"/>
            <w:gridSpan w:val="2"/>
            <w:shd w:val="clear" w:color="auto" w:fill="auto"/>
            <w:noWrap/>
            <w:vAlign w:val="center"/>
            <w:hideMark/>
          </w:tcPr>
          <w:p w14:paraId="579F6553" w14:textId="77777777" w:rsidR="0020228A" w:rsidRPr="006053A2" w:rsidRDefault="0020228A" w:rsidP="0020228A">
            <w:pPr>
              <w:jc w:val="right"/>
              <w:rPr>
                <w:sz w:val="22"/>
                <w:szCs w:val="22"/>
              </w:rPr>
            </w:pPr>
          </w:p>
        </w:tc>
        <w:tc>
          <w:tcPr>
            <w:tcW w:w="1272" w:type="dxa"/>
            <w:shd w:val="clear" w:color="auto" w:fill="auto"/>
            <w:noWrap/>
            <w:vAlign w:val="center"/>
            <w:hideMark/>
          </w:tcPr>
          <w:p w14:paraId="18FF0FF9" w14:textId="77777777" w:rsidR="0020228A" w:rsidRPr="006053A2" w:rsidRDefault="0020228A" w:rsidP="0020228A">
            <w:pPr>
              <w:jc w:val="right"/>
              <w:rPr>
                <w:sz w:val="22"/>
                <w:szCs w:val="22"/>
              </w:rPr>
            </w:pPr>
          </w:p>
        </w:tc>
        <w:tc>
          <w:tcPr>
            <w:tcW w:w="1199" w:type="dxa"/>
            <w:shd w:val="clear" w:color="auto" w:fill="auto"/>
            <w:noWrap/>
            <w:vAlign w:val="center"/>
            <w:hideMark/>
          </w:tcPr>
          <w:p w14:paraId="0C148FBD" w14:textId="77777777" w:rsidR="0020228A" w:rsidRPr="0096522C" w:rsidRDefault="0020228A" w:rsidP="0020228A">
            <w:pPr>
              <w:jc w:val="right"/>
              <w:rPr>
                <w:sz w:val="22"/>
                <w:szCs w:val="22"/>
              </w:rPr>
            </w:pPr>
          </w:p>
        </w:tc>
      </w:tr>
      <w:tr w:rsidR="0067380E" w:rsidRPr="0096522C" w14:paraId="643EC4A3" w14:textId="77777777" w:rsidTr="00AA3450">
        <w:trPr>
          <w:gridAfter w:val="1"/>
          <w:wAfter w:w="1199" w:type="dxa"/>
          <w:trHeight w:val="300"/>
        </w:trPr>
        <w:tc>
          <w:tcPr>
            <w:tcW w:w="2992" w:type="dxa"/>
            <w:gridSpan w:val="3"/>
            <w:tcBorders>
              <w:left w:val="nil"/>
              <w:bottom w:val="nil"/>
              <w:right w:val="nil"/>
            </w:tcBorders>
            <w:shd w:val="clear" w:color="auto" w:fill="auto"/>
            <w:noWrap/>
            <w:vAlign w:val="bottom"/>
            <w:hideMark/>
          </w:tcPr>
          <w:p w14:paraId="6A104B55" w14:textId="34019ADA" w:rsidR="0067380E" w:rsidRPr="0096522C" w:rsidRDefault="0067380E" w:rsidP="0067380E">
            <w:pPr>
              <w:rPr>
                <w:sz w:val="22"/>
                <w:szCs w:val="22"/>
              </w:rPr>
            </w:pPr>
            <w:r>
              <w:rPr>
                <w:sz w:val="22"/>
                <w:szCs w:val="22"/>
              </w:rPr>
              <w:t>At 1 April 2023</w:t>
            </w:r>
            <w:r w:rsidRPr="0096522C">
              <w:rPr>
                <w:sz w:val="22"/>
                <w:szCs w:val="22"/>
              </w:rPr>
              <w:t xml:space="preserve"> </w:t>
            </w:r>
          </w:p>
        </w:tc>
        <w:tc>
          <w:tcPr>
            <w:tcW w:w="1262" w:type="dxa"/>
            <w:tcBorders>
              <w:left w:val="nil"/>
              <w:bottom w:val="nil"/>
              <w:right w:val="nil"/>
            </w:tcBorders>
            <w:shd w:val="clear" w:color="auto" w:fill="auto"/>
            <w:vAlign w:val="center"/>
          </w:tcPr>
          <w:p w14:paraId="0E26F963" w14:textId="77777777" w:rsidR="0067380E" w:rsidRPr="00795442" w:rsidRDefault="0067380E" w:rsidP="0067380E">
            <w:pPr>
              <w:jc w:val="right"/>
              <w:rPr>
                <w:sz w:val="22"/>
                <w:szCs w:val="22"/>
              </w:rPr>
            </w:pPr>
          </w:p>
        </w:tc>
        <w:tc>
          <w:tcPr>
            <w:tcW w:w="236" w:type="dxa"/>
            <w:tcBorders>
              <w:left w:val="nil"/>
              <w:bottom w:val="nil"/>
              <w:right w:val="nil"/>
            </w:tcBorders>
            <w:shd w:val="clear" w:color="auto" w:fill="auto"/>
            <w:noWrap/>
            <w:vAlign w:val="center"/>
          </w:tcPr>
          <w:p w14:paraId="083A07F6" w14:textId="77777777" w:rsidR="0067380E" w:rsidRPr="00795442" w:rsidRDefault="0067380E" w:rsidP="0067380E">
            <w:pPr>
              <w:jc w:val="right"/>
              <w:rPr>
                <w:sz w:val="22"/>
                <w:szCs w:val="22"/>
              </w:rPr>
            </w:pPr>
          </w:p>
        </w:tc>
        <w:tc>
          <w:tcPr>
            <w:tcW w:w="1260" w:type="dxa"/>
            <w:tcBorders>
              <w:left w:val="nil"/>
              <w:bottom w:val="nil"/>
              <w:right w:val="nil"/>
            </w:tcBorders>
            <w:shd w:val="clear" w:color="auto" w:fill="auto"/>
            <w:noWrap/>
            <w:vAlign w:val="center"/>
          </w:tcPr>
          <w:p w14:paraId="3550164D" w14:textId="491FA9F3" w:rsidR="0067380E" w:rsidRPr="006053A2" w:rsidRDefault="0067380E" w:rsidP="0067380E">
            <w:pPr>
              <w:jc w:val="right"/>
              <w:rPr>
                <w:sz w:val="22"/>
                <w:szCs w:val="22"/>
              </w:rPr>
            </w:pPr>
            <w:r>
              <w:rPr>
                <w:sz w:val="22"/>
                <w:szCs w:val="22"/>
              </w:rPr>
              <w:t>406,868</w:t>
            </w:r>
          </w:p>
        </w:tc>
        <w:tc>
          <w:tcPr>
            <w:tcW w:w="236" w:type="dxa"/>
            <w:tcBorders>
              <w:left w:val="nil"/>
              <w:bottom w:val="nil"/>
              <w:right w:val="nil"/>
            </w:tcBorders>
            <w:shd w:val="clear" w:color="auto" w:fill="auto"/>
            <w:noWrap/>
            <w:vAlign w:val="center"/>
          </w:tcPr>
          <w:p w14:paraId="5C7448B6" w14:textId="77777777" w:rsidR="0067380E" w:rsidRPr="006053A2" w:rsidRDefault="0067380E" w:rsidP="0067380E">
            <w:pPr>
              <w:jc w:val="right"/>
              <w:rPr>
                <w:sz w:val="22"/>
                <w:szCs w:val="22"/>
              </w:rPr>
            </w:pPr>
          </w:p>
        </w:tc>
        <w:tc>
          <w:tcPr>
            <w:tcW w:w="1612" w:type="dxa"/>
            <w:gridSpan w:val="2"/>
            <w:tcBorders>
              <w:left w:val="nil"/>
              <w:bottom w:val="nil"/>
              <w:right w:val="nil"/>
            </w:tcBorders>
            <w:shd w:val="clear" w:color="auto" w:fill="auto"/>
            <w:noWrap/>
            <w:vAlign w:val="center"/>
          </w:tcPr>
          <w:p w14:paraId="7416458E" w14:textId="2BDDDF03" w:rsidR="0067380E" w:rsidRPr="006053A2" w:rsidRDefault="0067380E" w:rsidP="0067380E">
            <w:pPr>
              <w:jc w:val="right"/>
              <w:rPr>
                <w:sz w:val="22"/>
                <w:szCs w:val="22"/>
              </w:rPr>
            </w:pPr>
            <w:r>
              <w:rPr>
                <w:sz w:val="22"/>
                <w:szCs w:val="22"/>
              </w:rPr>
              <w:t>16,688</w:t>
            </w:r>
          </w:p>
        </w:tc>
        <w:tc>
          <w:tcPr>
            <w:tcW w:w="284" w:type="dxa"/>
            <w:tcBorders>
              <w:left w:val="nil"/>
              <w:bottom w:val="nil"/>
              <w:right w:val="nil"/>
            </w:tcBorders>
            <w:shd w:val="clear" w:color="auto" w:fill="auto"/>
            <w:noWrap/>
            <w:vAlign w:val="center"/>
          </w:tcPr>
          <w:p w14:paraId="157757D1" w14:textId="77777777" w:rsidR="0067380E" w:rsidRPr="006053A2" w:rsidRDefault="0067380E" w:rsidP="0067380E">
            <w:pPr>
              <w:jc w:val="right"/>
              <w:rPr>
                <w:sz w:val="22"/>
                <w:szCs w:val="22"/>
              </w:rPr>
            </w:pPr>
          </w:p>
        </w:tc>
        <w:tc>
          <w:tcPr>
            <w:tcW w:w="1272" w:type="dxa"/>
            <w:tcBorders>
              <w:left w:val="nil"/>
              <w:bottom w:val="nil"/>
              <w:right w:val="nil"/>
            </w:tcBorders>
            <w:shd w:val="clear" w:color="auto" w:fill="auto"/>
            <w:noWrap/>
            <w:vAlign w:val="center"/>
          </w:tcPr>
          <w:p w14:paraId="1E70B0E3" w14:textId="072A1A63" w:rsidR="0067380E" w:rsidRPr="006053A2" w:rsidRDefault="0067380E" w:rsidP="0067380E">
            <w:pPr>
              <w:jc w:val="right"/>
              <w:rPr>
                <w:sz w:val="22"/>
                <w:szCs w:val="22"/>
              </w:rPr>
            </w:pPr>
            <w:r>
              <w:rPr>
                <w:sz w:val="22"/>
                <w:szCs w:val="22"/>
              </w:rPr>
              <w:t>423,556</w:t>
            </w:r>
          </w:p>
        </w:tc>
      </w:tr>
      <w:tr w:rsidR="0020228A" w:rsidRPr="0096522C" w14:paraId="17AA190A" w14:textId="77777777" w:rsidTr="00AA3450">
        <w:trPr>
          <w:gridAfter w:val="1"/>
          <w:wAfter w:w="1199" w:type="dxa"/>
          <w:trHeight w:val="300"/>
        </w:trPr>
        <w:tc>
          <w:tcPr>
            <w:tcW w:w="1280" w:type="dxa"/>
            <w:tcBorders>
              <w:top w:val="nil"/>
              <w:left w:val="nil"/>
              <w:bottom w:val="nil"/>
              <w:right w:val="nil"/>
            </w:tcBorders>
            <w:shd w:val="clear" w:color="auto" w:fill="auto"/>
            <w:noWrap/>
            <w:vAlign w:val="bottom"/>
            <w:hideMark/>
          </w:tcPr>
          <w:p w14:paraId="570A88B1" w14:textId="77777777" w:rsidR="0020228A" w:rsidRPr="0096522C" w:rsidRDefault="0020228A" w:rsidP="0020228A">
            <w:pPr>
              <w:rPr>
                <w:sz w:val="22"/>
                <w:szCs w:val="22"/>
              </w:rPr>
            </w:pPr>
            <w:r w:rsidRPr="0096522C">
              <w:rPr>
                <w:sz w:val="22"/>
                <w:szCs w:val="22"/>
              </w:rPr>
              <w:t>Additions</w:t>
            </w:r>
          </w:p>
        </w:tc>
        <w:tc>
          <w:tcPr>
            <w:tcW w:w="1712" w:type="dxa"/>
            <w:gridSpan w:val="2"/>
            <w:tcBorders>
              <w:top w:val="nil"/>
              <w:left w:val="nil"/>
              <w:bottom w:val="nil"/>
              <w:right w:val="nil"/>
            </w:tcBorders>
            <w:shd w:val="clear" w:color="auto" w:fill="auto"/>
            <w:noWrap/>
            <w:vAlign w:val="bottom"/>
            <w:hideMark/>
          </w:tcPr>
          <w:p w14:paraId="4A2AC238" w14:textId="77777777" w:rsidR="0020228A" w:rsidRPr="0096522C" w:rsidRDefault="0020228A" w:rsidP="0020228A">
            <w:pPr>
              <w:rPr>
                <w:sz w:val="22"/>
                <w:szCs w:val="22"/>
              </w:rPr>
            </w:pPr>
          </w:p>
        </w:tc>
        <w:tc>
          <w:tcPr>
            <w:tcW w:w="1262" w:type="dxa"/>
            <w:tcBorders>
              <w:top w:val="nil"/>
              <w:left w:val="nil"/>
              <w:bottom w:val="nil"/>
              <w:right w:val="nil"/>
            </w:tcBorders>
            <w:shd w:val="clear" w:color="auto" w:fill="auto"/>
            <w:noWrap/>
            <w:vAlign w:val="center"/>
          </w:tcPr>
          <w:p w14:paraId="6569C8F7" w14:textId="77777777" w:rsidR="0020228A" w:rsidRPr="00795442" w:rsidRDefault="0020228A" w:rsidP="0020228A">
            <w:pPr>
              <w:jc w:val="right"/>
              <w:rPr>
                <w:sz w:val="22"/>
                <w:szCs w:val="22"/>
              </w:rPr>
            </w:pPr>
          </w:p>
        </w:tc>
        <w:tc>
          <w:tcPr>
            <w:tcW w:w="236" w:type="dxa"/>
            <w:tcBorders>
              <w:top w:val="nil"/>
              <w:left w:val="nil"/>
              <w:bottom w:val="nil"/>
              <w:right w:val="nil"/>
            </w:tcBorders>
            <w:shd w:val="clear" w:color="auto" w:fill="auto"/>
            <w:noWrap/>
            <w:vAlign w:val="center"/>
          </w:tcPr>
          <w:p w14:paraId="264F97C7" w14:textId="77777777" w:rsidR="0020228A" w:rsidRPr="00795442" w:rsidRDefault="0020228A" w:rsidP="0020228A">
            <w:pPr>
              <w:jc w:val="right"/>
              <w:rPr>
                <w:sz w:val="22"/>
                <w:szCs w:val="22"/>
              </w:rPr>
            </w:pPr>
          </w:p>
        </w:tc>
        <w:tc>
          <w:tcPr>
            <w:tcW w:w="1260" w:type="dxa"/>
            <w:tcBorders>
              <w:top w:val="nil"/>
              <w:left w:val="nil"/>
              <w:bottom w:val="nil"/>
              <w:right w:val="nil"/>
            </w:tcBorders>
            <w:shd w:val="clear" w:color="auto" w:fill="auto"/>
            <w:noWrap/>
            <w:vAlign w:val="center"/>
          </w:tcPr>
          <w:p w14:paraId="567E8449" w14:textId="56E78E21" w:rsidR="0020228A" w:rsidRPr="006053A2" w:rsidRDefault="002029DC" w:rsidP="0020228A">
            <w:pPr>
              <w:jc w:val="right"/>
              <w:rPr>
                <w:sz w:val="22"/>
                <w:szCs w:val="22"/>
              </w:rPr>
            </w:pPr>
            <w:r>
              <w:rPr>
                <w:sz w:val="22"/>
                <w:szCs w:val="22"/>
              </w:rPr>
              <w:t>17,207</w:t>
            </w:r>
          </w:p>
        </w:tc>
        <w:tc>
          <w:tcPr>
            <w:tcW w:w="236" w:type="dxa"/>
            <w:tcBorders>
              <w:top w:val="nil"/>
              <w:left w:val="nil"/>
              <w:bottom w:val="nil"/>
              <w:right w:val="nil"/>
            </w:tcBorders>
            <w:shd w:val="clear" w:color="auto" w:fill="auto"/>
            <w:noWrap/>
            <w:vAlign w:val="center"/>
          </w:tcPr>
          <w:p w14:paraId="4EA5B9F0" w14:textId="77777777" w:rsidR="0020228A" w:rsidRPr="006053A2" w:rsidRDefault="0020228A" w:rsidP="0020228A">
            <w:pPr>
              <w:jc w:val="right"/>
              <w:rPr>
                <w:sz w:val="22"/>
                <w:szCs w:val="22"/>
              </w:rPr>
            </w:pPr>
          </w:p>
        </w:tc>
        <w:tc>
          <w:tcPr>
            <w:tcW w:w="1612" w:type="dxa"/>
            <w:gridSpan w:val="2"/>
            <w:tcBorders>
              <w:top w:val="nil"/>
              <w:left w:val="nil"/>
              <w:bottom w:val="nil"/>
              <w:right w:val="nil"/>
            </w:tcBorders>
            <w:shd w:val="clear" w:color="auto" w:fill="auto"/>
            <w:noWrap/>
            <w:vAlign w:val="center"/>
          </w:tcPr>
          <w:p w14:paraId="46DB08B9" w14:textId="1F0F3C3F" w:rsidR="0020228A" w:rsidRPr="006053A2" w:rsidRDefault="00614F2E" w:rsidP="0020228A">
            <w:pPr>
              <w:jc w:val="right"/>
              <w:rPr>
                <w:sz w:val="22"/>
                <w:szCs w:val="22"/>
              </w:rPr>
            </w:pPr>
            <w:r>
              <w:rPr>
                <w:sz w:val="22"/>
                <w:szCs w:val="22"/>
              </w:rPr>
              <w:t>25,302</w:t>
            </w:r>
          </w:p>
        </w:tc>
        <w:tc>
          <w:tcPr>
            <w:tcW w:w="284" w:type="dxa"/>
            <w:tcBorders>
              <w:top w:val="nil"/>
              <w:left w:val="nil"/>
              <w:bottom w:val="nil"/>
              <w:right w:val="nil"/>
            </w:tcBorders>
            <w:shd w:val="clear" w:color="auto" w:fill="auto"/>
            <w:noWrap/>
            <w:vAlign w:val="center"/>
          </w:tcPr>
          <w:p w14:paraId="5BEA878F" w14:textId="77777777" w:rsidR="0020228A" w:rsidRPr="006053A2" w:rsidRDefault="0020228A" w:rsidP="0020228A">
            <w:pPr>
              <w:jc w:val="right"/>
              <w:rPr>
                <w:sz w:val="22"/>
                <w:szCs w:val="22"/>
              </w:rPr>
            </w:pPr>
          </w:p>
        </w:tc>
        <w:tc>
          <w:tcPr>
            <w:tcW w:w="1272" w:type="dxa"/>
            <w:tcBorders>
              <w:top w:val="nil"/>
              <w:left w:val="nil"/>
              <w:bottom w:val="nil"/>
              <w:right w:val="nil"/>
            </w:tcBorders>
            <w:shd w:val="clear" w:color="auto" w:fill="auto"/>
            <w:noWrap/>
            <w:vAlign w:val="center"/>
          </w:tcPr>
          <w:p w14:paraId="4F5F576F" w14:textId="27EFCB23" w:rsidR="0020228A" w:rsidRPr="006053A2" w:rsidRDefault="00614F2E" w:rsidP="0020228A">
            <w:pPr>
              <w:jc w:val="right"/>
              <w:rPr>
                <w:sz w:val="22"/>
                <w:szCs w:val="22"/>
              </w:rPr>
            </w:pPr>
            <w:r>
              <w:rPr>
                <w:sz w:val="22"/>
                <w:szCs w:val="22"/>
              </w:rPr>
              <w:t>42,509</w:t>
            </w:r>
          </w:p>
        </w:tc>
      </w:tr>
      <w:tr w:rsidR="0020228A" w:rsidRPr="0096522C" w14:paraId="6C275CA7" w14:textId="77777777" w:rsidTr="00AA3450">
        <w:trPr>
          <w:gridAfter w:val="1"/>
          <w:wAfter w:w="1199" w:type="dxa"/>
          <w:trHeight w:val="300"/>
        </w:trPr>
        <w:tc>
          <w:tcPr>
            <w:tcW w:w="2992" w:type="dxa"/>
            <w:gridSpan w:val="3"/>
            <w:tcBorders>
              <w:top w:val="nil"/>
              <w:left w:val="nil"/>
              <w:bottom w:val="nil"/>
              <w:right w:val="nil"/>
            </w:tcBorders>
            <w:shd w:val="clear" w:color="auto" w:fill="auto"/>
            <w:noWrap/>
            <w:vAlign w:val="bottom"/>
          </w:tcPr>
          <w:p w14:paraId="738F54B2" w14:textId="77777777" w:rsidR="0020228A" w:rsidRPr="000461C9" w:rsidRDefault="0020228A" w:rsidP="0020228A">
            <w:pPr>
              <w:rPr>
                <w:sz w:val="22"/>
                <w:szCs w:val="22"/>
              </w:rPr>
            </w:pPr>
            <w:r w:rsidRPr="000461C9">
              <w:rPr>
                <w:sz w:val="22"/>
                <w:szCs w:val="22"/>
              </w:rPr>
              <w:t>Disposals</w:t>
            </w:r>
          </w:p>
        </w:tc>
        <w:tc>
          <w:tcPr>
            <w:tcW w:w="1262" w:type="dxa"/>
            <w:tcBorders>
              <w:top w:val="nil"/>
              <w:left w:val="nil"/>
              <w:right w:val="nil"/>
            </w:tcBorders>
            <w:shd w:val="clear" w:color="auto" w:fill="auto"/>
            <w:noWrap/>
            <w:vAlign w:val="center"/>
          </w:tcPr>
          <w:p w14:paraId="5CB1161E" w14:textId="77777777" w:rsidR="0020228A" w:rsidRPr="00795442" w:rsidRDefault="0020228A" w:rsidP="0020228A">
            <w:pPr>
              <w:jc w:val="center"/>
              <w:rPr>
                <w:sz w:val="22"/>
                <w:szCs w:val="22"/>
              </w:rPr>
            </w:pPr>
          </w:p>
        </w:tc>
        <w:tc>
          <w:tcPr>
            <w:tcW w:w="236" w:type="dxa"/>
            <w:tcBorders>
              <w:top w:val="nil"/>
              <w:left w:val="nil"/>
              <w:right w:val="nil"/>
            </w:tcBorders>
            <w:shd w:val="clear" w:color="auto" w:fill="auto"/>
            <w:noWrap/>
            <w:vAlign w:val="center"/>
          </w:tcPr>
          <w:p w14:paraId="10AA54A5" w14:textId="77777777" w:rsidR="0020228A" w:rsidRPr="00795442" w:rsidRDefault="0020228A" w:rsidP="0020228A">
            <w:pPr>
              <w:jc w:val="right"/>
              <w:rPr>
                <w:sz w:val="22"/>
                <w:szCs w:val="22"/>
              </w:rPr>
            </w:pPr>
          </w:p>
        </w:tc>
        <w:tc>
          <w:tcPr>
            <w:tcW w:w="1260" w:type="dxa"/>
            <w:tcBorders>
              <w:top w:val="nil"/>
              <w:left w:val="nil"/>
              <w:right w:val="nil"/>
            </w:tcBorders>
            <w:shd w:val="clear" w:color="auto" w:fill="auto"/>
            <w:noWrap/>
            <w:vAlign w:val="center"/>
          </w:tcPr>
          <w:p w14:paraId="717DE5F3" w14:textId="1A4BA74E" w:rsidR="0020228A" w:rsidRPr="006053A2" w:rsidRDefault="00F825D0" w:rsidP="0020228A">
            <w:pPr>
              <w:jc w:val="right"/>
              <w:rPr>
                <w:sz w:val="22"/>
                <w:szCs w:val="22"/>
              </w:rPr>
            </w:pPr>
            <w:r>
              <w:rPr>
                <w:sz w:val="22"/>
                <w:szCs w:val="22"/>
              </w:rPr>
              <w:t>(977)</w:t>
            </w:r>
          </w:p>
        </w:tc>
        <w:tc>
          <w:tcPr>
            <w:tcW w:w="236" w:type="dxa"/>
            <w:tcBorders>
              <w:top w:val="nil"/>
              <w:left w:val="nil"/>
              <w:right w:val="nil"/>
            </w:tcBorders>
            <w:shd w:val="clear" w:color="auto" w:fill="auto"/>
            <w:noWrap/>
            <w:vAlign w:val="center"/>
          </w:tcPr>
          <w:p w14:paraId="05EB9B55" w14:textId="77777777" w:rsidR="0020228A" w:rsidRPr="006053A2" w:rsidRDefault="0020228A" w:rsidP="0020228A">
            <w:pPr>
              <w:jc w:val="right"/>
              <w:rPr>
                <w:sz w:val="22"/>
                <w:szCs w:val="22"/>
              </w:rPr>
            </w:pPr>
          </w:p>
        </w:tc>
        <w:tc>
          <w:tcPr>
            <w:tcW w:w="1612" w:type="dxa"/>
            <w:gridSpan w:val="2"/>
            <w:tcBorders>
              <w:top w:val="nil"/>
              <w:left w:val="nil"/>
              <w:right w:val="nil"/>
            </w:tcBorders>
            <w:shd w:val="clear" w:color="auto" w:fill="auto"/>
            <w:noWrap/>
            <w:vAlign w:val="center"/>
          </w:tcPr>
          <w:p w14:paraId="3AB2CFB1" w14:textId="7779C93F" w:rsidR="0020228A" w:rsidRPr="006053A2" w:rsidRDefault="00614F2E" w:rsidP="0020228A">
            <w:pPr>
              <w:jc w:val="right"/>
              <w:rPr>
                <w:sz w:val="22"/>
                <w:szCs w:val="22"/>
              </w:rPr>
            </w:pPr>
            <w:r>
              <w:rPr>
                <w:sz w:val="22"/>
                <w:szCs w:val="22"/>
              </w:rPr>
              <w:t>(230)</w:t>
            </w:r>
          </w:p>
        </w:tc>
        <w:tc>
          <w:tcPr>
            <w:tcW w:w="284" w:type="dxa"/>
            <w:tcBorders>
              <w:top w:val="nil"/>
              <w:left w:val="nil"/>
              <w:right w:val="nil"/>
            </w:tcBorders>
            <w:shd w:val="clear" w:color="auto" w:fill="auto"/>
            <w:noWrap/>
            <w:vAlign w:val="center"/>
          </w:tcPr>
          <w:p w14:paraId="78D67B89" w14:textId="77777777" w:rsidR="0020228A" w:rsidRPr="006053A2" w:rsidRDefault="0020228A" w:rsidP="0020228A">
            <w:pPr>
              <w:jc w:val="right"/>
              <w:rPr>
                <w:sz w:val="22"/>
                <w:szCs w:val="22"/>
              </w:rPr>
            </w:pPr>
          </w:p>
        </w:tc>
        <w:tc>
          <w:tcPr>
            <w:tcW w:w="1272" w:type="dxa"/>
            <w:tcBorders>
              <w:top w:val="nil"/>
              <w:left w:val="nil"/>
              <w:right w:val="nil"/>
            </w:tcBorders>
            <w:shd w:val="clear" w:color="auto" w:fill="auto"/>
            <w:noWrap/>
            <w:vAlign w:val="center"/>
          </w:tcPr>
          <w:p w14:paraId="574E267D" w14:textId="4C2C4BEC" w:rsidR="0020228A" w:rsidRPr="006053A2" w:rsidRDefault="00614F2E" w:rsidP="0020228A">
            <w:pPr>
              <w:jc w:val="right"/>
              <w:rPr>
                <w:sz w:val="22"/>
                <w:szCs w:val="22"/>
              </w:rPr>
            </w:pPr>
            <w:r>
              <w:rPr>
                <w:sz w:val="22"/>
                <w:szCs w:val="22"/>
              </w:rPr>
              <w:t>(1,207)</w:t>
            </w:r>
          </w:p>
        </w:tc>
      </w:tr>
      <w:tr w:rsidR="0020228A" w:rsidRPr="0096522C" w14:paraId="1698DAF0" w14:textId="77777777" w:rsidTr="00AA3450">
        <w:trPr>
          <w:gridAfter w:val="1"/>
          <w:wAfter w:w="1199" w:type="dxa"/>
          <w:trHeight w:val="300"/>
        </w:trPr>
        <w:tc>
          <w:tcPr>
            <w:tcW w:w="2992" w:type="dxa"/>
            <w:gridSpan w:val="3"/>
            <w:tcBorders>
              <w:top w:val="nil"/>
              <w:left w:val="nil"/>
              <w:bottom w:val="nil"/>
              <w:right w:val="nil"/>
            </w:tcBorders>
            <w:shd w:val="clear" w:color="auto" w:fill="auto"/>
            <w:noWrap/>
            <w:vAlign w:val="bottom"/>
          </w:tcPr>
          <w:p w14:paraId="3D1A6B4E" w14:textId="77777777" w:rsidR="0020228A" w:rsidRPr="000461C9" w:rsidRDefault="0020228A" w:rsidP="0020228A">
            <w:pPr>
              <w:rPr>
                <w:sz w:val="22"/>
                <w:szCs w:val="22"/>
              </w:rPr>
            </w:pPr>
            <w:r w:rsidRPr="000461C9">
              <w:rPr>
                <w:sz w:val="22"/>
                <w:szCs w:val="22"/>
              </w:rPr>
              <w:t>Transfers</w:t>
            </w:r>
          </w:p>
        </w:tc>
        <w:tc>
          <w:tcPr>
            <w:tcW w:w="1262" w:type="dxa"/>
            <w:tcBorders>
              <w:top w:val="nil"/>
              <w:left w:val="nil"/>
              <w:right w:val="nil"/>
            </w:tcBorders>
            <w:shd w:val="clear" w:color="auto" w:fill="auto"/>
            <w:noWrap/>
            <w:vAlign w:val="center"/>
          </w:tcPr>
          <w:p w14:paraId="399353E5" w14:textId="77777777" w:rsidR="0020228A" w:rsidRPr="00795442" w:rsidRDefault="0020228A" w:rsidP="0020228A">
            <w:pPr>
              <w:jc w:val="center"/>
              <w:rPr>
                <w:sz w:val="22"/>
                <w:szCs w:val="22"/>
              </w:rPr>
            </w:pPr>
          </w:p>
        </w:tc>
        <w:tc>
          <w:tcPr>
            <w:tcW w:w="236" w:type="dxa"/>
            <w:tcBorders>
              <w:top w:val="nil"/>
              <w:left w:val="nil"/>
              <w:right w:val="nil"/>
            </w:tcBorders>
            <w:shd w:val="clear" w:color="auto" w:fill="auto"/>
            <w:noWrap/>
            <w:vAlign w:val="center"/>
          </w:tcPr>
          <w:p w14:paraId="640659BF" w14:textId="77777777" w:rsidR="0020228A" w:rsidRPr="00795442" w:rsidRDefault="0020228A" w:rsidP="0020228A">
            <w:pPr>
              <w:jc w:val="right"/>
              <w:rPr>
                <w:sz w:val="22"/>
                <w:szCs w:val="22"/>
              </w:rPr>
            </w:pPr>
          </w:p>
        </w:tc>
        <w:tc>
          <w:tcPr>
            <w:tcW w:w="1260" w:type="dxa"/>
            <w:tcBorders>
              <w:top w:val="nil"/>
              <w:left w:val="nil"/>
              <w:right w:val="nil"/>
            </w:tcBorders>
            <w:shd w:val="clear" w:color="auto" w:fill="auto"/>
            <w:noWrap/>
            <w:vAlign w:val="center"/>
          </w:tcPr>
          <w:p w14:paraId="62ADE141" w14:textId="7A556DB6" w:rsidR="0020228A" w:rsidRPr="006053A2" w:rsidRDefault="00F825D0" w:rsidP="0020228A">
            <w:pPr>
              <w:jc w:val="right"/>
              <w:rPr>
                <w:sz w:val="22"/>
                <w:szCs w:val="22"/>
              </w:rPr>
            </w:pPr>
            <w:r>
              <w:rPr>
                <w:sz w:val="22"/>
                <w:szCs w:val="22"/>
              </w:rPr>
              <w:t>10,788</w:t>
            </w:r>
          </w:p>
        </w:tc>
        <w:tc>
          <w:tcPr>
            <w:tcW w:w="236" w:type="dxa"/>
            <w:tcBorders>
              <w:top w:val="nil"/>
              <w:left w:val="nil"/>
              <w:right w:val="nil"/>
            </w:tcBorders>
            <w:shd w:val="clear" w:color="auto" w:fill="auto"/>
            <w:noWrap/>
            <w:vAlign w:val="center"/>
          </w:tcPr>
          <w:p w14:paraId="43A777E5" w14:textId="77777777" w:rsidR="0020228A" w:rsidRPr="006053A2" w:rsidRDefault="0020228A" w:rsidP="0020228A">
            <w:pPr>
              <w:jc w:val="right"/>
              <w:rPr>
                <w:sz w:val="22"/>
                <w:szCs w:val="22"/>
              </w:rPr>
            </w:pPr>
          </w:p>
        </w:tc>
        <w:tc>
          <w:tcPr>
            <w:tcW w:w="1612" w:type="dxa"/>
            <w:gridSpan w:val="2"/>
            <w:tcBorders>
              <w:top w:val="nil"/>
              <w:left w:val="nil"/>
              <w:right w:val="nil"/>
            </w:tcBorders>
            <w:shd w:val="clear" w:color="auto" w:fill="auto"/>
            <w:noWrap/>
            <w:vAlign w:val="center"/>
          </w:tcPr>
          <w:p w14:paraId="0AAF5AA5" w14:textId="4747FA24" w:rsidR="0020228A" w:rsidRPr="006053A2" w:rsidRDefault="00614F2E" w:rsidP="0020228A">
            <w:pPr>
              <w:jc w:val="right"/>
              <w:rPr>
                <w:sz w:val="22"/>
                <w:szCs w:val="22"/>
              </w:rPr>
            </w:pPr>
            <w:r>
              <w:rPr>
                <w:sz w:val="22"/>
                <w:szCs w:val="22"/>
              </w:rPr>
              <w:t>(10,788)</w:t>
            </w:r>
          </w:p>
        </w:tc>
        <w:tc>
          <w:tcPr>
            <w:tcW w:w="284" w:type="dxa"/>
            <w:tcBorders>
              <w:top w:val="nil"/>
              <w:left w:val="nil"/>
              <w:right w:val="nil"/>
            </w:tcBorders>
            <w:shd w:val="clear" w:color="auto" w:fill="auto"/>
            <w:noWrap/>
            <w:vAlign w:val="center"/>
          </w:tcPr>
          <w:p w14:paraId="0435263D" w14:textId="77777777" w:rsidR="0020228A" w:rsidRPr="006053A2" w:rsidRDefault="0020228A" w:rsidP="0020228A">
            <w:pPr>
              <w:jc w:val="right"/>
              <w:rPr>
                <w:sz w:val="22"/>
                <w:szCs w:val="22"/>
              </w:rPr>
            </w:pPr>
          </w:p>
        </w:tc>
        <w:tc>
          <w:tcPr>
            <w:tcW w:w="1272" w:type="dxa"/>
            <w:tcBorders>
              <w:top w:val="nil"/>
              <w:left w:val="nil"/>
              <w:right w:val="nil"/>
            </w:tcBorders>
            <w:shd w:val="clear" w:color="auto" w:fill="auto"/>
            <w:noWrap/>
            <w:vAlign w:val="center"/>
          </w:tcPr>
          <w:p w14:paraId="0608B1C7" w14:textId="770D1B2E" w:rsidR="0020228A" w:rsidRPr="006053A2" w:rsidRDefault="00C745E5" w:rsidP="0020228A">
            <w:pPr>
              <w:jc w:val="right"/>
              <w:rPr>
                <w:sz w:val="22"/>
                <w:szCs w:val="22"/>
              </w:rPr>
            </w:pPr>
            <w:r>
              <w:rPr>
                <w:sz w:val="22"/>
                <w:szCs w:val="22"/>
              </w:rPr>
              <w:t>-</w:t>
            </w:r>
          </w:p>
        </w:tc>
      </w:tr>
      <w:tr w:rsidR="0020228A" w:rsidRPr="004D388B" w14:paraId="42E450B8" w14:textId="77777777" w:rsidTr="00AA3450">
        <w:trPr>
          <w:gridAfter w:val="1"/>
          <w:wAfter w:w="1199" w:type="dxa"/>
          <w:trHeight w:val="300"/>
        </w:trPr>
        <w:tc>
          <w:tcPr>
            <w:tcW w:w="2992" w:type="dxa"/>
            <w:gridSpan w:val="3"/>
            <w:tcBorders>
              <w:top w:val="nil"/>
              <w:left w:val="nil"/>
              <w:bottom w:val="nil"/>
              <w:right w:val="nil"/>
            </w:tcBorders>
            <w:shd w:val="clear" w:color="auto" w:fill="auto"/>
            <w:noWrap/>
            <w:vAlign w:val="bottom"/>
          </w:tcPr>
          <w:p w14:paraId="5FC7FA3F" w14:textId="77777777" w:rsidR="0020228A" w:rsidRPr="000461C9" w:rsidRDefault="0020228A" w:rsidP="0020228A">
            <w:pPr>
              <w:rPr>
                <w:sz w:val="22"/>
                <w:szCs w:val="22"/>
              </w:rPr>
            </w:pPr>
            <w:r w:rsidRPr="005F2691">
              <w:rPr>
                <w:sz w:val="22"/>
                <w:szCs w:val="22"/>
              </w:rPr>
              <w:t>Revaluation</w:t>
            </w:r>
          </w:p>
        </w:tc>
        <w:tc>
          <w:tcPr>
            <w:tcW w:w="1262" w:type="dxa"/>
            <w:tcBorders>
              <w:top w:val="nil"/>
              <w:left w:val="nil"/>
              <w:right w:val="nil"/>
            </w:tcBorders>
            <w:shd w:val="clear" w:color="auto" w:fill="auto"/>
            <w:noWrap/>
            <w:vAlign w:val="center"/>
          </w:tcPr>
          <w:p w14:paraId="15D82B7D" w14:textId="77777777" w:rsidR="0020228A" w:rsidRPr="00795442" w:rsidRDefault="0020228A" w:rsidP="0020228A">
            <w:pPr>
              <w:jc w:val="right"/>
              <w:rPr>
                <w:sz w:val="22"/>
                <w:szCs w:val="22"/>
              </w:rPr>
            </w:pPr>
          </w:p>
        </w:tc>
        <w:tc>
          <w:tcPr>
            <w:tcW w:w="236" w:type="dxa"/>
            <w:tcBorders>
              <w:top w:val="nil"/>
              <w:left w:val="nil"/>
              <w:right w:val="nil"/>
            </w:tcBorders>
            <w:shd w:val="clear" w:color="auto" w:fill="auto"/>
            <w:noWrap/>
            <w:vAlign w:val="center"/>
          </w:tcPr>
          <w:p w14:paraId="210923C4" w14:textId="77777777" w:rsidR="0020228A" w:rsidRPr="00795442" w:rsidRDefault="0020228A" w:rsidP="0020228A">
            <w:pPr>
              <w:jc w:val="right"/>
              <w:rPr>
                <w:sz w:val="22"/>
                <w:szCs w:val="22"/>
              </w:rPr>
            </w:pPr>
          </w:p>
        </w:tc>
        <w:tc>
          <w:tcPr>
            <w:tcW w:w="1260" w:type="dxa"/>
            <w:tcBorders>
              <w:top w:val="nil"/>
              <w:left w:val="nil"/>
              <w:bottom w:val="single" w:sz="4" w:space="0" w:color="auto"/>
              <w:right w:val="nil"/>
            </w:tcBorders>
            <w:shd w:val="clear" w:color="auto" w:fill="auto"/>
            <w:noWrap/>
            <w:vAlign w:val="center"/>
          </w:tcPr>
          <w:p w14:paraId="76ADE95F" w14:textId="4FA43F83" w:rsidR="0020228A" w:rsidRPr="006053A2" w:rsidRDefault="005F2691" w:rsidP="0020228A">
            <w:pPr>
              <w:jc w:val="right"/>
              <w:rPr>
                <w:sz w:val="22"/>
                <w:szCs w:val="22"/>
              </w:rPr>
            </w:pPr>
            <w:r>
              <w:rPr>
                <w:sz w:val="22"/>
                <w:szCs w:val="22"/>
              </w:rPr>
              <w:t>568</w:t>
            </w:r>
          </w:p>
        </w:tc>
        <w:tc>
          <w:tcPr>
            <w:tcW w:w="236" w:type="dxa"/>
            <w:tcBorders>
              <w:top w:val="nil"/>
              <w:left w:val="nil"/>
              <w:right w:val="nil"/>
            </w:tcBorders>
            <w:shd w:val="clear" w:color="auto" w:fill="auto"/>
            <w:noWrap/>
            <w:vAlign w:val="center"/>
          </w:tcPr>
          <w:p w14:paraId="08DED32E" w14:textId="77777777" w:rsidR="0020228A" w:rsidRPr="006053A2" w:rsidRDefault="0020228A" w:rsidP="0020228A">
            <w:pPr>
              <w:jc w:val="right"/>
              <w:rPr>
                <w:sz w:val="22"/>
                <w:szCs w:val="22"/>
              </w:rPr>
            </w:pPr>
          </w:p>
        </w:tc>
        <w:tc>
          <w:tcPr>
            <w:tcW w:w="1612" w:type="dxa"/>
            <w:gridSpan w:val="2"/>
            <w:tcBorders>
              <w:top w:val="nil"/>
              <w:left w:val="nil"/>
              <w:bottom w:val="single" w:sz="4" w:space="0" w:color="auto"/>
              <w:right w:val="nil"/>
            </w:tcBorders>
            <w:shd w:val="clear" w:color="auto" w:fill="auto"/>
            <w:noWrap/>
            <w:vAlign w:val="center"/>
          </w:tcPr>
          <w:p w14:paraId="67585450" w14:textId="6B2560F9" w:rsidR="0020228A" w:rsidRPr="006053A2" w:rsidRDefault="005F2691" w:rsidP="0020228A">
            <w:pPr>
              <w:jc w:val="right"/>
              <w:rPr>
                <w:sz w:val="22"/>
                <w:szCs w:val="22"/>
              </w:rPr>
            </w:pPr>
            <w:r>
              <w:rPr>
                <w:sz w:val="22"/>
                <w:szCs w:val="22"/>
              </w:rPr>
              <w:t>-</w:t>
            </w:r>
          </w:p>
        </w:tc>
        <w:tc>
          <w:tcPr>
            <w:tcW w:w="284" w:type="dxa"/>
            <w:tcBorders>
              <w:top w:val="nil"/>
              <w:left w:val="nil"/>
              <w:right w:val="nil"/>
            </w:tcBorders>
            <w:shd w:val="clear" w:color="auto" w:fill="auto"/>
            <w:noWrap/>
            <w:vAlign w:val="center"/>
          </w:tcPr>
          <w:p w14:paraId="42A781A4" w14:textId="77777777" w:rsidR="0020228A" w:rsidRPr="006053A2" w:rsidRDefault="0020228A" w:rsidP="0020228A">
            <w:pPr>
              <w:jc w:val="right"/>
              <w:rPr>
                <w:sz w:val="22"/>
                <w:szCs w:val="22"/>
              </w:rPr>
            </w:pPr>
          </w:p>
        </w:tc>
        <w:tc>
          <w:tcPr>
            <w:tcW w:w="1272" w:type="dxa"/>
            <w:tcBorders>
              <w:top w:val="nil"/>
              <w:left w:val="nil"/>
              <w:bottom w:val="single" w:sz="4" w:space="0" w:color="auto"/>
              <w:right w:val="nil"/>
            </w:tcBorders>
            <w:shd w:val="clear" w:color="auto" w:fill="auto"/>
            <w:noWrap/>
            <w:vAlign w:val="center"/>
          </w:tcPr>
          <w:p w14:paraId="2F253EBB" w14:textId="0C7AAAA5" w:rsidR="0020228A" w:rsidRPr="006053A2" w:rsidRDefault="005F2691" w:rsidP="0020228A">
            <w:pPr>
              <w:jc w:val="right"/>
              <w:rPr>
                <w:sz w:val="22"/>
                <w:szCs w:val="22"/>
              </w:rPr>
            </w:pPr>
            <w:r>
              <w:rPr>
                <w:sz w:val="22"/>
                <w:szCs w:val="22"/>
              </w:rPr>
              <w:t>568</w:t>
            </w:r>
          </w:p>
        </w:tc>
      </w:tr>
      <w:tr w:rsidR="0020228A" w:rsidRPr="004D388B" w14:paraId="61D024C3" w14:textId="77777777" w:rsidTr="00AA3450">
        <w:trPr>
          <w:gridAfter w:val="1"/>
          <w:wAfter w:w="1199" w:type="dxa"/>
          <w:trHeight w:val="300"/>
        </w:trPr>
        <w:tc>
          <w:tcPr>
            <w:tcW w:w="2992" w:type="dxa"/>
            <w:gridSpan w:val="3"/>
            <w:tcBorders>
              <w:top w:val="nil"/>
              <w:left w:val="nil"/>
              <w:bottom w:val="nil"/>
              <w:right w:val="nil"/>
            </w:tcBorders>
            <w:shd w:val="clear" w:color="auto" w:fill="auto"/>
            <w:noWrap/>
            <w:vAlign w:val="bottom"/>
            <w:hideMark/>
          </w:tcPr>
          <w:p w14:paraId="4BF972F1" w14:textId="24667BAC" w:rsidR="0020228A" w:rsidRPr="000461C9" w:rsidRDefault="0020228A" w:rsidP="0020228A">
            <w:pPr>
              <w:rPr>
                <w:sz w:val="22"/>
                <w:szCs w:val="22"/>
              </w:rPr>
            </w:pPr>
            <w:r w:rsidRPr="000461C9">
              <w:rPr>
                <w:sz w:val="22"/>
                <w:szCs w:val="22"/>
              </w:rPr>
              <w:t>At 31 March 202</w:t>
            </w:r>
            <w:r w:rsidR="0067380E">
              <w:rPr>
                <w:sz w:val="22"/>
                <w:szCs w:val="22"/>
              </w:rPr>
              <w:t>4</w:t>
            </w:r>
          </w:p>
        </w:tc>
        <w:tc>
          <w:tcPr>
            <w:tcW w:w="1262" w:type="dxa"/>
            <w:tcBorders>
              <w:top w:val="nil"/>
              <w:left w:val="nil"/>
              <w:right w:val="nil"/>
            </w:tcBorders>
            <w:shd w:val="clear" w:color="auto" w:fill="auto"/>
            <w:noWrap/>
            <w:vAlign w:val="center"/>
          </w:tcPr>
          <w:p w14:paraId="3BBB680F" w14:textId="77777777" w:rsidR="0020228A" w:rsidRPr="00795442" w:rsidRDefault="0020228A" w:rsidP="0020228A">
            <w:pPr>
              <w:jc w:val="right"/>
              <w:rPr>
                <w:sz w:val="22"/>
                <w:szCs w:val="22"/>
              </w:rPr>
            </w:pPr>
          </w:p>
        </w:tc>
        <w:tc>
          <w:tcPr>
            <w:tcW w:w="236" w:type="dxa"/>
            <w:tcBorders>
              <w:top w:val="nil"/>
              <w:left w:val="nil"/>
              <w:bottom w:val="nil"/>
              <w:right w:val="nil"/>
            </w:tcBorders>
            <w:shd w:val="clear" w:color="auto" w:fill="auto"/>
            <w:noWrap/>
            <w:vAlign w:val="center"/>
          </w:tcPr>
          <w:p w14:paraId="1F93DF7E" w14:textId="77777777" w:rsidR="0020228A" w:rsidRPr="00795442" w:rsidRDefault="0020228A" w:rsidP="0020228A">
            <w:pPr>
              <w:jc w:val="right"/>
              <w:rPr>
                <w:sz w:val="22"/>
                <w:szCs w:val="22"/>
              </w:rPr>
            </w:pPr>
          </w:p>
        </w:tc>
        <w:tc>
          <w:tcPr>
            <w:tcW w:w="1260" w:type="dxa"/>
            <w:tcBorders>
              <w:top w:val="nil"/>
              <w:left w:val="nil"/>
              <w:bottom w:val="single" w:sz="4" w:space="0" w:color="auto"/>
              <w:right w:val="nil"/>
            </w:tcBorders>
            <w:shd w:val="clear" w:color="auto" w:fill="auto"/>
            <w:noWrap/>
            <w:vAlign w:val="center"/>
          </w:tcPr>
          <w:p w14:paraId="06F1A8AA" w14:textId="2C2C79EE" w:rsidR="0020228A" w:rsidRPr="006053A2" w:rsidRDefault="005F2691" w:rsidP="0020228A">
            <w:pPr>
              <w:jc w:val="right"/>
              <w:rPr>
                <w:sz w:val="22"/>
                <w:szCs w:val="22"/>
              </w:rPr>
            </w:pPr>
            <w:r>
              <w:rPr>
                <w:sz w:val="22"/>
                <w:szCs w:val="22"/>
              </w:rPr>
              <w:t>434,454</w:t>
            </w:r>
          </w:p>
        </w:tc>
        <w:tc>
          <w:tcPr>
            <w:tcW w:w="236" w:type="dxa"/>
            <w:tcBorders>
              <w:top w:val="nil"/>
              <w:left w:val="nil"/>
              <w:bottom w:val="nil"/>
              <w:right w:val="nil"/>
            </w:tcBorders>
            <w:shd w:val="clear" w:color="auto" w:fill="auto"/>
            <w:noWrap/>
            <w:vAlign w:val="center"/>
          </w:tcPr>
          <w:p w14:paraId="7FE02499" w14:textId="77777777" w:rsidR="0020228A" w:rsidRPr="006053A2" w:rsidRDefault="0020228A" w:rsidP="0020228A">
            <w:pPr>
              <w:jc w:val="right"/>
              <w:rPr>
                <w:sz w:val="22"/>
                <w:szCs w:val="22"/>
              </w:rPr>
            </w:pPr>
          </w:p>
        </w:tc>
        <w:tc>
          <w:tcPr>
            <w:tcW w:w="1612" w:type="dxa"/>
            <w:gridSpan w:val="2"/>
            <w:tcBorders>
              <w:top w:val="nil"/>
              <w:left w:val="nil"/>
              <w:bottom w:val="single" w:sz="4" w:space="0" w:color="auto"/>
              <w:right w:val="nil"/>
            </w:tcBorders>
            <w:shd w:val="clear" w:color="auto" w:fill="auto"/>
            <w:noWrap/>
            <w:vAlign w:val="center"/>
          </w:tcPr>
          <w:p w14:paraId="54E8ED2E" w14:textId="7A46EB89" w:rsidR="0020228A" w:rsidRPr="006053A2" w:rsidRDefault="00614F2E" w:rsidP="0020228A">
            <w:pPr>
              <w:jc w:val="right"/>
              <w:rPr>
                <w:sz w:val="22"/>
                <w:szCs w:val="22"/>
              </w:rPr>
            </w:pPr>
            <w:r>
              <w:rPr>
                <w:sz w:val="22"/>
                <w:szCs w:val="22"/>
              </w:rPr>
              <w:t>30,972</w:t>
            </w:r>
          </w:p>
        </w:tc>
        <w:tc>
          <w:tcPr>
            <w:tcW w:w="284" w:type="dxa"/>
            <w:tcBorders>
              <w:top w:val="nil"/>
              <w:left w:val="nil"/>
              <w:bottom w:val="nil"/>
              <w:right w:val="nil"/>
            </w:tcBorders>
            <w:shd w:val="clear" w:color="auto" w:fill="auto"/>
            <w:noWrap/>
            <w:vAlign w:val="center"/>
          </w:tcPr>
          <w:p w14:paraId="06DFD143" w14:textId="47FD8BA6" w:rsidR="0020228A" w:rsidRPr="006053A2" w:rsidRDefault="0020228A" w:rsidP="0020228A">
            <w:pPr>
              <w:jc w:val="right"/>
              <w:rPr>
                <w:sz w:val="22"/>
                <w:szCs w:val="22"/>
              </w:rPr>
            </w:pPr>
          </w:p>
        </w:tc>
        <w:tc>
          <w:tcPr>
            <w:tcW w:w="1272" w:type="dxa"/>
            <w:tcBorders>
              <w:top w:val="nil"/>
              <w:left w:val="nil"/>
              <w:bottom w:val="single" w:sz="4" w:space="0" w:color="auto"/>
              <w:right w:val="nil"/>
            </w:tcBorders>
            <w:shd w:val="clear" w:color="auto" w:fill="auto"/>
            <w:noWrap/>
            <w:vAlign w:val="center"/>
          </w:tcPr>
          <w:p w14:paraId="536B98C2" w14:textId="358DC42A" w:rsidR="0020228A" w:rsidRPr="006053A2" w:rsidRDefault="00B377B3" w:rsidP="0020228A">
            <w:pPr>
              <w:jc w:val="right"/>
              <w:rPr>
                <w:sz w:val="22"/>
                <w:szCs w:val="22"/>
              </w:rPr>
            </w:pPr>
            <w:r>
              <w:rPr>
                <w:sz w:val="22"/>
                <w:szCs w:val="22"/>
              </w:rPr>
              <w:t>465,426</w:t>
            </w:r>
          </w:p>
        </w:tc>
      </w:tr>
      <w:tr w:rsidR="0020228A" w:rsidRPr="004D388B" w14:paraId="6FCA08F7" w14:textId="77777777" w:rsidTr="00AA3450">
        <w:trPr>
          <w:gridAfter w:val="1"/>
          <w:wAfter w:w="1199" w:type="dxa"/>
          <w:trHeight w:val="300"/>
        </w:trPr>
        <w:tc>
          <w:tcPr>
            <w:tcW w:w="1280" w:type="dxa"/>
            <w:tcBorders>
              <w:top w:val="nil"/>
              <w:left w:val="nil"/>
              <w:bottom w:val="nil"/>
              <w:right w:val="nil"/>
            </w:tcBorders>
            <w:shd w:val="clear" w:color="auto" w:fill="auto"/>
            <w:noWrap/>
            <w:vAlign w:val="center"/>
            <w:hideMark/>
          </w:tcPr>
          <w:p w14:paraId="091F4853" w14:textId="77777777" w:rsidR="0020228A" w:rsidRPr="000461C9" w:rsidRDefault="0020228A" w:rsidP="0020228A">
            <w:pPr>
              <w:rPr>
                <w:sz w:val="20"/>
                <w:szCs w:val="22"/>
              </w:rPr>
            </w:pPr>
          </w:p>
        </w:tc>
        <w:tc>
          <w:tcPr>
            <w:tcW w:w="1712" w:type="dxa"/>
            <w:gridSpan w:val="2"/>
            <w:tcBorders>
              <w:top w:val="nil"/>
              <w:left w:val="nil"/>
              <w:bottom w:val="nil"/>
              <w:right w:val="nil"/>
            </w:tcBorders>
            <w:shd w:val="clear" w:color="auto" w:fill="auto"/>
            <w:noWrap/>
            <w:vAlign w:val="center"/>
            <w:hideMark/>
          </w:tcPr>
          <w:p w14:paraId="102658D2" w14:textId="77777777" w:rsidR="0020228A" w:rsidRPr="0096522C" w:rsidRDefault="0020228A" w:rsidP="0020228A">
            <w:pPr>
              <w:rPr>
                <w:sz w:val="20"/>
                <w:szCs w:val="22"/>
              </w:rPr>
            </w:pPr>
          </w:p>
        </w:tc>
        <w:tc>
          <w:tcPr>
            <w:tcW w:w="1262" w:type="dxa"/>
            <w:tcBorders>
              <w:left w:val="nil"/>
              <w:bottom w:val="nil"/>
              <w:right w:val="nil"/>
            </w:tcBorders>
            <w:shd w:val="clear" w:color="auto" w:fill="auto"/>
            <w:noWrap/>
            <w:vAlign w:val="center"/>
            <w:hideMark/>
          </w:tcPr>
          <w:p w14:paraId="2A2A1A67" w14:textId="77777777" w:rsidR="0020228A" w:rsidRPr="0096522C" w:rsidRDefault="0020228A" w:rsidP="0020228A">
            <w:pPr>
              <w:rPr>
                <w:sz w:val="20"/>
                <w:szCs w:val="22"/>
              </w:rPr>
            </w:pPr>
          </w:p>
        </w:tc>
        <w:tc>
          <w:tcPr>
            <w:tcW w:w="236" w:type="dxa"/>
            <w:tcBorders>
              <w:top w:val="nil"/>
              <w:left w:val="nil"/>
              <w:bottom w:val="nil"/>
              <w:right w:val="nil"/>
            </w:tcBorders>
            <w:shd w:val="clear" w:color="auto" w:fill="auto"/>
            <w:noWrap/>
            <w:vAlign w:val="center"/>
            <w:hideMark/>
          </w:tcPr>
          <w:p w14:paraId="2C43980B" w14:textId="77777777" w:rsidR="0020228A" w:rsidRPr="0096522C" w:rsidRDefault="0020228A" w:rsidP="0020228A">
            <w:pPr>
              <w:rPr>
                <w:sz w:val="20"/>
                <w:szCs w:val="22"/>
              </w:rPr>
            </w:pPr>
          </w:p>
        </w:tc>
        <w:tc>
          <w:tcPr>
            <w:tcW w:w="1260" w:type="dxa"/>
            <w:tcBorders>
              <w:top w:val="nil"/>
              <w:left w:val="nil"/>
              <w:bottom w:val="nil"/>
              <w:right w:val="nil"/>
            </w:tcBorders>
            <w:shd w:val="clear" w:color="auto" w:fill="auto"/>
            <w:noWrap/>
            <w:vAlign w:val="center"/>
            <w:hideMark/>
          </w:tcPr>
          <w:p w14:paraId="382CA16F" w14:textId="77777777" w:rsidR="0020228A" w:rsidRPr="006053A2" w:rsidRDefault="0020228A" w:rsidP="0020228A">
            <w:pPr>
              <w:rPr>
                <w:sz w:val="20"/>
                <w:szCs w:val="22"/>
              </w:rPr>
            </w:pPr>
          </w:p>
        </w:tc>
        <w:tc>
          <w:tcPr>
            <w:tcW w:w="236" w:type="dxa"/>
            <w:tcBorders>
              <w:top w:val="nil"/>
              <w:left w:val="nil"/>
              <w:bottom w:val="nil"/>
              <w:right w:val="nil"/>
            </w:tcBorders>
            <w:shd w:val="clear" w:color="auto" w:fill="auto"/>
            <w:noWrap/>
            <w:vAlign w:val="center"/>
            <w:hideMark/>
          </w:tcPr>
          <w:p w14:paraId="2339E516" w14:textId="77777777" w:rsidR="0020228A" w:rsidRPr="006053A2" w:rsidRDefault="0020228A" w:rsidP="0020228A">
            <w:pPr>
              <w:rPr>
                <w:sz w:val="20"/>
                <w:szCs w:val="22"/>
              </w:rPr>
            </w:pPr>
          </w:p>
        </w:tc>
        <w:tc>
          <w:tcPr>
            <w:tcW w:w="1612" w:type="dxa"/>
            <w:gridSpan w:val="2"/>
            <w:tcBorders>
              <w:top w:val="nil"/>
              <w:left w:val="nil"/>
              <w:bottom w:val="nil"/>
              <w:right w:val="nil"/>
            </w:tcBorders>
            <w:shd w:val="clear" w:color="auto" w:fill="auto"/>
            <w:noWrap/>
            <w:vAlign w:val="center"/>
            <w:hideMark/>
          </w:tcPr>
          <w:p w14:paraId="7F163496" w14:textId="77777777" w:rsidR="0020228A" w:rsidRPr="006053A2" w:rsidRDefault="0020228A" w:rsidP="0020228A">
            <w:pPr>
              <w:rPr>
                <w:sz w:val="20"/>
                <w:szCs w:val="22"/>
              </w:rPr>
            </w:pPr>
          </w:p>
        </w:tc>
        <w:tc>
          <w:tcPr>
            <w:tcW w:w="284" w:type="dxa"/>
            <w:tcBorders>
              <w:top w:val="nil"/>
              <w:left w:val="nil"/>
              <w:bottom w:val="nil"/>
              <w:right w:val="nil"/>
            </w:tcBorders>
            <w:shd w:val="clear" w:color="auto" w:fill="auto"/>
            <w:noWrap/>
            <w:vAlign w:val="center"/>
            <w:hideMark/>
          </w:tcPr>
          <w:p w14:paraId="11EC5628" w14:textId="77777777" w:rsidR="0020228A" w:rsidRPr="006053A2" w:rsidRDefault="0020228A" w:rsidP="0020228A">
            <w:pPr>
              <w:rPr>
                <w:sz w:val="20"/>
                <w:szCs w:val="22"/>
              </w:rPr>
            </w:pPr>
          </w:p>
        </w:tc>
        <w:tc>
          <w:tcPr>
            <w:tcW w:w="1272" w:type="dxa"/>
            <w:tcBorders>
              <w:top w:val="nil"/>
              <w:left w:val="nil"/>
              <w:bottom w:val="nil"/>
              <w:right w:val="nil"/>
            </w:tcBorders>
            <w:shd w:val="clear" w:color="auto" w:fill="auto"/>
            <w:noWrap/>
            <w:vAlign w:val="center"/>
            <w:hideMark/>
          </w:tcPr>
          <w:p w14:paraId="32B1F328" w14:textId="77777777" w:rsidR="0020228A" w:rsidRPr="006053A2" w:rsidRDefault="0020228A" w:rsidP="0020228A">
            <w:pPr>
              <w:rPr>
                <w:sz w:val="20"/>
                <w:szCs w:val="22"/>
              </w:rPr>
            </w:pPr>
          </w:p>
        </w:tc>
      </w:tr>
      <w:tr w:rsidR="0020228A" w:rsidRPr="004D388B" w14:paraId="371CE8D7" w14:textId="77777777" w:rsidTr="00AA3450">
        <w:trPr>
          <w:gridAfter w:val="1"/>
          <w:wAfter w:w="1199" w:type="dxa"/>
          <w:trHeight w:val="300"/>
        </w:trPr>
        <w:tc>
          <w:tcPr>
            <w:tcW w:w="2992" w:type="dxa"/>
            <w:gridSpan w:val="3"/>
            <w:tcBorders>
              <w:top w:val="nil"/>
              <w:left w:val="nil"/>
              <w:bottom w:val="nil"/>
              <w:right w:val="nil"/>
            </w:tcBorders>
            <w:shd w:val="clear" w:color="auto" w:fill="auto"/>
            <w:noWrap/>
            <w:vAlign w:val="bottom"/>
            <w:hideMark/>
          </w:tcPr>
          <w:p w14:paraId="34C6D7DA" w14:textId="77777777" w:rsidR="0020228A" w:rsidRPr="000461C9" w:rsidRDefault="0020228A" w:rsidP="0020228A">
            <w:pPr>
              <w:rPr>
                <w:b/>
                <w:bCs/>
                <w:sz w:val="22"/>
                <w:szCs w:val="22"/>
              </w:rPr>
            </w:pPr>
            <w:r w:rsidRPr="000461C9">
              <w:rPr>
                <w:b/>
                <w:bCs/>
                <w:sz w:val="22"/>
                <w:szCs w:val="22"/>
              </w:rPr>
              <w:t>Accumulated Depreciation</w:t>
            </w:r>
          </w:p>
        </w:tc>
        <w:tc>
          <w:tcPr>
            <w:tcW w:w="1262" w:type="dxa"/>
            <w:tcBorders>
              <w:top w:val="nil"/>
              <w:left w:val="nil"/>
              <w:bottom w:val="nil"/>
              <w:right w:val="nil"/>
            </w:tcBorders>
            <w:shd w:val="clear" w:color="auto" w:fill="auto"/>
            <w:noWrap/>
            <w:vAlign w:val="center"/>
            <w:hideMark/>
          </w:tcPr>
          <w:p w14:paraId="4B53A43B" w14:textId="77777777" w:rsidR="0020228A" w:rsidRPr="0096522C" w:rsidRDefault="0020228A" w:rsidP="0020228A">
            <w:pPr>
              <w:jc w:val="right"/>
              <w:rPr>
                <w:sz w:val="22"/>
                <w:szCs w:val="22"/>
              </w:rPr>
            </w:pPr>
          </w:p>
        </w:tc>
        <w:tc>
          <w:tcPr>
            <w:tcW w:w="236" w:type="dxa"/>
            <w:tcBorders>
              <w:top w:val="nil"/>
              <w:left w:val="nil"/>
              <w:bottom w:val="nil"/>
              <w:right w:val="nil"/>
            </w:tcBorders>
            <w:shd w:val="clear" w:color="auto" w:fill="auto"/>
            <w:noWrap/>
            <w:vAlign w:val="center"/>
            <w:hideMark/>
          </w:tcPr>
          <w:p w14:paraId="62D043B3" w14:textId="77777777" w:rsidR="0020228A" w:rsidRPr="0096522C" w:rsidRDefault="0020228A" w:rsidP="0020228A">
            <w:pPr>
              <w:jc w:val="right"/>
              <w:rPr>
                <w:sz w:val="22"/>
                <w:szCs w:val="22"/>
              </w:rPr>
            </w:pPr>
          </w:p>
        </w:tc>
        <w:tc>
          <w:tcPr>
            <w:tcW w:w="1260" w:type="dxa"/>
            <w:tcBorders>
              <w:top w:val="nil"/>
              <w:left w:val="nil"/>
              <w:bottom w:val="nil"/>
              <w:right w:val="nil"/>
            </w:tcBorders>
            <w:shd w:val="clear" w:color="auto" w:fill="auto"/>
            <w:noWrap/>
            <w:vAlign w:val="center"/>
            <w:hideMark/>
          </w:tcPr>
          <w:p w14:paraId="6AC202D1" w14:textId="77777777" w:rsidR="0020228A" w:rsidRPr="006053A2" w:rsidRDefault="0020228A" w:rsidP="0020228A">
            <w:pPr>
              <w:jc w:val="right"/>
              <w:rPr>
                <w:sz w:val="22"/>
                <w:szCs w:val="22"/>
              </w:rPr>
            </w:pPr>
          </w:p>
        </w:tc>
        <w:tc>
          <w:tcPr>
            <w:tcW w:w="236" w:type="dxa"/>
            <w:tcBorders>
              <w:top w:val="nil"/>
              <w:left w:val="nil"/>
              <w:bottom w:val="nil"/>
              <w:right w:val="nil"/>
            </w:tcBorders>
            <w:shd w:val="clear" w:color="auto" w:fill="auto"/>
            <w:noWrap/>
            <w:vAlign w:val="center"/>
            <w:hideMark/>
          </w:tcPr>
          <w:p w14:paraId="2FF2EF22" w14:textId="77777777" w:rsidR="0020228A" w:rsidRPr="006053A2" w:rsidRDefault="0020228A" w:rsidP="0020228A">
            <w:pPr>
              <w:jc w:val="right"/>
              <w:rPr>
                <w:sz w:val="22"/>
                <w:szCs w:val="22"/>
              </w:rPr>
            </w:pPr>
          </w:p>
        </w:tc>
        <w:tc>
          <w:tcPr>
            <w:tcW w:w="1612" w:type="dxa"/>
            <w:gridSpan w:val="2"/>
            <w:tcBorders>
              <w:top w:val="nil"/>
              <w:left w:val="nil"/>
              <w:bottom w:val="nil"/>
              <w:right w:val="nil"/>
            </w:tcBorders>
            <w:shd w:val="clear" w:color="auto" w:fill="auto"/>
            <w:noWrap/>
            <w:vAlign w:val="center"/>
            <w:hideMark/>
          </w:tcPr>
          <w:p w14:paraId="15CCB1B6" w14:textId="77777777" w:rsidR="0020228A" w:rsidRPr="006053A2" w:rsidRDefault="0020228A" w:rsidP="0020228A">
            <w:pPr>
              <w:jc w:val="right"/>
              <w:rPr>
                <w:sz w:val="22"/>
                <w:szCs w:val="22"/>
              </w:rPr>
            </w:pPr>
          </w:p>
        </w:tc>
        <w:tc>
          <w:tcPr>
            <w:tcW w:w="284" w:type="dxa"/>
            <w:tcBorders>
              <w:top w:val="nil"/>
              <w:left w:val="nil"/>
              <w:bottom w:val="nil"/>
              <w:right w:val="nil"/>
            </w:tcBorders>
            <w:shd w:val="clear" w:color="auto" w:fill="auto"/>
            <w:noWrap/>
            <w:vAlign w:val="center"/>
            <w:hideMark/>
          </w:tcPr>
          <w:p w14:paraId="68CA5C18" w14:textId="77777777" w:rsidR="0020228A" w:rsidRPr="006053A2" w:rsidRDefault="0020228A" w:rsidP="0020228A">
            <w:pPr>
              <w:jc w:val="right"/>
              <w:rPr>
                <w:sz w:val="22"/>
                <w:szCs w:val="22"/>
              </w:rPr>
            </w:pPr>
          </w:p>
        </w:tc>
        <w:tc>
          <w:tcPr>
            <w:tcW w:w="1272" w:type="dxa"/>
            <w:tcBorders>
              <w:top w:val="nil"/>
              <w:left w:val="nil"/>
              <w:bottom w:val="nil"/>
              <w:right w:val="nil"/>
            </w:tcBorders>
            <w:shd w:val="clear" w:color="auto" w:fill="auto"/>
            <w:noWrap/>
            <w:vAlign w:val="center"/>
            <w:hideMark/>
          </w:tcPr>
          <w:p w14:paraId="363C01C6" w14:textId="77777777" w:rsidR="0020228A" w:rsidRPr="006053A2" w:rsidRDefault="0020228A" w:rsidP="0020228A">
            <w:pPr>
              <w:jc w:val="right"/>
              <w:rPr>
                <w:sz w:val="22"/>
                <w:szCs w:val="22"/>
              </w:rPr>
            </w:pPr>
          </w:p>
        </w:tc>
      </w:tr>
      <w:tr w:rsidR="0020228A" w:rsidRPr="004D388B" w14:paraId="3BCA39AF" w14:textId="77777777" w:rsidTr="00AA3450">
        <w:trPr>
          <w:gridAfter w:val="1"/>
          <w:wAfter w:w="1199" w:type="dxa"/>
          <w:trHeight w:val="300"/>
        </w:trPr>
        <w:tc>
          <w:tcPr>
            <w:tcW w:w="2992" w:type="dxa"/>
            <w:gridSpan w:val="3"/>
            <w:tcBorders>
              <w:top w:val="nil"/>
              <w:left w:val="nil"/>
              <w:bottom w:val="nil"/>
              <w:right w:val="nil"/>
            </w:tcBorders>
            <w:shd w:val="clear" w:color="auto" w:fill="auto"/>
            <w:noWrap/>
            <w:vAlign w:val="bottom"/>
            <w:hideMark/>
          </w:tcPr>
          <w:p w14:paraId="6B1D46C3" w14:textId="69ADC7A9" w:rsidR="0020228A" w:rsidRPr="000461C9" w:rsidRDefault="006C2D7F" w:rsidP="0020228A">
            <w:pPr>
              <w:rPr>
                <w:sz w:val="22"/>
                <w:szCs w:val="22"/>
              </w:rPr>
            </w:pPr>
            <w:r>
              <w:rPr>
                <w:sz w:val="22"/>
                <w:szCs w:val="22"/>
              </w:rPr>
              <w:t>A</w:t>
            </w:r>
            <w:r w:rsidR="0020228A" w:rsidRPr="000461C9">
              <w:rPr>
                <w:sz w:val="22"/>
                <w:szCs w:val="22"/>
              </w:rPr>
              <w:t>t 1 April 202</w:t>
            </w:r>
            <w:r w:rsidR="0067380E">
              <w:rPr>
                <w:sz w:val="22"/>
                <w:szCs w:val="22"/>
              </w:rPr>
              <w:t>3</w:t>
            </w:r>
          </w:p>
        </w:tc>
        <w:tc>
          <w:tcPr>
            <w:tcW w:w="1262" w:type="dxa"/>
            <w:tcBorders>
              <w:top w:val="nil"/>
              <w:left w:val="nil"/>
              <w:bottom w:val="nil"/>
              <w:right w:val="nil"/>
            </w:tcBorders>
            <w:shd w:val="clear" w:color="auto" w:fill="auto"/>
            <w:noWrap/>
            <w:vAlign w:val="center"/>
            <w:hideMark/>
          </w:tcPr>
          <w:p w14:paraId="5D308BB1" w14:textId="77777777" w:rsidR="0020228A" w:rsidRPr="003A51AD" w:rsidRDefault="0020228A" w:rsidP="0020228A">
            <w:pPr>
              <w:jc w:val="right"/>
              <w:rPr>
                <w:sz w:val="22"/>
                <w:szCs w:val="22"/>
              </w:rPr>
            </w:pPr>
          </w:p>
        </w:tc>
        <w:tc>
          <w:tcPr>
            <w:tcW w:w="236" w:type="dxa"/>
            <w:tcBorders>
              <w:top w:val="nil"/>
              <w:left w:val="nil"/>
              <w:bottom w:val="nil"/>
              <w:right w:val="nil"/>
            </w:tcBorders>
            <w:shd w:val="clear" w:color="auto" w:fill="auto"/>
            <w:noWrap/>
            <w:vAlign w:val="center"/>
            <w:hideMark/>
          </w:tcPr>
          <w:p w14:paraId="2A6BF206" w14:textId="77777777" w:rsidR="0020228A" w:rsidRPr="003A51AD" w:rsidRDefault="0020228A" w:rsidP="0020228A">
            <w:pPr>
              <w:jc w:val="right"/>
              <w:rPr>
                <w:sz w:val="22"/>
                <w:szCs w:val="22"/>
              </w:rPr>
            </w:pPr>
          </w:p>
        </w:tc>
        <w:tc>
          <w:tcPr>
            <w:tcW w:w="1260" w:type="dxa"/>
            <w:tcBorders>
              <w:top w:val="nil"/>
              <w:left w:val="nil"/>
              <w:bottom w:val="nil"/>
              <w:right w:val="nil"/>
            </w:tcBorders>
            <w:shd w:val="clear" w:color="auto" w:fill="auto"/>
            <w:noWrap/>
            <w:vAlign w:val="center"/>
            <w:hideMark/>
          </w:tcPr>
          <w:p w14:paraId="0A30992A" w14:textId="77777777" w:rsidR="0020228A" w:rsidRPr="006053A2" w:rsidRDefault="0020228A" w:rsidP="0020228A">
            <w:pPr>
              <w:jc w:val="right"/>
              <w:rPr>
                <w:sz w:val="22"/>
                <w:szCs w:val="22"/>
              </w:rPr>
            </w:pPr>
            <w:r>
              <w:rPr>
                <w:sz w:val="22"/>
                <w:szCs w:val="22"/>
              </w:rPr>
              <w:t>-</w:t>
            </w:r>
          </w:p>
        </w:tc>
        <w:tc>
          <w:tcPr>
            <w:tcW w:w="236" w:type="dxa"/>
            <w:tcBorders>
              <w:top w:val="nil"/>
              <w:left w:val="nil"/>
              <w:bottom w:val="nil"/>
              <w:right w:val="nil"/>
            </w:tcBorders>
            <w:shd w:val="clear" w:color="auto" w:fill="auto"/>
            <w:noWrap/>
            <w:vAlign w:val="center"/>
            <w:hideMark/>
          </w:tcPr>
          <w:p w14:paraId="05709097" w14:textId="77777777" w:rsidR="0020228A" w:rsidRPr="006053A2" w:rsidRDefault="0020228A" w:rsidP="0020228A">
            <w:pPr>
              <w:jc w:val="right"/>
              <w:rPr>
                <w:sz w:val="22"/>
                <w:szCs w:val="22"/>
              </w:rPr>
            </w:pPr>
          </w:p>
        </w:tc>
        <w:tc>
          <w:tcPr>
            <w:tcW w:w="1612" w:type="dxa"/>
            <w:gridSpan w:val="2"/>
            <w:tcBorders>
              <w:top w:val="nil"/>
              <w:left w:val="nil"/>
              <w:bottom w:val="nil"/>
              <w:right w:val="nil"/>
            </w:tcBorders>
            <w:shd w:val="clear" w:color="auto" w:fill="auto"/>
            <w:noWrap/>
            <w:vAlign w:val="center"/>
            <w:hideMark/>
          </w:tcPr>
          <w:p w14:paraId="4A67AA66" w14:textId="77777777" w:rsidR="0020228A" w:rsidRPr="006053A2" w:rsidRDefault="0020228A" w:rsidP="0020228A">
            <w:pPr>
              <w:jc w:val="right"/>
              <w:rPr>
                <w:sz w:val="22"/>
                <w:szCs w:val="22"/>
              </w:rPr>
            </w:pPr>
            <w:r w:rsidRPr="006053A2">
              <w:rPr>
                <w:sz w:val="22"/>
                <w:szCs w:val="22"/>
              </w:rPr>
              <w:t>-</w:t>
            </w:r>
          </w:p>
        </w:tc>
        <w:tc>
          <w:tcPr>
            <w:tcW w:w="284" w:type="dxa"/>
            <w:tcBorders>
              <w:top w:val="nil"/>
              <w:left w:val="nil"/>
              <w:bottom w:val="nil"/>
              <w:right w:val="nil"/>
            </w:tcBorders>
            <w:shd w:val="clear" w:color="auto" w:fill="auto"/>
            <w:noWrap/>
            <w:vAlign w:val="center"/>
            <w:hideMark/>
          </w:tcPr>
          <w:p w14:paraId="0600F814" w14:textId="77777777" w:rsidR="0020228A" w:rsidRPr="006053A2" w:rsidRDefault="0020228A" w:rsidP="0020228A">
            <w:pPr>
              <w:jc w:val="right"/>
              <w:rPr>
                <w:sz w:val="22"/>
                <w:szCs w:val="22"/>
              </w:rPr>
            </w:pPr>
          </w:p>
        </w:tc>
        <w:tc>
          <w:tcPr>
            <w:tcW w:w="1272" w:type="dxa"/>
            <w:tcBorders>
              <w:top w:val="nil"/>
              <w:left w:val="nil"/>
              <w:bottom w:val="nil"/>
              <w:right w:val="nil"/>
            </w:tcBorders>
            <w:shd w:val="clear" w:color="auto" w:fill="auto"/>
            <w:noWrap/>
            <w:vAlign w:val="center"/>
            <w:hideMark/>
          </w:tcPr>
          <w:p w14:paraId="6E39D5C1" w14:textId="77777777" w:rsidR="0020228A" w:rsidRPr="006053A2" w:rsidRDefault="0020228A" w:rsidP="0020228A">
            <w:pPr>
              <w:jc w:val="right"/>
              <w:rPr>
                <w:sz w:val="22"/>
                <w:szCs w:val="22"/>
              </w:rPr>
            </w:pPr>
            <w:r>
              <w:rPr>
                <w:sz w:val="22"/>
                <w:szCs w:val="22"/>
              </w:rPr>
              <w:t>-</w:t>
            </w:r>
          </w:p>
        </w:tc>
      </w:tr>
      <w:tr w:rsidR="0020228A" w:rsidRPr="004D388B" w14:paraId="3EBF1EBF" w14:textId="77777777" w:rsidTr="00AA3450">
        <w:trPr>
          <w:gridAfter w:val="1"/>
          <w:wAfter w:w="1199" w:type="dxa"/>
          <w:trHeight w:val="300"/>
        </w:trPr>
        <w:tc>
          <w:tcPr>
            <w:tcW w:w="2992" w:type="dxa"/>
            <w:gridSpan w:val="3"/>
            <w:tcBorders>
              <w:top w:val="nil"/>
              <w:left w:val="nil"/>
              <w:right w:val="nil"/>
            </w:tcBorders>
            <w:shd w:val="clear" w:color="auto" w:fill="auto"/>
            <w:noWrap/>
            <w:vAlign w:val="bottom"/>
            <w:hideMark/>
          </w:tcPr>
          <w:p w14:paraId="5813D00E" w14:textId="77777777" w:rsidR="0020228A" w:rsidRPr="000461C9" w:rsidRDefault="0020228A" w:rsidP="0020228A">
            <w:pPr>
              <w:rPr>
                <w:sz w:val="22"/>
                <w:szCs w:val="22"/>
              </w:rPr>
            </w:pPr>
            <w:r w:rsidRPr="000461C9">
              <w:rPr>
                <w:sz w:val="22"/>
                <w:szCs w:val="22"/>
              </w:rPr>
              <w:t>Charge for year</w:t>
            </w:r>
          </w:p>
        </w:tc>
        <w:tc>
          <w:tcPr>
            <w:tcW w:w="1262" w:type="dxa"/>
            <w:tcBorders>
              <w:top w:val="nil"/>
              <w:left w:val="nil"/>
              <w:right w:val="nil"/>
            </w:tcBorders>
            <w:shd w:val="clear" w:color="auto" w:fill="auto"/>
            <w:noWrap/>
            <w:vAlign w:val="center"/>
          </w:tcPr>
          <w:p w14:paraId="0B218EFE" w14:textId="77777777" w:rsidR="0020228A" w:rsidRPr="003A51AD" w:rsidRDefault="0020228A" w:rsidP="0020228A">
            <w:pPr>
              <w:jc w:val="right"/>
              <w:rPr>
                <w:sz w:val="22"/>
                <w:szCs w:val="22"/>
              </w:rPr>
            </w:pPr>
          </w:p>
        </w:tc>
        <w:tc>
          <w:tcPr>
            <w:tcW w:w="236" w:type="dxa"/>
            <w:tcBorders>
              <w:top w:val="nil"/>
              <w:left w:val="nil"/>
              <w:right w:val="nil"/>
            </w:tcBorders>
            <w:shd w:val="clear" w:color="auto" w:fill="auto"/>
            <w:noWrap/>
            <w:vAlign w:val="center"/>
          </w:tcPr>
          <w:p w14:paraId="21775AF3" w14:textId="77777777" w:rsidR="0020228A" w:rsidRPr="003A51AD" w:rsidRDefault="0020228A" w:rsidP="0020228A">
            <w:pPr>
              <w:jc w:val="right"/>
              <w:rPr>
                <w:sz w:val="22"/>
                <w:szCs w:val="22"/>
              </w:rPr>
            </w:pPr>
          </w:p>
        </w:tc>
        <w:tc>
          <w:tcPr>
            <w:tcW w:w="1260" w:type="dxa"/>
            <w:tcBorders>
              <w:top w:val="nil"/>
              <w:left w:val="nil"/>
              <w:right w:val="nil"/>
            </w:tcBorders>
            <w:shd w:val="clear" w:color="auto" w:fill="auto"/>
            <w:noWrap/>
            <w:vAlign w:val="center"/>
          </w:tcPr>
          <w:p w14:paraId="7AE8EA59" w14:textId="032E5E4D" w:rsidR="0020228A" w:rsidRPr="006053A2" w:rsidRDefault="004F5083" w:rsidP="0020228A">
            <w:pPr>
              <w:jc w:val="right"/>
              <w:rPr>
                <w:sz w:val="22"/>
                <w:szCs w:val="22"/>
              </w:rPr>
            </w:pPr>
            <w:r>
              <w:rPr>
                <w:sz w:val="22"/>
                <w:szCs w:val="22"/>
              </w:rPr>
              <w:t>(12</w:t>
            </w:r>
            <w:r w:rsidR="00C745E5">
              <w:rPr>
                <w:sz w:val="22"/>
                <w:szCs w:val="22"/>
              </w:rPr>
              <w:t>,319)</w:t>
            </w:r>
          </w:p>
        </w:tc>
        <w:tc>
          <w:tcPr>
            <w:tcW w:w="236" w:type="dxa"/>
            <w:tcBorders>
              <w:top w:val="nil"/>
              <w:left w:val="nil"/>
              <w:right w:val="nil"/>
            </w:tcBorders>
            <w:shd w:val="clear" w:color="auto" w:fill="auto"/>
            <w:noWrap/>
            <w:vAlign w:val="center"/>
          </w:tcPr>
          <w:p w14:paraId="547362E0" w14:textId="77777777" w:rsidR="0020228A" w:rsidRPr="006053A2" w:rsidRDefault="0020228A" w:rsidP="0020228A">
            <w:pPr>
              <w:jc w:val="right"/>
              <w:rPr>
                <w:sz w:val="22"/>
                <w:szCs w:val="22"/>
              </w:rPr>
            </w:pPr>
          </w:p>
        </w:tc>
        <w:tc>
          <w:tcPr>
            <w:tcW w:w="1612" w:type="dxa"/>
            <w:gridSpan w:val="2"/>
            <w:tcBorders>
              <w:top w:val="nil"/>
              <w:left w:val="nil"/>
              <w:right w:val="nil"/>
            </w:tcBorders>
            <w:shd w:val="clear" w:color="auto" w:fill="auto"/>
            <w:noWrap/>
            <w:vAlign w:val="center"/>
          </w:tcPr>
          <w:p w14:paraId="69A4FFAB" w14:textId="130E2B22" w:rsidR="0020228A" w:rsidRPr="006053A2" w:rsidRDefault="00C745E5" w:rsidP="0020228A">
            <w:pPr>
              <w:jc w:val="right"/>
              <w:rPr>
                <w:sz w:val="22"/>
                <w:szCs w:val="22"/>
              </w:rPr>
            </w:pPr>
            <w:r>
              <w:rPr>
                <w:sz w:val="22"/>
                <w:szCs w:val="22"/>
              </w:rPr>
              <w:t>-</w:t>
            </w:r>
          </w:p>
        </w:tc>
        <w:tc>
          <w:tcPr>
            <w:tcW w:w="284" w:type="dxa"/>
            <w:tcBorders>
              <w:top w:val="nil"/>
              <w:left w:val="nil"/>
              <w:right w:val="nil"/>
            </w:tcBorders>
            <w:shd w:val="clear" w:color="auto" w:fill="auto"/>
            <w:noWrap/>
            <w:vAlign w:val="center"/>
          </w:tcPr>
          <w:p w14:paraId="79F12A38" w14:textId="77777777" w:rsidR="0020228A" w:rsidRPr="006053A2" w:rsidRDefault="0020228A" w:rsidP="0020228A">
            <w:pPr>
              <w:jc w:val="right"/>
              <w:rPr>
                <w:sz w:val="22"/>
                <w:szCs w:val="22"/>
              </w:rPr>
            </w:pPr>
          </w:p>
        </w:tc>
        <w:tc>
          <w:tcPr>
            <w:tcW w:w="1272" w:type="dxa"/>
            <w:tcBorders>
              <w:top w:val="nil"/>
              <w:left w:val="nil"/>
              <w:right w:val="nil"/>
            </w:tcBorders>
            <w:shd w:val="clear" w:color="auto" w:fill="auto"/>
            <w:noWrap/>
            <w:vAlign w:val="center"/>
          </w:tcPr>
          <w:p w14:paraId="33EDA426" w14:textId="2BC6CA8D" w:rsidR="0020228A" w:rsidRPr="006053A2" w:rsidRDefault="00C745E5" w:rsidP="0020228A">
            <w:pPr>
              <w:jc w:val="right"/>
              <w:rPr>
                <w:sz w:val="22"/>
                <w:szCs w:val="22"/>
              </w:rPr>
            </w:pPr>
            <w:r>
              <w:rPr>
                <w:sz w:val="22"/>
                <w:szCs w:val="22"/>
              </w:rPr>
              <w:t>(12,319)</w:t>
            </w:r>
          </w:p>
        </w:tc>
      </w:tr>
      <w:tr w:rsidR="0020228A" w:rsidRPr="004D388B" w14:paraId="6AA0B896" w14:textId="77777777" w:rsidTr="00AA3450">
        <w:trPr>
          <w:gridAfter w:val="1"/>
          <w:wAfter w:w="1199" w:type="dxa"/>
          <w:trHeight w:val="300"/>
        </w:trPr>
        <w:tc>
          <w:tcPr>
            <w:tcW w:w="1280" w:type="dxa"/>
            <w:tcBorders>
              <w:top w:val="nil"/>
              <w:left w:val="nil"/>
              <w:right w:val="nil"/>
            </w:tcBorders>
            <w:shd w:val="clear" w:color="auto" w:fill="auto"/>
            <w:noWrap/>
            <w:vAlign w:val="bottom"/>
          </w:tcPr>
          <w:p w14:paraId="450B502A" w14:textId="77777777" w:rsidR="0020228A" w:rsidRPr="000461C9" w:rsidRDefault="0020228A" w:rsidP="0020228A">
            <w:pPr>
              <w:rPr>
                <w:sz w:val="22"/>
                <w:szCs w:val="22"/>
              </w:rPr>
            </w:pPr>
            <w:r w:rsidRPr="000461C9">
              <w:rPr>
                <w:sz w:val="22"/>
                <w:szCs w:val="22"/>
              </w:rPr>
              <w:t>Disposals</w:t>
            </w:r>
          </w:p>
        </w:tc>
        <w:tc>
          <w:tcPr>
            <w:tcW w:w="1712" w:type="dxa"/>
            <w:gridSpan w:val="2"/>
            <w:tcBorders>
              <w:top w:val="nil"/>
              <w:left w:val="nil"/>
              <w:right w:val="nil"/>
            </w:tcBorders>
            <w:shd w:val="clear" w:color="auto" w:fill="auto"/>
            <w:noWrap/>
            <w:vAlign w:val="bottom"/>
          </w:tcPr>
          <w:p w14:paraId="5E0F3FBC" w14:textId="77777777" w:rsidR="0020228A" w:rsidRPr="00754FA2" w:rsidRDefault="0020228A" w:rsidP="0020228A">
            <w:pPr>
              <w:rPr>
                <w:sz w:val="22"/>
                <w:szCs w:val="22"/>
                <w:highlight w:val="yellow"/>
              </w:rPr>
            </w:pPr>
          </w:p>
        </w:tc>
        <w:tc>
          <w:tcPr>
            <w:tcW w:w="1262" w:type="dxa"/>
            <w:tcBorders>
              <w:top w:val="nil"/>
              <w:left w:val="nil"/>
              <w:right w:val="nil"/>
            </w:tcBorders>
            <w:shd w:val="clear" w:color="auto" w:fill="auto"/>
            <w:noWrap/>
            <w:vAlign w:val="center"/>
          </w:tcPr>
          <w:p w14:paraId="0A0CFF65" w14:textId="77777777" w:rsidR="0020228A" w:rsidRPr="003A51AD" w:rsidRDefault="0020228A" w:rsidP="0020228A">
            <w:pPr>
              <w:jc w:val="right"/>
              <w:rPr>
                <w:sz w:val="22"/>
                <w:szCs w:val="22"/>
              </w:rPr>
            </w:pPr>
          </w:p>
        </w:tc>
        <w:tc>
          <w:tcPr>
            <w:tcW w:w="236" w:type="dxa"/>
            <w:tcBorders>
              <w:top w:val="nil"/>
              <w:left w:val="nil"/>
              <w:right w:val="nil"/>
            </w:tcBorders>
            <w:shd w:val="clear" w:color="auto" w:fill="auto"/>
            <w:noWrap/>
            <w:vAlign w:val="center"/>
          </w:tcPr>
          <w:p w14:paraId="2FAE6EFA" w14:textId="77777777" w:rsidR="0020228A" w:rsidRPr="003A51AD" w:rsidRDefault="0020228A" w:rsidP="0020228A">
            <w:pPr>
              <w:jc w:val="right"/>
              <w:rPr>
                <w:sz w:val="22"/>
                <w:szCs w:val="22"/>
              </w:rPr>
            </w:pPr>
          </w:p>
        </w:tc>
        <w:tc>
          <w:tcPr>
            <w:tcW w:w="1260" w:type="dxa"/>
            <w:tcBorders>
              <w:top w:val="nil"/>
              <w:left w:val="nil"/>
              <w:right w:val="nil"/>
            </w:tcBorders>
            <w:shd w:val="clear" w:color="auto" w:fill="auto"/>
            <w:noWrap/>
            <w:vAlign w:val="center"/>
          </w:tcPr>
          <w:p w14:paraId="51E449E1" w14:textId="71C7E14C" w:rsidR="0020228A" w:rsidRPr="006053A2" w:rsidRDefault="00C745E5" w:rsidP="0020228A">
            <w:pPr>
              <w:jc w:val="right"/>
              <w:rPr>
                <w:sz w:val="22"/>
                <w:szCs w:val="22"/>
              </w:rPr>
            </w:pPr>
            <w:r>
              <w:rPr>
                <w:sz w:val="22"/>
                <w:szCs w:val="22"/>
              </w:rPr>
              <w:t>250</w:t>
            </w:r>
          </w:p>
        </w:tc>
        <w:tc>
          <w:tcPr>
            <w:tcW w:w="236" w:type="dxa"/>
            <w:tcBorders>
              <w:top w:val="nil"/>
              <w:left w:val="nil"/>
              <w:right w:val="nil"/>
            </w:tcBorders>
            <w:shd w:val="clear" w:color="auto" w:fill="auto"/>
            <w:noWrap/>
            <w:vAlign w:val="center"/>
          </w:tcPr>
          <w:p w14:paraId="3DF32D81" w14:textId="77777777" w:rsidR="0020228A" w:rsidRPr="006053A2" w:rsidRDefault="0020228A" w:rsidP="0020228A">
            <w:pPr>
              <w:jc w:val="right"/>
              <w:rPr>
                <w:sz w:val="22"/>
                <w:szCs w:val="22"/>
              </w:rPr>
            </w:pPr>
          </w:p>
        </w:tc>
        <w:tc>
          <w:tcPr>
            <w:tcW w:w="1612" w:type="dxa"/>
            <w:gridSpan w:val="2"/>
            <w:tcBorders>
              <w:top w:val="nil"/>
              <w:left w:val="nil"/>
              <w:right w:val="nil"/>
            </w:tcBorders>
            <w:shd w:val="clear" w:color="auto" w:fill="auto"/>
            <w:noWrap/>
            <w:vAlign w:val="center"/>
          </w:tcPr>
          <w:p w14:paraId="352595DD" w14:textId="2199795E" w:rsidR="0020228A" w:rsidRPr="006053A2" w:rsidRDefault="00C745E5" w:rsidP="0020228A">
            <w:pPr>
              <w:jc w:val="right"/>
              <w:rPr>
                <w:sz w:val="22"/>
                <w:szCs w:val="22"/>
              </w:rPr>
            </w:pPr>
            <w:r>
              <w:rPr>
                <w:sz w:val="22"/>
                <w:szCs w:val="22"/>
              </w:rPr>
              <w:t>-</w:t>
            </w:r>
          </w:p>
        </w:tc>
        <w:tc>
          <w:tcPr>
            <w:tcW w:w="284" w:type="dxa"/>
            <w:tcBorders>
              <w:top w:val="nil"/>
              <w:left w:val="nil"/>
              <w:right w:val="nil"/>
            </w:tcBorders>
            <w:shd w:val="clear" w:color="auto" w:fill="auto"/>
            <w:noWrap/>
            <w:vAlign w:val="center"/>
          </w:tcPr>
          <w:p w14:paraId="7DF31D9E" w14:textId="77777777" w:rsidR="0020228A" w:rsidRPr="006053A2" w:rsidRDefault="0020228A" w:rsidP="0020228A">
            <w:pPr>
              <w:jc w:val="right"/>
              <w:rPr>
                <w:sz w:val="22"/>
                <w:szCs w:val="22"/>
              </w:rPr>
            </w:pPr>
          </w:p>
        </w:tc>
        <w:tc>
          <w:tcPr>
            <w:tcW w:w="1272" w:type="dxa"/>
            <w:tcBorders>
              <w:top w:val="nil"/>
              <w:left w:val="nil"/>
              <w:right w:val="nil"/>
            </w:tcBorders>
            <w:shd w:val="clear" w:color="auto" w:fill="auto"/>
            <w:noWrap/>
            <w:vAlign w:val="center"/>
          </w:tcPr>
          <w:p w14:paraId="72C42A89" w14:textId="77BEBFE6" w:rsidR="0020228A" w:rsidRPr="006053A2" w:rsidRDefault="00C745E5" w:rsidP="0020228A">
            <w:pPr>
              <w:jc w:val="right"/>
              <w:rPr>
                <w:sz w:val="22"/>
                <w:szCs w:val="22"/>
              </w:rPr>
            </w:pPr>
            <w:r>
              <w:rPr>
                <w:sz w:val="22"/>
                <w:szCs w:val="22"/>
              </w:rPr>
              <w:t>250</w:t>
            </w:r>
          </w:p>
        </w:tc>
      </w:tr>
      <w:tr w:rsidR="0020228A" w:rsidRPr="004D388B" w14:paraId="47197763" w14:textId="77777777" w:rsidTr="00AA3450">
        <w:trPr>
          <w:gridAfter w:val="1"/>
          <w:wAfter w:w="1199" w:type="dxa"/>
          <w:trHeight w:val="300"/>
        </w:trPr>
        <w:tc>
          <w:tcPr>
            <w:tcW w:w="1280" w:type="dxa"/>
            <w:tcBorders>
              <w:left w:val="nil"/>
              <w:bottom w:val="nil"/>
              <w:right w:val="nil"/>
            </w:tcBorders>
            <w:shd w:val="clear" w:color="auto" w:fill="auto"/>
            <w:noWrap/>
            <w:vAlign w:val="bottom"/>
            <w:hideMark/>
          </w:tcPr>
          <w:p w14:paraId="32D64535" w14:textId="77777777" w:rsidR="0020228A" w:rsidRPr="00B377B3" w:rsidRDefault="0020228A" w:rsidP="0020228A">
            <w:pPr>
              <w:rPr>
                <w:sz w:val="22"/>
                <w:szCs w:val="22"/>
              </w:rPr>
            </w:pPr>
            <w:r w:rsidRPr="00B377B3">
              <w:rPr>
                <w:sz w:val="22"/>
                <w:szCs w:val="22"/>
              </w:rPr>
              <w:t>Revaluation</w:t>
            </w:r>
          </w:p>
        </w:tc>
        <w:tc>
          <w:tcPr>
            <w:tcW w:w="1712" w:type="dxa"/>
            <w:gridSpan w:val="2"/>
            <w:tcBorders>
              <w:left w:val="nil"/>
              <w:bottom w:val="nil"/>
              <w:right w:val="nil"/>
            </w:tcBorders>
            <w:shd w:val="clear" w:color="auto" w:fill="auto"/>
            <w:noWrap/>
            <w:vAlign w:val="bottom"/>
            <w:hideMark/>
          </w:tcPr>
          <w:p w14:paraId="6129DF9D" w14:textId="77777777" w:rsidR="0020228A" w:rsidRPr="00B377B3" w:rsidRDefault="0020228A" w:rsidP="0020228A">
            <w:pPr>
              <w:rPr>
                <w:sz w:val="22"/>
                <w:szCs w:val="22"/>
              </w:rPr>
            </w:pPr>
          </w:p>
        </w:tc>
        <w:tc>
          <w:tcPr>
            <w:tcW w:w="1262" w:type="dxa"/>
            <w:tcBorders>
              <w:left w:val="nil"/>
              <w:right w:val="nil"/>
            </w:tcBorders>
            <w:shd w:val="clear" w:color="auto" w:fill="auto"/>
            <w:noWrap/>
            <w:vAlign w:val="center"/>
          </w:tcPr>
          <w:p w14:paraId="1E747051" w14:textId="77777777" w:rsidR="0020228A" w:rsidRPr="00B377B3" w:rsidRDefault="0020228A" w:rsidP="0020228A">
            <w:pPr>
              <w:jc w:val="right"/>
              <w:rPr>
                <w:sz w:val="22"/>
                <w:szCs w:val="22"/>
              </w:rPr>
            </w:pPr>
          </w:p>
        </w:tc>
        <w:tc>
          <w:tcPr>
            <w:tcW w:w="236" w:type="dxa"/>
            <w:tcBorders>
              <w:left w:val="nil"/>
              <w:bottom w:val="nil"/>
              <w:right w:val="nil"/>
            </w:tcBorders>
            <w:shd w:val="clear" w:color="auto" w:fill="auto"/>
            <w:noWrap/>
            <w:vAlign w:val="center"/>
          </w:tcPr>
          <w:p w14:paraId="74058493" w14:textId="77777777" w:rsidR="0020228A" w:rsidRPr="00B377B3" w:rsidRDefault="0020228A" w:rsidP="0020228A">
            <w:pPr>
              <w:jc w:val="right"/>
              <w:rPr>
                <w:sz w:val="22"/>
                <w:szCs w:val="22"/>
              </w:rPr>
            </w:pPr>
          </w:p>
        </w:tc>
        <w:tc>
          <w:tcPr>
            <w:tcW w:w="1260" w:type="dxa"/>
            <w:tcBorders>
              <w:left w:val="nil"/>
              <w:bottom w:val="single" w:sz="4" w:space="0" w:color="auto"/>
              <w:right w:val="nil"/>
            </w:tcBorders>
            <w:shd w:val="clear" w:color="auto" w:fill="auto"/>
            <w:noWrap/>
            <w:vAlign w:val="center"/>
          </w:tcPr>
          <w:p w14:paraId="12BC019A" w14:textId="26FC9B91" w:rsidR="0020228A" w:rsidRPr="00B377B3" w:rsidRDefault="00B377B3" w:rsidP="0020228A">
            <w:pPr>
              <w:jc w:val="right"/>
              <w:rPr>
                <w:sz w:val="22"/>
                <w:szCs w:val="22"/>
              </w:rPr>
            </w:pPr>
            <w:r w:rsidRPr="00B377B3">
              <w:rPr>
                <w:sz w:val="22"/>
                <w:szCs w:val="22"/>
              </w:rPr>
              <w:t>12,069</w:t>
            </w:r>
          </w:p>
        </w:tc>
        <w:tc>
          <w:tcPr>
            <w:tcW w:w="236" w:type="dxa"/>
            <w:tcBorders>
              <w:left w:val="nil"/>
              <w:bottom w:val="nil"/>
              <w:right w:val="nil"/>
            </w:tcBorders>
            <w:shd w:val="clear" w:color="auto" w:fill="auto"/>
            <w:noWrap/>
            <w:vAlign w:val="center"/>
          </w:tcPr>
          <w:p w14:paraId="519630B5" w14:textId="77777777" w:rsidR="0020228A" w:rsidRPr="00B377B3" w:rsidRDefault="0020228A" w:rsidP="0020228A">
            <w:pPr>
              <w:jc w:val="right"/>
              <w:rPr>
                <w:sz w:val="22"/>
                <w:szCs w:val="22"/>
              </w:rPr>
            </w:pPr>
          </w:p>
        </w:tc>
        <w:tc>
          <w:tcPr>
            <w:tcW w:w="1612" w:type="dxa"/>
            <w:gridSpan w:val="2"/>
            <w:tcBorders>
              <w:left w:val="nil"/>
              <w:bottom w:val="single" w:sz="4" w:space="0" w:color="auto"/>
              <w:right w:val="nil"/>
            </w:tcBorders>
            <w:shd w:val="clear" w:color="auto" w:fill="auto"/>
            <w:noWrap/>
            <w:vAlign w:val="center"/>
          </w:tcPr>
          <w:p w14:paraId="09D77FB3" w14:textId="7F43CC41" w:rsidR="0020228A" w:rsidRPr="00B377B3" w:rsidRDefault="0020228A" w:rsidP="0020228A">
            <w:pPr>
              <w:jc w:val="right"/>
              <w:rPr>
                <w:sz w:val="22"/>
                <w:szCs w:val="22"/>
              </w:rPr>
            </w:pPr>
          </w:p>
        </w:tc>
        <w:tc>
          <w:tcPr>
            <w:tcW w:w="284" w:type="dxa"/>
            <w:tcBorders>
              <w:left w:val="nil"/>
              <w:bottom w:val="nil"/>
              <w:right w:val="nil"/>
            </w:tcBorders>
            <w:shd w:val="clear" w:color="auto" w:fill="auto"/>
            <w:noWrap/>
            <w:vAlign w:val="center"/>
          </w:tcPr>
          <w:p w14:paraId="2B4AB7BE" w14:textId="77777777" w:rsidR="0020228A" w:rsidRPr="00B377B3" w:rsidRDefault="0020228A" w:rsidP="0020228A">
            <w:pPr>
              <w:jc w:val="right"/>
              <w:rPr>
                <w:sz w:val="22"/>
                <w:szCs w:val="22"/>
              </w:rPr>
            </w:pPr>
          </w:p>
        </w:tc>
        <w:tc>
          <w:tcPr>
            <w:tcW w:w="1272" w:type="dxa"/>
            <w:tcBorders>
              <w:left w:val="nil"/>
              <w:bottom w:val="single" w:sz="4" w:space="0" w:color="auto"/>
              <w:right w:val="nil"/>
            </w:tcBorders>
            <w:shd w:val="clear" w:color="auto" w:fill="auto"/>
            <w:noWrap/>
            <w:vAlign w:val="center"/>
          </w:tcPr>
          <w:p w14:paraId="6C77B2F6" w14:textId="0C17AF62" w:rsidR="0020228A" w:rsidRPr="006053A2" w:rsidRDefault="00B377B3" w:rsidP="0020228A">
            <w:pPr>
              <w:jc w:val="right"/>
              <w:rPr>
                <w:sz w:val="22"/>
                <w:szCs w:val="22"/>
              </w:rPr>
            </w:pPr>
            <w:r>
              <w:rPr>
                <w:sz w:val="22"/>
                <w:szCs w:val="22"/>
              </w:rPr>
              <w:t>12,069</w:t>
            </w:r>
          </w:p>
        </w:tc>
      </w:tr>
      <w:tr w:rsidR="0020228A" w:rsidRPr="004D388B" w14:paraId="302E98B9" w14:textId="77777777" w:rsidTr="00AA3450">
        <w:trPr>
          <w:gridAfter w:val="1"/>
          <w:wAfter w:w="1199" w:type="dxa"/>
          <w:trHeight w:val="300"/>
        </w:trPr>
        <w:tc>
          <w:tcPr>
            <w:tcW w:w="2992" w:type="dxa"/>
            <w:gridSpan w:val="3"/>
            <w:tcBorders>
              <w:top w:val="nil"/>
              <w:left w:val="nil"/>
              <w:bottom w:val="nil"/>
              <w:right w:val="nil"/>
            </w:tcBorders>
            <w:shd w:val="clear" w:color="auto" w:fill="auto"/>
            <w:noWrap/>
            <w:vAlign w:val="bottom"/>
            <w:hideMark/>
          </w:tcPr>
          <w:p w14:paraId="3705D9B9" w14:textId="0A342D4D" w:rsidR="0020228A" w:rsidRPr="00B377B3" w:rsidRDefault="0020228A" w:rsidP="0020228A">
            <w:pPr>
              <w:rPr>
                <w:sz w:val="22"/>
                <w:szCs w:val="22"/>
              </w:rPr>
            </w:pPr>
            <w:r w:rsidRPr="00B377B3">
              <w:rPr>
                <w:sz w:val="22"/>
                <w:szCs w:val="22"/>
              </w:rPr>
              <w:t>At 31 March 202</w:t>
            </w:r>
            <w:r w:rsidR="0067380E" w:rsidRPr="00B377B3">
              <w:rPr>
                <w:sz w:val="22"/>
                <w:szCs w:val="22"/>
              </w:rPr>
              <w:t>4</w:t>
            </w:r>
          </w:p>
        </w:tc>
        <w:tc>
          <w:tcPr>
            <w:tcW w:w="1262" w:type="dxa"/>
            <w:tcBorders>
              <w:top w:val="nil"/>
              <w:left w:val="nil"/>
              <w:right w:val="nil"/>
            </w:tcBorders>
            <w:shd w:val="clear" w:color="auto" w:fill="auto"/>
            <w:noWrap/>
            <w:vAlign w:val="center"/>
          </w:tcPr>
          <w:p w14:paraId="767E4FFE" w14:textId="77777777" w:rsidR="0020228A" w:rsidRPr="00B377B3" w:rsidRDefault="0020228A" w:rsidP="0020228A">
            <w:pPr>
              <w:jc w:val="right"/>
              <w:rPr>
                <w:sz w:val="22"/>
                <w:szCs w:val="22"/>
              </w:rPr>
            </w:pPr>
          </w:p>
        </w:tc>
        <w:tc>
          <w:tcPr>
            <w:tcW w:w="236" w:type="dxa"/>
            <w:tcBorders>
              <w:top w:val="nil"/>
              <w:left w:val="nil"/>
              <w:bottom w:val="nil"/>
              <w:right w:val="nil"/>
            </w:tcBorders>
            <w:shd w:val="clear" w:color="auto" w:fill="auto"/>
            <w:noWrap/>
            <w:vAlign w:val="center"/>
          </w:tcPr>
          <w:p w14:paraId="66CFAF8B" w14:textId="77777777" w:rsidR="0020228A" w:rsidRPr="00B377B3" w:rsidRDefault="0020228A" w:rsidP="0020228A">
            <w:pPr>
              <w:jc w:val="right"/>
              <w:rPr>
                <w:sz w:val="22"/>
                <w:szCs w:val="22"/>
              </w:rPr>
            </w:pPr>
          </w:p>
        </w:tc>
        <w:tc>
          <w:tcPr>
            <w:tcW w:w="1260" w:type="dxa"/>
            <w:tcBorders>
              <w:top w:val="nil"/>
              <w:left w:val="nil"/>
              <w:bottom w:val="single" w:sz="4" w:space="0" w:color="auto"/>
              <w:right w:val="nil"/>
            </w:tcBorders>
            <w:shd w:val="clear" w:color="auto" w:fill="auto"/>
            <w:noWrap/>
            <w:vAlign w:val="center"/>
          </w:tcPr>
          <w:p w14:paraId="488E5378" w14:textId="507854EA" w:rsidR="0020228A" w:rsidRPr="00B377B3" w:rsidRDefault="00C745E5" w:rsidP="0020228A">
            <w:pPr>
              <w:jc w:val="right"/>
              <w:rPr>
                <w:sz w:val="22"/>
                <w:szCs w:val="22"/>
              </w:rPr>
            </w:pPr>
            <w:r w:rsidRPr="00B377B3">
              <w:rPr>
                <w:sz w:val="22"/>
                <w:szCs w:val="22"/>
              </w:rPr>
              <w:t>-</w:t>
            </w:r>
          </w:p>
        </w:tc>
        <w:tc>
          <w:tcPr>
            <w:tcW w:w="236" w:type="dxa"/>
            <w:tcBorders>
              <w:top w:val="nil"/>
              <w:left w:val="nil"/>
              <w:bottom w:val="nil"/>
              <w:right w:val="nil"/>
            </w:tcBorders>
            <w:shd w:val="clear" w:color="auto" w:fill="auto"/>
            <w:noWrap/>
            <w:vAlign w:val="center"/>
          </w:tcPr>
          <w:p w14:paraId="1724F29F" w14:textId="77777777" w:rsidR="0020228A" w:rsidRPr="00B377B3" w:rsidRDefault="0020228A" w:rsidP="0020228A">
            <w:pPr>
              <w:jc w:val="right"/>
              <w:rPr>
                <w:sz w:val="22"/>
                <w:szCs w:val="22"/>
              </w:rPr>
            </w:pPr>
          </w:p>
        </w:tc>
        <w:tc>
          <w:tcPr>
            <w:tcW w:w="1612" w:type="dxa"/>
            <w:gridSpan w:val="2"/>
            <w:tcBorders>
              <w:top w:val="nil"/>
              <w:left w:val="nil"/>
              <w:bottom w:val="single" w:sz="4" w:space="0" w:color="auto"/>
              <w:right w:val="nil"/>
            </w:tcBorders>
            <w:shd w:val="clear" w:color="auto" w:fill="auto"/>
            <w:noWrap/>
            <w:vAlign w:val="center"/>
          </w:tcPr>
          <w:p w14:paraId="7F7C70EF" w14:textId="64B0301D" w:rsidR="0020228A" w:rsidRPr="00B377B3" w:rsidRDefault="00C745E5" w:rsidP="0020228A">
            <w:pPr>
              <w:jc w:val="right"/>
              <w:rPr>
                <w:sz w:val="22"/>
                <w:szCs w:val="22"/>
              </w:rPr>
            </w:pPr>
            <w:r w:rsidRPr="00B377B3">
              <w:rPr>
                <w:sz w:val="22"/>
                <w:szCs w:val="22"/>
              </w:rPr>
              <w:t>-</w:t>
            </w:r>
          </w:p>
        </w:tc>
        <w:tc>
          <w:tcPr>
            <w:tcW w:w="284" w:type="dxa"/>
            <w:tcBorders>
              <w:top w:val="nil"/>
              <w:left w:val="nil"/>
              <w:bottom w:val="nil"/>
              <w:right w:val="nil"/>
            </w:tcBorders>
            <w:shd w:val="clear" w:color="auto" w:fill="auto"/>
            <w:noWrap/>
            <w:vAlign w:val="center"/>
          </w:tcPr>
          <w:p w14:paraId="64058359" w14:textId="77777777" w:rsidR="0020228A" w:rsidRPr="00B377B3" w:rsidRDefault="0020228A" w:rsidP="0020228A">
            <w:pPr>
              <w:jc w:val="right"/>
              <w:rPr>
                <w:sz w:val="22"/>
                <w:szCs w:val="22"/>
              </w:rPr>
            </w:pPr>
          </w:p>
        </w:tc>
        <w:tc>
          <w:tcPr>
            <w:tcW w:w="1272" w:type="dxa"/>
            <w:tcBorders>
              <w:top w:val="nil"/>
              <w:left w:val="nil"/>
              <w:bottom w:val="single" w:sz="4" w:space="0" w:color="auto"/>
              <w:right w:val="nil"/>
            </w:tcBorders>
            <w:shd w:val="clear" w:color="auto" w:fill="auto"/>
            <w:noWrap/>
            <w:vAlign w:val="center"/>
          </w:tcPr>
          <w:p w14:paraId="428CD75B" w14:textId="6D3DB2E6" w:rsidR="0020228A" w:rsidRPr="006053A2" w:rsidRDefault="00C745E5" w:rsidP="0020228A">
            <w:pPr>
              <w:jc w:val="right"/>
              <w:rPr>
                <w:sz w:val="22"/>
                <w:szCs w:val="22"/>
              </w:rPr>
            </w:pPr>
            <w:r>
              <w:rPr>
                <w:sz w:val="22"/>
                <w:szCs w:val="22"/>
              </w:rPr>
              <w:t>-</w:t>
            </w:r>
          </w:p>
        </w:tc>
      </w:tr>
      <w:tr w:rsidR="0020228A" w:rsidRPr="004D388B" w14:paraId="2DA0E4D0" w14:textId="77777777" w:rsidTr="00AA3450">
        <w:trPr>
          <w:gridAfter w:val="1"/>
          <w:wAfter w:w="1199" w:type="dxa"/>
          <w:trHeight w:val="300"/>
        </w:trPr>
        <w:tc>
          <w:tcPr>
            <w:tcW w:w="1280" w:type="dxa"/>
            <w:tcBorders>
              <w:top w:val="nil"/>
              <w:left w:val="nil"/>
              <w:bottom w:val="nil"/>
              <w:right w:val="nil"/>
            </w:tcBorders>
            <w:shd w:val="clear" w:color="auto" w:fill="auto"/>
            <w:noWrap/>
            <w:vAlign w:val="center"/>
            <w:hideMark/>
          </w:tcPr>
          <w:p w14:paraId="06A5C2CF" w14:textId="77777777" w:rsidR="0020228A" w:rsidRPr="00B377B3" w:rsidRDefault="0020228A" w:rsidP="0020228A">
            <w:pPr>
              <w:rPr>
                <w:sz w:val="20"/>
                <w:szCs w:val="22"/>
              </w:rPr>
            </w:pPr>
          </w:p>
        </w:tc>
        <w:tc>
          <w:tcPr>
            <w:tcW w:w="1712" w:type="dxa"/>
            <w:gridSpan w:val="2"/>
            <w:tcBorders>
              <w:top w:val="nil"/>
              <w:left w:val="nil"/>
              <w:bottom w:val="nil"/>
              <w:right w:val="nil"/>
            </w:tcBorders>
            <w:shd w:val="clear" w:color="auto" w:fill="auto"/>
            <w:noWrap/>
            <w:vAlign w:val="center"/>
            <w:hideMark/>
          </w:tcPr>
          <w:p w14:paraId="202F2B42" w14:textId="77777777" w:rsidR="0020228A" w:rsidRPr="00B377B3" w:rsidRDefault="0020228A" w:rsidP="0020228A">
            <w:pPr>
              <w:rPr>
                <w:sz w:val="20"/>
                <w:szCs w:val="22"/>
              </w:rPr>
            </w:pPr>
          </w:p>
        </w:tc>
        <w:tc>
          <w:tcPr>
            <w:tcW w:w="1262" w:type="dxa"/>
            <w:tcBorders>
              <w:top w:val="nil"/>
              <w:left w:val="nil"/>
              <w:bottom w:val="nil"/>
              <w:right w:val="nil"/>
            </w:tcBorders>
            <w:shd w:val="clear" w:color="auto" w:fill="auto"/>
            <w:noWrap/>
            <w:vAlign w:val="center"/>
            <w:hideMark/>
          </w:tcPr>
          <w:p w14:paraId="4C9B5553" w14:textId="77777777" w:rsidR="0020228A" w:rsidRPr="00B377B3" w:rsidRDefault="0020228A" w:rsidP="0020228A">
            <w:pPr>
              <w:rPr>
                <w:sz w:val="20"/>
                <w:szCs w:val="22"/>
              </w:rPr>
            </w:pPr>
          </w:p>
        </w:tc>
        <w:tc>
          <w:tcPr>
            <w:tcW w:w="236" w:type="dxa"/>
            <w:tcBorders>
              <w:top w:val="nil"/>
              <w:left w:val="nil"/>
              <w:bottom w:val="nil"/>
              <w:right w:val="nil"/>
            </w:tcBorders>
            <w:shd w:val="clear" w:color="auto" w:fill="auto"/>
            <w:noWrap/>
            <w:vAlign w:val="center"/>
            <w:hideMark/>
          </w:tcPr>
          <w:p w14:paraId="7E251C87" w14:textId="77777777" w:rsidR="0020228A" w:rsidRPr="00B377B3" w:rsidRDefault="0020228A" w:rsidP="0020228A">
            <w:pPr>
              <w:rPr>
                <w:sz w:val="20"/>
                <w:szCs w:val="22"/>
              </w:rPr>
            </w:pPr>
          </w:p>
        </w:tc>
        <w:tc>
          <w:tcPr>
            <w:tcW w:w="1260" w:type="dxa"/>
            <w:tcBorders>
              <w:top w:val="nil"/>
              <w:left w:val="nil"/>
              <w:bottom w:val="nil"/>
              <w:right w:val="nil"/>
            </w:tcBorders>
            <w:shd w:val="clear" w:color="auto" w:fill="auto"/>
            <w:noWrap/>
            <w:vAlign w:val="center"/>
            <w:hideMark/>
          </w:tcPr>
          <w:p w14:paraId="70C45CE7" w14:textId="77777777" w:rsidR="0020228A" w:rsidRPr="00B377B3" w:rsidRDefault="0020228A" w:rsidP="0020228A">
            <w:pPr>
              <w:rPr>
                <w:sz w:val="20"/>
                <w:szCs w:val="22"/>
              </w:rPr>
            </w:pPr>
          </w:p>
        </w:tc>
        <w:tc>
          <w:tcPr>
            <w:tcW w:w="236" w:type="dxa"/>
            <w:tcBorders>
              <w:top w:val="nil"/>
              <w:left w:val="nil"/>
              <w:bottom w:val="nil"/>
              <w:right w:val="nil"/>
            </w:tcBorders>
            <w:shd w:val="clear" w:color="auto" w:fill="auto"/>
            <w:noWrap/>
            <w:vAlign w:val="center"/>
            <w:hideMark/>
          </w:tcPr>
          <w:p w14:paraId="382CFF7B" w14:textId="77777777" w:rsidR="0020228A" w:rsidRPr="00B377B3" w:rsidRDefault="0020228A" w:rsidP="0020228A">
            <w:pPr>
              <w:rPr>
                <w:sz w:val="20"/>
                <w:szCs w:val="22"/>
              </w:rPr>
            </w:pPr>
          </w:p>
        </w:tc>
        <w:tc>
          <w:tcPr>
            <w:tcW w:w="1612" w:type="dxa"/>
            <w:gridSpan w:val="2"/>
            <w:tcBorders>
              <w:top w:val="nil"/>
              <w:left w:val="nil"/>
              <w:bottom w:val="nil"/>
              <w:right w:val="nil"/>
            </w:tcBorders>
            <w:shd w:val="clear" w:color="auto" w:fill="auto"/>
            <w:noWrap/>
            <w:vAlign w:val="center"/>
            <w:hideMark/>
          </w:tcPr>
          <w:p w14:paraId="3151EB60" w14:textId="77777777" w:rsidR="0020228A" w:rsidRPr="00B377B3" w:rsidRDefault="0020228A" w:rsidP="0020228A">
            <w:pPr>
              <w:rPr>
                <w:sz w:val="20"/>
                <w:szCs w:val="22"/>
              </w:rPr>
            </w:pPr>
          </w:p>
        </w:tc>
        <w:tc>
          <w:tcPr>
            <w:tcW w:w="284" w:type="dxa"/>
            <w:tcBorders>
              <w:top w:val="nil"/>
              <w:left w:val="nil"/>
              <w:bottom w:val="nil"/>
              <w:right w:val="nil"/>
            </w:tcBorders>
            <w:shd w:val="clear" w:color="auto" w:fill="auto"/>
            <w:noWrap/>
            <w:vAlign w:val="center"/>
            <w:hideMark/>
          </w:tcPr>
          <w:p w14:paraId="2EBF859D" w14:textId="77777777" w:rsidR="0020228A" w:rsidRPr="00B377B3" w:rsidRDefault="0020228A" w:rsidP="0020228A">
            <w:pPr>
              <w:rPr>
                <w:sz w:val="20"/>
                <w:szCs w:val="22"/>
              </w:rPr>
            </w:pPr>
          </w:p>
        </w:tc>
        <w:tc>
          <w:tcPr>
            <w:tcW w:w="1272" w:type="dxa"/>
            <w:tcBorders>
              <w:top w:val="nil"/>
              <w:left w:val="nil"/>
              <w:bottom w:val="nil"/>
              <w:right w:val="nil"/>
            </w:tcBorders>
            <w:shd w:val="clear" w:color="auto" w:fill="auto"/>
            <w:noWrap/>
            <w:vAlign w:val="center"/>
            <w:hideMark/>
          </w:tcPr>
          <w:p w14:paraId="0475934F" w14:textId="77777777" w:rsidR="0020228A" w:rsidRPr="006053A2" w:rsidRDefault="0020228A" w:rsidP="0020228A">
            <w:pPr>
              <w:rPr>
                <w:sz w:val="20"/>
                <w:szCs w:val="22"/>
              </w:rPr>
            </w:pPr>
          </w:p>
        </w:tc>
      </w:tr>
      <w:tr w:rsidR="0020228A" w:rsidRPr="004D388B" w14:paraId="2BEB0535" w14:textId="77777777" w:rsidTr="00501951">
        <w:trPr>
          <w:gridAfter w:val="1"/>
          <w:wAfter w:w="1199" w:type="dxa"/>
          <w:trHeight w:val="503"/>
        </w:trPr>
        <w:tc>
          <w:tcPr>
            <w:tcW w:w="2992" w:type="dxa"/>
            <w:gridSpan w:val="3"/>
            <w:tcBorders>
              <w:top w:val="nil"/>
              <w:left w:val="nil"/>
              <w:bottom w:val="nil"/>
              <w:right w:val="nil"/>
            </w:tcBorders>
            <w:shd w:val="clear" w:color="auto" w:fill="auto"/>
            <w:noWrap/>
            <w:vAlign w:val="bottom"/>
            <w:hideMark/>
          </w:tcPr>
          <w:p w14:paraId="5BAFE8DF" w14:textId="77777777" w:rsidR="00896104" w:rsidRPr="00B377B3" w:rsidRDefault="00896104" w:rsidP="0020228A">
            <w:pPr>
              <w:rPr>
                <w:b/>
                <w:bCs/>
                <w:sz w:val="22"/>
                <w:szCs w:val="22"/>
              </w:rPr>
            </w:pPr>
          </w:p>
          <w:p w14:paraId="4C81F87B" w14:textId="77777777" w:rsidR="00896104" w:rsidRPr="00B377B3" w:rsidRDefault="00896104" w:rsidP="0020228A">
            <w:pPr>
              <w:rPr>
                <w:b/>
                <w:bCs/>
                <w:sz w:val="22"/>
                <w:szCs w:val="22"/>
              </w:rPr>
            </w:pPr>
          </w:p>
          <w:p w14:paraId="26663C78" w14:textId="77777777" w:rsidR="00896104" w:rsidRPr="00B377B3" w:rsidRDefault="00896104" w:rsidP="0020228A">
            <w:pPr>
              <w:rPr>
                <w:b/>
                <w:bCs/>
                <w:sz w:val="22"/>
                <w:szCs w:val="22"/>
              </w:rPr>
            </w:pPr>
          </w:p>
          <w:p w14:paraId="1076D25D" w14:textId="312653B6" w:rsidR="0020228A" w:rsidRPr="00B377B3" w:rsidRDefault="0020228A" w:rsidP="0020228A">
            <w:pPr>
              <w:rPr>
                <w:b/>
                <w:bCs/>
                <w:sz w:val="22"/>
                <w:szCs w:val="22"/>
              </w:rPr>
            </w:pPr>
            <w:r w:rsidRPr="00B377B3">
              <w:rPr>
                <w:b/>
                <w:bCs/>
                <w:sz w:val="22"/>
                <w:szCs w:val="22"/>
              </w:rPr>
              <w:t>Net Book Value - Valuation</w:t>
            </w:r>
          </w:p>
        </w:tc>
        <w:tc>
          <w:tcPr>
            <w:tcW w:w="1262" w:type="dxa"/>
            <w:tcBorders>
              <w:top w:val="nil"/>
              <w:left w:val="nil"/>
              <w:right w:val="nil"/>
            </w:tcBorders>
            <w:shd w:val="clear" w:color="auto" w:fill="auto"/>
            <w:noWrap/>
            <w:vAlign w:val="center"/>
            <w:hideMark/>
          </w:tcPr>
          <w:p w14:paraId="3970E23F" w14:textId="77777777" w:rsidR="0020228A" w:rsidRPr="00B377B3" w:rsidRDefault="0020228A" w:rsidP="0020228A">
            <w:pPr>
              <w:jc w:val="right"/>
              <w:rPr>
                <w:sz w:val="22"/>
                <w:szCs w:val="22"/>
              </w:rPr>
            </w:pPr>
          </w:p>
        </w:tc>
        <w:tc>
          <w:tcPr>
            <w:tcW w:w="236" w:type="dxa"/>
            <w:tcBorders>
              <w:top w:val="nil"/>
              <w:left w:val="nil"/>
              <w:bottom w:val="nil"/>
              <w:right w:val="nil"/>
            </w:tcBorders>
            <w:shd w:val="clear" w:color="auto" w:fill="auto"/>
            <w:noWrap/>
            <w:vAlign w:val="center"/>
            <w:hideMark/>
          </w:tcPr>
          <w:p w14:paraId="3AA46806" w14:textId="77777777" w:rsidR="0020228A" w:rsidRPr="00B377B3" w:rsidRDefault="0020228A" w:rsidP="0020228A">
            <w:pPr>
              <w:jc w:val="right"/>
              <w:rPr>
                <w:sz w:val="22"/>
                <w:szCs w:val="22"/>
              </w:rPr>
            </w:pPr>
          </w:p>
        </w:tc>
        <w:tc>
          <w:tcPr>
            <w:tcW w:w="1260" w:type="dxa"/>
            <w:tcBorders>
              <w:top w:val="nil"/>
              <w:left w:val="nil"/>
              <w:right w:val="nil"/>
            </w:tcBorders>
            <w:shd w:val="clear" w:color="auto" w:fill="auto"/>
            <w:noWrap/>
            <w:vAlign w:val="center"/>
            <w:hideMark/>
          </w:tcPr>
          <w:p w14:paraId="50377F8D" w14:textId="77777777" w:rsidR="0020228A" w:rsidRPr="00B377B3" w:rsidRDefault="0020228A" w:rsidP="0020228A">
            <w:pPr>
              <w:jc w:val="right"/>
              <w:rPr>
                <w:sz w:val="22"/>
                <w:szCs w:val="22"/>
              </w:rPr>
            </w:pPr>
          </w:p>
        </w:tc>
        <w:tc>
          <w:tcPr>
            <w:tcW w:w="236" w:type="dxa"/>
            <w:tcBorders>
              <w:top w:val="nil"/>
              <w:left w:val="nil"/>
              <w:right w:val="nil"/>
            </w:tcBorders>
            <w:shd w:val="clear" w:color="auto" w:fill="auto"/>
            <w:noWrap/>
            <w:vAlign w:val="center"/>
            <w:hideMark/>
          </w:tcPr>
          <w:p w14:paraId="7C252819" w14:textId="77777777" w:rsidR="0020228A" w:rsidRPr="00B377B3" w:rsidRDefault="0020228A" w:rsidP="0020228A">
            <w:pPr>
              <w:jc w:val="right"/>
              <w:rPr>
                <w:sz w:val="22"/>
                <w:szCs w:val="22"/>
              </w:rPr>
            </w:pPr>
          </w:p>
        </w:tc>
        <w:tc>
          <w:tcPr>
            <w:tcW w:w="1612" w:type="dxa"/>
            <w:gridSpan w:val="2"/>
            <w:tcBorders>
              <w:top w:val="nil"/>
              <w:left w:val="nil"/>
              <w:right w:val="nil"/>
            </w:tcBorders>
            <w:shd w:val="clear" w:color="auto" w:fill="auto"/>
            <w:noWrap/>
            <w:vAlign w:val="center"/>
            <w:hideMark/>
          </w:tcPr>
          <w:p w14:paraId="38804C28" w14:textId="77777777" w:rsidR="0020228A" w:rsidRPr="00B377B3" w:rsidRDefault="0020228A" w:rsidP="0020228A">
            <w:pPr>
              <w:jc w:val="right"/>
              <w:rPr>
                <w:sz w:val="22"/>
                <w:szCs w:val="22"/>
              </w:rPr>
            </w:pPr>
          </w:p>
        </w:tc>
        <w:tc>
          <w:tcPr>
            <w:tcW w:w="284" w:type="dxa"/>
            <w:tcBorders>
              <w:top w:val="nil"/>
              <w:left w:val="nil"/>
              <w:right w:val="nil"/>
            </w:tcBorders>
            <w:shd w:val="clear" w:color="auto" w:fill="auto"/>
            <w:noWrap/>
            <w:vAlign w:val="center"/>
            <w:hideMark/>
          </w:tcPr>
          <w:p w14:paraId="2CF664C9" w14:textId="77777777" w:rsidR="0020228A" w:rsidRPr="00B377B3" w:rsidRDefault="0020228A" w:rsidP="0020228A">
            <w:pPr>
              <w:jc w:val="right"/>
              <w:rPr>
                <w:sz w:val="22"/>
                <w:szCs w:val="22"/>
              </w:rPr>
            </w:pPr>
          </w:p>
        </w:tc>
        <w:tc>
          <w:tcPr>
            <w:tcW w:w="1272" w:type="dxa"/>
            <w:tcBorders>
              <w:top w:val="nil"/>
              <w:left w:val="nil"/>
              <w:right w:val="nil"/>
            </w:tcBorders>
            <w:shd w:val="clear" w:color="auto" w:fill="auto"/>
            <w:noWrap/>
            <w:vAlign w:val="center"/>
            <w:hideMark/>
          </w:tcPr>
          <w:p w14:paraId="03854D16" w14:textId="77777777" w:rsidR="0020228A" w:rsidRPr="006053A2" w:rsidRDefault="0020228A" w:rsidP="0020228A">
            <w:pPr>
              <w:jc w:val="right"/>
              <w:rPr>
                <w:sz w:val="22"/>
                <w:szCs w:val="22"/>
              </w:rPr>
            </w:pPr>
          </w:p>
        </w:tc>
      </w:tr>
      <w:tr w:rsidR="0020228A" w:rsidRPr="00B377B3" w14:paraId="1F262A57" w14:textId="77777777" w:rsidTr="00501951">
        <w:trPr>
          <w:gridAfter w:val="1"/>
          <w:wAfter w:w="1199" w:type="dxa"/>
          <w:trHeight w:val="300"/>
        </w:trPr>
        <w:tc>
          <w:tcPr>
            <w:tcW w:w="2992" w:type="dxa"/>
            <w:gridSpan w:val="3"/>
            <w:tcBorders>
              <w:top w:val="nil"/>
              <w:left w:val="nil"/>
              <w:bottom w:val="nil"/>
              <w:right w:val="nil"/>
            </w:tcBorders>
            <w:shd w:val="clear" w:color="auto" w:fill="auto"/>
            <w:noWrap/>
            <w:vAlign w:val="bottom"/>
            <w:hideMark/>
          </w:tcPr>
          <w:p w14:paraId="72338F47" w14:textId="343FB037" w:rsidR="0020228A" w:rsidRPr="00B377B3" w:rsidRDefault="0020228A" w:rsidP="0020228A">
            <w:pPr>
              <w:rPr>
                <w:sz w:val="22"/>
                <w:szCs w:val="22"/>
              </w:rPr>
            </w:pPr>
            <w:r w:rsidRPr="00B377B3">
              <w:rPr>
                <w:sz w:val="22"/>
                <w:szCs w:val="22"/>
              </w:rPr>
              <w:t>At 31 March 202</w:t>
            </w:r>
            <w:r w:rsidR="005E09E3" w:rsidRPr="00B377B3">
              <w:rPr>
                <w:sz w:val="22"/>
                <w:szCs w:val="22"/>
              </w:rPr>
              <w:t>4</w:t>
            </w:r>
          </w:p>
        </w:tc>
        <w:tc>
          <w:tcPr>
            <w:tcW w:w="1262" w:type="dxa"/>
            <w:tcBorders>
              <w:left w:val="nil"/>
              <w:right w:val="nil"/>
            </w:tcBorders>
            <w:shd w:val="clear" w:color="auto" w:fill="auto"/>
            <w:noWrap/>
            <w:vAlign w:val="center"/>
          </w:tcPr>
          <w:p w14:paraId="3F0C8C81" w14:textId="77777777" w:rsidR="0020228A" w:rsidRPr="00B377B3" w:rsidRDefault="0020228A" w:rsidP="0020228A">
            <w:pPr>
              <w:jc w:val="right"/>
              <w:rPr>
                <w:sz w:val="22"/>
                <w:szCs w:val="22"/>
              </w:rPr>
            </w:pPr>
          </w:p>
        </w:tc>
        <w:tc>
          <w:tcPr>
            <w:tcW w:w="236" w:type="dxa"/>
            <w:tcBorders>
              <w:top w:val="nil"/>
              <w:left w:val="nil"/>
              <w:bottom w:val="nil"/>
              <w:right w:val="nil"/>
            </w:tcBorders>
            <w:shd w:val="clear" w:color="auto" w:fill="auto"/>
            <w:noWrap/>
            <w:vAlign w:val="center"/>
          </w:tcPr>
          <w:p w14:paraId="5F77187D" w14:textId="77777777" w:rsidR="0020228A" w:rsidRPr="00B377B3" w:rsidRDefault="0020228A" w:rsidP="0020228A">
            <w:pPr>
              <w:jc w:val="right"/>
              <w:rPr>
                <w:sz w:val="22"/>
                <w:szCs w:val="22"/>
              </w:rPr>
            </w:pPr>
          </w:p>
        </w:tc>
        <w:tc>
          <w:tcPr>
            <w:tcW w:w="1260" w:type="dxa"/>
            <w:tcBorders>
              <w:left w:val="nil"/>
              <w:bottom w:val="single" w:sz="4" w:space="0" w:color="auto"/>
              <w:right w:val="nil"/>
            </w:tcBorders>
            <w:shd w:val="clear" w:color="auto" w:fill="auto"/>
            <w:noWrap/>
            <w:vAlign w:val="center"/>
          </w:tcPr>
          <w:p w14:paraId="76F35543" w14:textId="535FB421" w:rsidR="0020228A" w:rsidRPr="00B377B3" w:rsidRDefault="00B377B3" w:rsidP="0020228A">
            <w:pPr>
              <w:jc w:val="right"/>
              <w:rPr>
                <w:sz w:val="22"/>
                <w:szCs w:val="22"/>
              </w:rPr>
            </w:pPr>
            <w:r w:rsidRPr="00B377B3">
              <w:rPr>
                <w:sz w:val="22"/>
                <w:szCs w:val="22"/>
              </w:rPr>
              <w:t>434,454</w:t>
            </w:r>
          </w:p>
        </w:tc>
        <w:tc>
          <w:tcPr>
            <w:tcW w:w="236" w:type="dxa"/>
            <w:tcBorders>
              <w:left w:val="nil"/>
              <w:bottom w:val="single" w:sz="4" w:space="0" w:color="auto"/>
              <w:right w:val="nil"/>
            </w:tcBorders>
            <w:shd w:val="clear" w:color="auto" w:fill="auto"/>
            <w:noWrap/>
            <w:vAlign w:val="center"/>
          </w:tcPr>
          <w:p w14:paraId="701AF415" w14:textId="77777777" w:rsidR="0020228A" w:rsidRPr="00B377B3" w:rsidRDefault="0020228A" w:rsidP="0020228A">
            <w:pPr>
              <w:jc w:val="right"/>
              <w:rPr>
                <w:sz w:val="22"/>
                <w:szCs w:val="22"/>
              </w:rPr>
            </w:pPr>
          </w:p>
        </w:tc>
        <w:tc>
          <w:tcPr>
            <w:tcW w:w="1612" w:type="dxa"/>
            <w:gridSpan w:val="2"/>
            <w:tcBorders>
              <w:left w:val="nil"/>
              <w:bottom w:val="single" w:sz="4" w:space="0" w:color="auto"/>
              <w:right w:val="nil"/>
            </w:tcBorders>
            <w:shd w:val="clear" w:color="auto" w:fill="auto"/>
            <w:noWrap/>
            <w:vAlign w:val="center"/>
          </w:tcPr>
          <w:p w14:paraId="5512B680" w14:textId="18730567" w:rsidR="0020228A" w:rsidRPr="00B377B3" w:rsidRDefault="000B477F" w:rsidP="0020228A">
            <w:pPr>
              <w:jc w:val="right"/>
              <w:rPr>
                <w:sz w:val="22"/>
                <w:szCs w:val="22"/>
              </w:rPr>
            </w:pPr>
            <w:r w:rsidRPr="00B377B3">
              <w:rPr>
                <w:sz w:val="22"/>
                <w:szCs w:val="22"/>
              </w:rPr>
              <w:t>30</w:t>
            </w:r>
            <w:r w:rsidR="00E0069F" w:rsidRPr="00B377B3">
              <w:rPr>
                <w:sz w:val="22"/>
                <w:szCs w:val="22"/>
              </w:rPr>
              <w:t>,972</w:t>
            </w:r>
          </w:p>
        </w:tc>
        <w:tc>
          <w:tcPr>
            <w:tcW w:w="284" w:type="dxa"/>
            <w:tcBorders>
              <w:left w:val="nil"/>
              <w:bottom w:val="single" w:sz="4" w:space="0" w:color="auto"/>
              <w:right w:val="nil"/>
            </w:tcBorders>
            <w:shd w:val="clear" w:color="auto" w:fill="auto"/>
            <w:noWrap/>
            <w:vAlign w:val="center"/>
          </w:tcPr>
          <w:p w14:paraId="49F0237E" w14:textId="368C82DE" w:rsidR="0020228A" w:rsidRPr="00B377B3" w:rsidRDefault="0020228A" w:rsidP="0020228A">
            <w:pPr>
              <w:jc w:val="right"/>
              <w:rPr>
                <w:sz w:val="22"/>
                <w:szCs w:val="22"/>
              </w:rPr>
            </w:pPr>
          </w:p>
        </w:tc>
        <w:tc>
          <w:tcPr>
            <w:tcW w:w="1272" w:type="dxa"/>
            <w:tcBorders>
              <w:left w:val="nil"/>
              <w:bottom w:val="single" w:sz="4" w:space="0" w:color="auto"/>
              <w:right w:val="nil"/>
            </w:tcBorders>
            <w:shd w:val="clear" w:color="auto" w:fill="auto"/>
            <w:noWrap/>
            <w:vAlign w:val="center"/>
          </w:tcPr>
          <w:p w14:paraId="1C8E6E32" w14:textId="1C4FC91E" w:rsidR="0020228A" w:rsidRPr="00B377B3" w:rsidRDefault="00B377B3" w:rsidP="0020228A">
            <w:pPr>
              <w:jc w:val="right"/>
              <w:rPr>
                <w:sz w:val="22"/>
                <w:szCs w:val="22"/>
              </w:rPr>
            </w:pPr>
            <w:r w:rsidRPr="00B377B3">
              <w:rPr>
                <w:sz w:val="22"/>
                <w:szCs w:val="22"/>
              </w:rPr>
              <w:t>465,426</w:t>
            </w:r>
          </w:p>
        </w:tc>
      </w:tr>
      <w:tr w:rsidR="0020228A" w:rsidRPr="004D388B" w14:paraId="3410BC44" w14:textId="77777777" w:rsidTr="00501951">
        <w:trPr>
          <w:gridAfter w:val="1"/>
          <w:wAfter w:w="1199" w:type="dxa"/>
          <w:trHeight w:val="300"/>
        </w:trPr>
        <w:tc>
          <w:tcPr>
            <w:tcW w:w="1280" w:type="dxa"/>
            <w:tcBorders>
              <w:top w:val="nil"/>
              <w:left w:val="nil"/>
              <w:bottom w:val="nil"/>
              <w:right w:val="nil"/>
            </w:tcBorders>
            <w:shd w:val="clear" w:color="auto" w:fill="auto"/>
            <w:noWrap/>
            <w:vAlign w:val="bottom"/>
            <w:hideMark/>
          </w:tcPr>
          <w:p w14:paraId="16330B99" w14:textId="77777777" w:rsidR="0020228A" w:rsidRPr="0096522C" w:rsidRDefault="0020228A" w:rsidP="0020228A">
            <w:pPr>
              <w:rPr>
                <w:sz w:val="22"/>
                <w:szCs w:val="22"/>
              </w:rPr>
            </w:pPr>
          </w:p>
        </w:tc>
        <w:tc>
          <w:tcPr>
            <w:tcW w:w="1712" w:type="dxa"/>
            <w:gridSpan w:val="2"/>
            <w:tcBorders>
              <w:top w:val="nil"/>
              <w:left w:val="nil"/>
              <w:bottom w:val="nil"/>
              <w:right w:val="nil"/>
            </w:tcBorders>
            <w:shd w:val="clear" w:color="auto" w:fill="auto"/>
            <w:noWrap/>
            <w:vAlign w:val="bottom"/>
            <w:hideMark/>
          </w:tcPr>
          <w:p w14:paraId="3F50A4B4" w14:textId="77777777" w:rsidR="0020228A" w:rsidRPr="0096522C" w:rsidRDefault="0020228A" w:rsidP="0020228A">
            <w:pPr>
              <w:rPr>
                <w:sz w:val="22"/>
                <w:szCs w:val="22"/>
              </w:rPr>
            </w:pPr>
          </w:p>
        </w:tc>
        <w:tc>
          <w:tcPr>
            <w:tcW w:w="1262" w:type="dxa"/>
            <w:tcBorders>
              <w:left w:val="nil"/>
              <w:right w:val="nil"/>
            </w:tcBorders>
            <w:shd w:val="clear" w:color="auto" w:fill="auto"/>
            <w:noWrap/>
            <w:vAlign w:val="center"/>
            <w:hideMark/>
          </w:tcPr>
          <w:p w14:paraId="13CB691B" w14:textId="77777777" w:rsidR="0020228A" w:rsidRPr="0096522C" w:rsidRDefault="0020228A" w:rsidP="0020228A">
            <w:pPr>
              <w:jc w:val="right"/>
              <w:rPr>
                <w:sz w:val="22"/>
                <w:szCs w:val="22"/>
              </w:rPr>
            </w:pPr>
          </w:p>
        </w:tc>
        <w:tc>
          <w:tcPr>
            <w:tcW w:w="236" w:type="dxa"/>
            <w:tcBorders>
              <w:top w:val="nil"/>
              <w:left w:val="nil"/>
              <w:bottom w:val="nil"/>
              <w:right w:val="nil"/>
            </w:tcBorders>
            <w:shd w:val="clear" w:color="auto" w:fill="auto"/>
            <w:noWrap/>
            <w:vAlign w:val="center"/>
            <w:hideMark/>
          </w:tcPr>
          <w:p w14:paraId="7D8BF0DE" w14:textId="77777777" w:rsidR="0020228A" w:rsidRPr="0096522C" w:rsidRDefault="0020228A" w:rsidP="0020228A">
            <w:pPr>
              <w:jc w:val="right"/>
              <w:rPr>
                <w:sz w:val="22"/>
                <w:szCs w:val="22"/>
              </w:rPr>
            </w:pPr>
          </w:p>
        </w:tc>
        <w:tc>
          <w:tcPr>
            <w:tcW w:w="1260" w:type="dxa"/>
            <w:tcBorders>
              <w:top w:val="single" w:sz="4" w:space="0" w:color="auto"/>
              <w:left w:val="nil"/>
              <w:right w:val="nil"/>
            </w:tcBorders>
            <w:shd w:val="clear" w:color="auto" w:fill="auto"/>
            <w:noWrap/>
            <w:vAlign w:val="center"/>
            <w:hideMark/>
          </w:tcPr>
          <w:p w14:paraId="7CA48076" w14:textId="77777777" w:rsidR="0020228A" w:rsidRPr="006053A2" w:rsidRDefault="0020228A" w:rsidP="0020228A">
            <w:pPr>
              <w:jc w:val="right"/>
              <w:rPr>
                <w:sz w:val="22"/>
                <w:szCs w:val="22"/>
              </w:rPr>
            </w:pPr>
          </w:p>
        </w:tc>
        <w:tc>
          <w:tcPr>
            <w:tcW w:w="236" w:type="dxa"/>
            <w:tcBorders>
              <w:top w:val="single" w:sz="4" w:space="0" w:color="auto"/>
              <w:left w:val="nil"/>
              <w:right w:val="nil"/>
            </w:tcBorders>
            <w:shd w:val="clear" w:color="auto" w:fill="auto"/>
            <w:noWrap/>
            <w:vAlign w:val="center"/>
            <w:hideMark/>
          </w:tcPr>
          <w:p w14:paraId="4DE12CF9" w14:textId="77777777" w:rsidR="0020228A" w:rsidRPr="006053A2" w:rsidRDefault="0020228A" w:rsidP="0020228A">
            <w:pPr>
              <w:jc w:val="right"/>
              <w:rPr>
                <w:sz w:val="22"/>
                <w:szCs w:val="22"/>
              </w:rPr>
            </w:pPr>
          </w:p>
        </w:tc>
        <w:tc>
          <w:tcPr>
            <w:tcW w:w="1612" w:type="dxa"/>
            <w:gridSpan w:val="2"/>
            <w:tcBorders>
              <w:top w:val="single" w:sz="4" w:space="0" w:color="auto"/>
              <w:left w:val="nil"/>
              <w:right w:val="nil"/>
            </w:tcBorders>
            <w:shd w:val="clear" w:color="auto" w:fill="auto"/>
            <w:noWrap/>
            <w:vAlign w:val="center"/>
            <w:hideMark/>
          </w:tcPr>
          <w:p w14:paraId="52871AE8" w14:textId="77777777" w:rsidR="0020228A" w:rsidRPr="006053A2" w:rsidRDefault="0020228A" w:rsidP="0020228A">
            <w:pPr>
              <w:jc w:val="right"/>
              <w:rPr>
                <w:sz w:val="22"/>
                <w:szCs w:val="22"/>
              </w:rPr>
            </w:pPr>
          </w:p>
        </w:tc>
        <w:tc>
          <w:tcPr>
            <w:tcW w:w="284" w:type="dxa"/>
            <w:tcBorders>
              <w:top w:val="single" w:sz="4" w:space="0" w:color="auto"/>
              <w:left w:val="nil"/>
              <w:right w:val="nil"/>
            </w:tcBorders>
            <w:shd w:val="clear" w:color="auto" w:fill="auto"/>
            <w:noWrap/>
            <w:vAlign w:val="center"/>
            <w:hideMark/>
          </w:tcPr>
          <w:p w14:paraId="242016F1" w14:textId="77777777" w:rsidR="0020228A" w:rsidRPr="006053A2" w:rsidRDefault="0020228A" w:rsidP="0020228A">
            <w:pPr>
              <w:jc w:val="right"/>
              <w:rPr>
                <w:sz w:val="22"/>
                <w:szCs w:val="22"/>
              </w:rPr>
            </w:pPr>
          </w:p>
        </w:tc>
        <w:tc>
          <w:tcPr>
            <w:tcW w:w="1272" w:type="dxa"/>
            <w:tcBorders>
              <w:top w:val="single" w:sz="4" w:space="0" w:color="auto"/>
              <w:left w:val="nil"/>
              <w:right w:val="nil"/>
            </w:tcBorders>
            <w:shd w:val="clear" w:color="auto" w:fill="auto"/>
            <w:noWrap/>
            <w:vAlign w:val="center"/>
            <w:hideMark/>
          </w:tcPr>
          <w:p w14:paraId="7E1CDB29" w14:textId="77777777" w:rsidR="0020228A" w:rsidRPr="006053A2" w:rsidRDefault="0020228A" w:rsidP="0020228A">
            <w:pPr>
              <w:jc w:val="right"/>
              <w:rPr>
                <w:sz w:val="22"/>
                <w:szCs w:val="22"/>
              </w:rPr>
            </w:pPr>
          </w:p>
        </w:tc>
      </w:tr>
      <w:tr w:rsidR="0067380E" w:rsidRPr="0096522C" w14:paraId="765D00C1" w14:textId="77777777" w:rsidTr="00501951">
        <w:trPr>
          <w:gridAfter w:val="1"/>
          <w:wAfter w:w="1199" w:type="dxa"/>
          <w:trHeight w:val="300"/>
        </w:trPr>
        <w:tc>
          <w:tcPr>
            <w:tcW w:w="2992" w:type="dxa"/>
            <w:gridSpan w:val="3"/>
            <w:tcBorders>
              <w:top w:val="nil"/>
              <w:left w:val="nil"/>
              <w:bottom w:val="nil"/>
              <w:right w:val="nil"/>
            </w:tcBorders>
            <w:shd w:val="clear" w:color="auto" w:fill="auto"/>
            <w:noWrap/>
            <w:vAlign w:val="bottom"/>
            <w:hideMark/>
          </w:tcPr>
          <w:p w14:paraId="011346A9" w14:textId="6B39F71A" w:rsidR="0067380E" w:rsidRPr="0096522C" w:rsidRDefault="0067380E" w:rsidP="0067380E">
            <w:pPr>
              <w:rPr>
                <w:sz w:val="22"/>
                <w:szCs w:val="22"/>
              </w:rPr>
            </w:pPr>
            <w:r>
              <w:rPr>
                <w:sz w:val="22"/>
                <w:szCs w:val="22"/>
              </w:rPr>
              <w:t>At 31 March 202</w:t>
            </w:r>
            <w:r w:rsidR="005E09E3">
              <w:rPr>
                <w:sz w:val="22"/>
                <w:szCs w:val="22"/>
              </w:rPr>
              <w:t>3</w:t>
            </w:r>
          </w:p>
        </w:tc>
        <w:tc>
          <w:tcPr>
            <w:tcW w:w="1262" w:type="dxa"/>
            <w:tcBorders>
              <w:left w:val="nil"/>
              <w:right w:val="nil"/>
            </w:tcBorders>
            <w:shd w:val="clear" w:color="auto" w:fill="auto"/>
            <w:noWrap/>
            <w:vAlign w:val="center"/>
          </w:tcPr>
          <w:p w14:paraId="5B8A7F95" w14:textId="77777777" w:rsidR="0067380E" w:rsidRPr="003A51AD" w:rsidRDefault="0067380E" w:rsidP="0067380E">
            <w:pPr>
              <w:jc w:val="center"/>
              <w:rPr>
                <w:sz w:val="22"/>
                <w:szCs w:val="22"/>
              </w:rPr>
            </w:pPr>
          </w:p>
        </w:tc>
        <w:tc>
          <w:tcPr>
            <w:tcW w:w="236" w:type="dxa"/>
            <w:tcBorders>
              <w:top w:val="nil"/>
              <w:left w:val="nil"/>
              <w:bottom w:val="nil"/>
              <w:right w:val="nil"/>
            </w:tcBorders>
            <w:shd w:val="clear" w:color="auto" w:fill="auto"/>
            <w:noWrap/>
            <w:vAlign w:val="center"/>
          </w:tcPr>
          <w:p w14:paraId="6B4D6E30" w14:textId="77777777" w:rsidR="0067380E" w:rsidRPr="003A51AD" w:rsidRDefault="0067380E" w:rsidP="0067380E">
            <w:pPr>
              <w:jc w:val="right"/>
              <w:rPr>
                <w:sz w:val="22"/>
                <w:szCs w:val="22"/>
              </w:rPr>
            </w:pPr>
          </w:p>
        </w:tc>
        <w:tc>
          <w:tcPr>
            <w:tcW w:w="1260" w:type="dxa"/>
            <w:tcBorders>
              <w:left w:val="nil"/>
              <w:bottom w:val="single" w:sz="4" w:space="0" w:color="auto"/>
              <w:right w:val="nil"/>
            </w:tcBorders>
            <w:shd w:val="clear" w:color="auto" w:fill="auto"/>
            <w:noWrap/>
            <w:vAlign w:val="center"/>
          </w:tcPr>
          <w:p w14:paraId="148924CC" w14:textId="764B396F" w:rsidR="0067380E" w:rsidRPr="006053A2" w:rsidRDefault="0067380E" w:rsidP="0067380E">
            <w:pPr>
              <w:jc w:val="right"/>
              <w:rPr>
                <w:sz w:val="22"/>
                <w:szCs w:val="22"/>
              </w:rPr>
            </w:pPr>
            <w:r>
              <w:rPr>
                <w:sz w:val="22"/>
                <w:szCs w:val="22"/>
              </w:rPr>
              <w:t>406,868</w:t>
            </w:r>
          </w:p>
        </w:tc>
        <w:tc>
          <w:tcPr>
            <w:tcW w:w="236" w:type="dxa"/>
            <w:tcBorders>
              <w:left w:val="nil"/>
              <w:bottom w:val="single" w:sz="4" w:space="0" w:color="auto"/>
              <w:right w:val="nil"/>
            </w:tcBorders>
            <w:shd w:val="clear" w:color="auto" w:fill="auto"/>
            <w:noWrap/>
            <w:vAlign w:val="center"/>
          </w:tcPr>
          <w:p w14:paraId="6C55553D" w14:textId="77777777" w:rsidR="0067380E" w:rsidRPr="006053A2" w:rsidRDefault="0067380E" w:rsidP="0067380E">
            <w:pPr>
              <w:jc w:val="right"/>
              <w:rPr>
                <w:sz w:val="22"/>
                <w:szCs w:val="22"/>
              </w:rPr>
            </w:pPr>
          </w:p>
        </w:tc>
        <w:tc>
          <w:tcPr>
            <w:tcW w:w="1612" w:type="dxa"/>
            <w:gridSpan w:val="2"/>
            <w:tcBorders>
              <w:left w:val="nil"/>
              <w:bottom w:val="single" w:sz="4" w:space="0" w:color="auto"/>
              <w:right w:val="nil"/>
            </w:tcBorders>
            <w:shd w:val="clear" w:color="auto" w:fill="auto"/>
            <w:noWrap/>
            <w:vAlign w:val="center"/>
          </w:tcPr>
          <w:p w14:paraId="20B3E8AB" w14:textId="491BEA23" w:rsidR="0067380E" w:rsidRPr="006053A2" w:rsidRDefault="0067380E" w:rsidP="0067380E">
            <w:pPr>
              <w:jc w:val="right"/>
              <w:rPr>
                <w:sz w:val="22"/>
                <w:szCs w:val="22"/>
              </w:rPr>
            </w:pPr>
            <w:r>
              <w:rPr>
                <w:sz w:val="22"/>
                <w:szCs w:val="22"/>
              </w:rPr>
              <w:t>16,688</w:t>
            </w:r>
          </w:p>
        </w:tc>
        <w:tc>
          <w:tcPr>
            <w:tcW w:w="284" w:type="dxa"/>
            <w:tcBorders>
              <w:left w:val="nil"/>
              <w:bottom w:val="single" w:sz="4" w:space="0" w:color="auto"/>
              <w:right w:val="nil"/>
            </w:tcBorders>
            <w:shd w:val="clear" w:color="auto" w:fill="auto"/>
            <w:noWrap/>
            <w:vAlign w:val="center"/>
          </w:tcPr>
          <w:p w14:paraId="30F1A3FD" w14:textId="77777777" w:rsidR="0067380E" w:rsidRPr="006053A2" w:rsidRDefault="0067380E" w:rsidP="0067380E">
            <w:pPr>
              <w:jc w:val="right"/>
              <w:rPr>
                <w:sz w:val="22"/>
                <w:szCs w:val="22"/>
              </w:rPr>
            </w:pPr>
          </w:p>
        </w:tc>
        <w:tc>
          <w:tcPr>
            <w:tcW w:w="1272" w:type="dxa"/>
            <w:tcBorders>
              <w:left w:val="nil"/>
              <w:bottom w:val="single" w:sz="4" w:space="0" w:color="auto"/>
              <w:right w:val="nil"/>
            </w:tcBorders>
            <w:shd w:val="clear" w:color="auto" w:fill="auto"/>
            <w:noWrap/>
            <w:vAlign w:val="center"/>
          </w:tcPr>
          <w:p w14:paraId="412CFFC5" w14:textId="37E63749" w:rsidR="0067380E" w:rsidRPr="006053A2" w:rsidRDefault="0067380E" w:rsidP="0067380E">
            <w:pPr>
              <w:jc w:val="right"/>
              <w:rPr>
                <w:sz w:val="22"/>
                <w:szCs w:val="22"/>
              </w:rPr>
            </w:pPr>
            <w:r>
              <w:rPr>
                <w:sz w:val="22"/>
                <w:szCs w:val="22"/>
              </w:rPr>
              <w:t>423,556</w:t>
            </w:r>
          </w:p>
        </w:tc>
      </w:tr>
    </w:tbl>
    <w:p w14:paraId="68F2E44C" w14:textId="77777777" w:rsidR="00AA3450" w:rsidRPr="0096522C" w:rsidRDefault="00AA3450" w:rsidP="00AA3450">
      <w:pPr>
        <w:pStyle w:val="BodyText"/>
        <w:jc w:val="both"/>
        <w:rPr>
          <w:b/>
          <w:bCs/>
        </w:rPr>
      </w:pPr>
    </w:p>
    <w:p w14:paraId="492D1EEF" w14:textId="77777777" w:rsidR="00AA3450" w:rsidRPr="0096522C" w:rsidRDefault="00AA3450" w:rsidP="00AA3450">
      <w:pPr>
        <w:pStyle w:val="BodyText"/>
        <w:jc w:val="both"/>
        <w:rPr>
          <w:b/>
          <w:bCs/>
        </w:rPr>
      </w:pPr>
    </w:p>
    <w:tbl>
      <w:tblPr>
        <w:tblW w:w="9263" w:type="dxa"/>
        <w:tblInd w:w="93" w:type="dxa"/>
        <w:tblLayout w:type="fixed"/>
        <w:tblLook w:val="04A0" w:firstRow="1" w:lastRow="0" w:firstColumn="1" w:lastColumn="0" w:noHBand="0" w:noVBand="1"/>
      </w:tblPr>
      <w:tblGrid>
        <w:gridCol w:w="1280"/>
        <w:gridCol w:w="1780"/>
        <w:gridCol w:w="1194"/>
        <w:gridCol w:w="236"/>
        <w:gridCol w:w="1260"/>
        <w:gridCol w:w="236"/>
        <w:gridCol w:w="1576"/>
        <w:gridCol w:w="283"/>
        <w:gridCol w:w="1418"/>
      </w:tblGrid>
      <w:tr w:rsidR="00AA3450" w:rsidRPr="0096522C" w14:paraId="5338E767" w14:textId="77777777" w:rsidTr="00501951">
        <w:trPr>
          <w:trHeight w:val="300"/>
        </w:trPr>
        <w:tc>
          <w:tcPr>
            <w:tcW w:w="3060" w:type="dxa"/>
            <w:gridSpan w:val="2"/>
            <w:tcBorders>
              <w:top w:val="nil"/>
              <w:left w:val="nil"/>
              <w:bottom w:val="nil"/>
              <w:right w:val="nil"/>
            </w:tcBorders>
            <w:shd w:val="clear" w:color="auto" w:fill="auto"/>
            <w:noWrap/>
            <w:vAlign w:val="bottom"/>
            <w:hideMark/>
          </w:tcPr>
          <w:p w14:paraId="6308A32B" w14:textId="77777777" w:rsidR="00AA3450" w:rsidRPr="0096522C" w:rsidRDefault="00AA3450" w:rsidP="002028E5">
            <w:pPr>
              <w:rPr>
                <w:b/>
                <w:bCs/>
                <w:sz w:val="22"/>
                <w:szCs w:val="22"/>
              </w:rPr>
            </w:pPr>
            <w:r w:rsidRPr="0096522C">
              <w:rPr>
                <w:b/>
                <w:bCs/>
                <w:sz w:val="22"/>
                <w:szCs w:val="22"/>
              </w:rPr>
              <w:t>Net Book Value –</w:t>
            </w:r>
            <w:r>
              <w:rPr>
                <w:b/>
                <w:bCs/>
                <w:sz w:val="22"/>
                <w:szCs w:val="22"/>
              </w:rPr>
              <w:t xml:space="preserve"> C</w:t>
            </w:r>
            <w:r w:rsidRPr="0096522C">
              <w:rPr>
                <w:b/>
                <w:bCs/>
                <w:sz w:val="22"/>
                <w:szCs w:val="22"/>
              </w:rPr>
              <w:t>ost</w:t>
            </w:r>
          </w:p>
        </w:tc>
        <w:tc>
          <w:tcPr>
            <w:tcW w:w="1194" w:type="dxa"/>
            <w:tcBorders>
              <w:top w:val="nil"/>
              <w:left w:val="nil"/>
              <w:right w:val="nil"/>
            </w:tcBorders>
            <w:shd w:val="clear" w:color="auto" w:fill="auto"/>
            <w:noWrap/>
            <w:vAlign w:val="bottom"/>
            <w:hideMark/>
          </w:tcPr>
          <w:p w14:paraId="5D689B7C" w14:textId="77777777" w:rsidR="00AA3450" w:rsidRPr="0096522C" w:rsidRDefault="00AA3450" w:rsidP="002028E5">
            <w:pPr>
              <w:jc w:val="center"/>
              <w:rPr>
                <w:sz w:val="22"/>
                <w:szCs w:val="22"/>
              </w:rPr>
            </w:pPr>
          </w:p>
        </w:tc>
        <w:tc>
          <w:tcPr>
            <w:tcW w:w="236" w:type="dxa"/>
            <w:tcBorders>
              <w:top w:val="nil"/>
              <w:left w:val="nil"/>
              <w:bottom w:val="nil"/>
              <w:right w:val="nil"/>
            </w:tcBorders>
            <w:shd w:val="clear" w:color="auto" w:fill="auto"/>
            <w:noWrap/>
            <w:vAlign w:val="bottom"/>
            <w:hideMark/>
          </w:tcPr>
          <w:p w14:paraId="1121CF59" w14:textId="77777777" w:rsidR="00AA3450" w:rsidRPr="0096522C" w:rsidRDefault="00AA3450" w:rsidP="002028E5">
            <w:pPr>
              <w:jc w:val="right"/>
              <w:rPr>
                <w:sz w:val="22"/>
                <w:szCs w:val="22"/>
              </w:rPr>
            </w:pPr>
          </w:p>
        </w:tc>
        <w:tc>
          <w:tcPr>
            <w:tcW w:w="1260" w:type="dxa"/>
            <w:tcBorders>
              <w:top w:val="nil"/>
              <w:left w:val="nil"/>
              <w:right w:val="nil"/>
            </w:tcBorders>
            <w:shd w:val="clear" w:color="auto" w:fill="auto"/>
            <w:noWrap/>
            <w:vAlign w:val="bottom"/>
            <w:hideMark/>
          </w:tcPr>
          <w:p w14:paraId="591C4101" w14:textId="77777777" w:rsidR="00AA3450" w:rsidRPr="0096522C" w:rsidRDefault="00AA3450" w:rsidP="002028E5">
            <w:pPr>
              <w:jc w:val="right"/>
              <w:rPr>
                <w:sz w:val="22"/>
                <w:szCs w:val="22"/>
              </w:rPr>
            </w:pPr>
          </w:p>
        </w:tc>
        <w:tc>
          <w:tcPr>
            <w:tcW w:w="236" w:type="dxa"/>
            <w:tcBorders>
              <w:top w:val="nil"/>
              <w:left w:val="nil"/>
              <w:right w:val="nil"/>
            </w:tcBorders>
            <w:shd w:val="clear" w:color="auto" w:fill="auto"/>
            <w:noWrap/>
            <w:vAlign w:val="bottom"/>
            <w:hideMark/>
          </w:tcPr>
          <w:p w14:paraId="2BF69BA1" w14:textId="77777777" w:rsidR="00AA3450" w:rsidRPr="0096522C" w:rsidRDefault="00AA3450" w:rsidP="002028E5">
            <w:pPr>
              <w:rPr>
                <w:sz w:val="22"/>
                <w:szCs w:val="22"/>
              </w:rPr>
            </w:pPr>
          </w:p>
        </w:tc>
        <w:tc>
          <w:tcPr>
            <w:tcW w:w="1576" w:type="dxa"/>
            <w:tcBorders>
              <w:top w:val="nil"/>
              <w:left w:val="nil"/>
              <w:right w:val="nil"/>
            </w:tcBorders>
            <w:shd w:val="clear" w:color="auto" w:fill="auto"/>
            <w:noWrap/>
            <w:vAlign w:val="bottom"/>
            <w:hideMark/>
          </w:tcPr>
          <w:p w14:paraId="2EBD4848" w14:textId="77777777" w:rsidR="00AA3450" w:rsidRPr="0096522C" w:rsidRDefault="00AA3450" w:rsidP="002028E5">
            <w:pPr>
              <w:jc w:val="right"/>
              <w:rPr>
                <w:sz w:val="22"/>
                <w:szCs w:val="22"/>
              </w:rPr>
            </w:pPr>
          </w:p>
        </w:tc>
        <w:tc>
          <w:tcPr>
            <w:tcW w:w="283" w:type="dxa"/>
            <w:tcBorders>
              <w:top w:val="nil"/>
              <w:left w:val="nil"/>
              <w:right w:val="nil"/>
            </w:tcBorders>
            <w:shd w:val="clear" w:color="auto" w:fill="auto"/>
            <w:noWrap/>
            <w:vAlign w:val="bottom"/>
            <w:hideMark/>
          </w:tcPr>
          <w:p w14:paraId="2E8AAF00" w14:textId="77777777" w:rsidR="00AA3450" w:rsidRPr="0096522C" w:rsidRDefault="00AA3450" w:rsidP="002028E5">
            <w:pPr>
              <w:rPr>
                <w:sz w:val="22"/>
                <w:szCs w:val="22"/>
              </w:rPr>
            </w:pPr>
          </w:p>
        </w:tc>
        <w:tc>
          <w:tcPr>
            <w:tcW w:w="1418" w:type="dxa"/>
            <w:tcBorders>
              <w:top w:val="nil"/>
              <w:left w:val="nil"/>
              <w:right w:val="nil"/>
            </w:tcBorders>
            <w:shd w:val="clear" w:color="auto" w:fill="auto"/>
            <w:noWrap/>
            <w:vAlign w:val="bottom"/>
            <w:hideMark/>
          </w:tcPr>
          <w:p w14:paraId="1968595C" w14:textId="77777777" w:rsidR="00AA3450" w:rsidRPr="0096522C" w:rsidRDefault="00AA3450" w:rsidP="002028E5">
            <w:pPr>
              <w:jc w:val="right"/>
              <w:rPr>
                <w:sz w:val="22"/>
                <w:szCs w:val="22"/>
              </w:rPr>
            </w:pPr>
          </w:p>
        </w:tc>
      </w:tr>
      <w:tr w:rsidR="00AA3450" w:rsidRPr="00B058EF" w14:paraId="68499E6C" w14:textId="77777777" w:rsidTr="00501951">
        <w:trPr>
          <w:trHeight w:val="300"/>
        </w:trPr>
        <w:tc>
          <w:tcPr>
            <w:tcW w:w="3060" w:type="dxa"/>
            <w:gridSpan w:val="2"/>
            <w:tcBorders>
              <w:top w:val="nil"/>
              <w:left w:val="nil"/>
              <w:bottom w:val="nil"/>
              <w:right w:val="nil"/>
            </w:tcBorders>
            <w:shd w:val="clear" w:color="auto" w:fill="auto"/>
            <w:noWrap/>
            <w:vAlign w:val="bottom"/>
            <w:hideMark/>
          </w:tcPr>
          <w:p w14:paraId="4912311C" w14:textId="4453EB8A" w:rsidR="00AA3450" w:rsidRPr="0069385A" w:rsidRDefault="00AA3450" w:rsidP="002028E5">
            <w:pPr>
              <w:rPr>
                <w:sz w:val="22"/>
                <w:szCs w:val="22"/>
              </w:rPr>
            </w:pPr>
            <w:r w:rsidRPr="0069385A">
              <w:rPr>
                <w:sz w:val="22"/>
                <w:szCs w:val="22"/>
              </w:rPr>
              <w:t>At 31 March 202</w:t>
            </w:r>
            <w:r w:rsidR="005E09E3">
              <w:rPr>
                <w:sz w:val="22"/>
                <w:szCs w:val="22"/>
              </w:rPr>
              <w:t>4</w:t>
            </w:r>
          </w:p>
        </w:tc>
        <w:tc>
          <w:tcPr>
            <w:tcW w:w="1194" w:type="dxa"/>
            <w:tcBorders>
              <w:left w:val="nil"/>
              <w:right w:val="nil"/>
            </w:tcBorders>
            <w:shd w:val="clear" w:color="auto" w:fill="auto"/>
            <w:noWrap/>
            <w:vAlign w:val="center"/>
          </w:tcPr>
          <w:p w14:paraId="59F2DF14" w14:textId="77777777" w:rsidR="00AA3450" w:rsidRPr="0069385A" w:rsidRDefault="00AA3450" w:rsidP="002028E5">
            <w:pPr>
              <w:jc w:val="right"/>
              <w:rPr>
                <w:sz w:val="22"/>
                <w:szCs w:val="22"/>
              </w:rPr>
            </w:pPr>
          </w:p>
        </w:tc>
        <w:tc>
          <w:tcPr>
            <w:tcW w:w="236" w:type="dxa"/>
            <w:tcBorders>
              <w:top w:val="nil"/>
              <w:left w:val="nil"/>
              <w:bottom w:val="nil"/>
              <w:right w:val="nil"/>
            </w:tcBorders>
            <w:shd w:val="clear" w:color="auto" w:fill="auto"/>
            <w:noWrap/>
            <w:vAlign w:val="center"/>
          </w:tcPr>
          <w:p w14:paraId="5564EF49" w14:textId="77777777" w:rsidR="00AA3450" w:rsidRPr="0069385A" w:rsidRDefault="00AA3450" w:rsidP="002028E5">
            <w:pPr>
              <w:jc w:val="right"/>
              <w:rPr>
                <w:sz w:val="22"/>
                <w:szCs w:val="22"/>
              </w:rPr>
            </w:pPr>
          </w:p>
        </w:tc>
        <w:tc>
          <w:tcPr>
            <w:tcW w:w="1260" w:type="dxa"/>
            <w:tcBorders>
              <w:left w:val="nil"/>
              <w:bottom w:val="single" w:sz="4" w:space="0" w:color="auto"/>
              <w:right w:val="nil"/>
            </w:tcBorders>
            <w:shd w:val="clear" w:color="auto" w:fill="auto"/>
            <w:noWrap/>
            <w:vAlign w:val="center"/>
          </w:tcPr>
          <w:p w14:paraId="1C3CA860" w14:textId="6EC3E505" w:rsidR="00AA3450" w:rsidRPr="0069385A" w:rsidRDefault="00E74035" w:rsidP="002028E5">
            <w:pPr>
              <w:jc w:val="right"/>
              <w:rPr>
                <w:sz w:val="22"/>
                <w:szCs w:val="22"/>
              </w:rPr>
            </w:pPr>
            <w:r>
              <w:rPr>
                <w:sz w:val="22"/>
                <w:szCs w:val="22"/>
              </w:rPr>
              <w:t>277,588</w:t>
            </w:r>
          </w:p>
        </w:tc>
        <w:tc>
          <w:tcPr>
            <w:tcW w:w="236" w:type="dxa"/>
            <w:tcBorders>
              <w:left w:val="nil"/>
              <w:bottom w:val="single" w:sz="4" w:space="0" w:color="auto"/>
              <w:right w:val="nil"/>
            </w:tcBorders>
            <w:shd w:val="clear" w:color="auto" w:fill="auto"/>
            <w:noWrap/>
            <w:vAlign w:val="center"/>
          </w:tcPr>
          <w:p w14:paraId="5E143115" w14:textId="77777777" w:rsidR="00AA3450" w:rsidRPr="0069385A" w:rsidRDefault="00AA3450" w:rsidP="002028E5">
            <w:pPr>
              <w:jc w:val="right"/>
              <w:rPr>
                <w:sz w:val="22"/>
                <w:szCs w:val="22"/>
              </w:rPr>
            </w:pPr>
          </w:p>
        </w:tc>
        <w:tc>
          <w:tcPr>
            <w:tcW w:w="1576" w:type="dxa"/>
            <w:tcBorders>
              <w:left w:val="nil"/>
              <w:bottom w:val="single" w:sz="4" w:space="0" w:color="auto"/>
              <w:right w:val="nil"/>
            </w:tcBorders>
            <w:shd w:val="clear" w:color="auto" w:fill="auto"/>
            <w:noWrap/>
            <w:vAlign w:val="center"/>
          </w:tcPr>
          <w:p w14:paraId="47ABD409" w14:textId="148DFFA3" w:rsidR="00AA3450" w:rsidRPr="0069385A" w:rsidRDefault="00057C13" w:rsidP="002028E5">
            <w:pPr>
              <w:jc w:val="right"/>
              <w:rPr>
                <w:sz w:val="22"/>
                <w:szCs w:val="22"/>
              </w:rPr>
            </w:pPr>
            <w:r>
              <w:rPr>
                <w:sz w:val="22"/>
                <w:szCs w:val="22"/>
              </w:rPr>
              <w:t>3</w:t>
            </w:r>
            <w:r w:rsidR="00AA7798">
              <w:rPr>
                <w:sz w:val="22"/>
                <w:szCs w:val="22"/>
              </w:rPr>
              <w:t>0,870</w:t>
            </w:r>
          </w:p>
        </w:tc>
        <w:tc>
          <w:tcPr>
            <w:tcW w:w="283" w:type="dxa"/>
            <w:tcBorders>
              <w:left w:val="nil"/>
              <w:bottom w:val="single" w:sz="4" w:space="0" w:color="auto"/>
              <w:right w:val="nil"/>
            </w:tcBorders>
            <w:shd w:val="clear" w:color="auto" w:fill="auto"/>
            <w:noWrap/>
            <w:vAlign w:val="center"/>
          </w:tcPr>
          <w:p w14:paraId="25F23C35" w14:textId="527557DD" w:rsidR="00AA3450" w:rsidRPr="0069385A" w:rsidRDefault="00AA3450" w:rsidP="002028E5">
            <w:pPr>
              <w:jc w:val="right"/>
              <w:rPr>
                <w:sz w:val="22"/>
                <w:szCs w:val="22"/>
              </w:rPr>
            </w:pPr>
          </w:p>
        </w:tc>
        <w:tc>
          <w:tcPr>
            <w:tcW w:w="1418" w:type="dxa"/>
            <w:tcBorders>
              <w:left w:val="nil"/>
              <w:bottom w:val="single" w:sz="4" w:space="0" w:color="auto"/>
              <w:right w:val="nil"/>
            </w:tcBorders>
            <w:shd w:val="clear" w:color="auto" w:fill="auto"/>
            <w:noWrap/>
            <w:vAlign w:val="center"/>
          </w:tcPr>
          <w:p w14:paraId="58FC760C" w14:textId="41C1841A" w:rsidR="00AA3450" w:rsidRPr="0069385A" w:rsidRDefault="00057C13" w:rsidP="002028E5">
            <w:pPr>
              <w:jc w:val="right"/>
              <w:rPr>
                <w:sz w:val="22"/>
                <w:szCs w:val="22"/>
              </w:rPr>
            </w:pPr>
            <w:r>
              <w:rPr>
                <w:sz w:val="22"/>
                <w:szCs w:val="22"/>
              </w:rPr>
              <w:t>308,458</w:t>
            </w:r>
          </w:p>
        </w:tc>
      </w:tr>
      <w:tr w:rsidR="00AA3450" w:rsidRPr="00E5608B" w14:paraId="41D260D5" w14:textId="77777777" w:rsidTr="00501951">
        <w:trPr>
          <w:trHeight w:val="300"/>
        </w:trPr>
        <w:tc>
          <w:tcPr>
            <w:tcW w:w="1280" w:type="dxa"/>
            <w:tcBorders>
              <w:top w:val="nil"/>
              <w:left w:val="nil"/>
              <w:bottom w:val="nil"/>
              <w:right w:val="nil"/>
            </w:tcBorders>
            <w:shd w:val="clear" w:color="auto" w:fill="auto"/>
            <w:noWrap/>
            <w:vAlign w:val="bottom"/>
            <w:hideMark/>
          </w:tcPr>
          <w:p w14:paraId="6B4F7CEF" w14:textId="77777777" w:rsidR="00AA3450" w:rsidRPr="00E5608B" w:rsidRDefault="00AA3450" w:rsidP="002028E5">
            <w:pPr>
              <w:rPr>
                <w:sz w:val="22"/>
                <w:szCs w:val="22"/>
              </w:rPr>
            </w:pPr>
          </w:p>
        </w:tc>
        <w:tc>
          <w:tcPr>
            <w:tcW w:w="1780" w:type="dxa"/>
            <w:tcBorders>
              <w:top w:val="nil"/>
              <w:left w:val="nil"/>
              <w:bottom w:val="nil"/>
              <w:right w:val="nil"/>
            </w:tcBorders>
            <w:shd w:val="clear" w:color="auto" w:fill="auto"/>
            <w:noWrap/>
            <w:vAlign w:val="bottom"/>
            <w:hideMark/>
          </w:tcPr>
          <w:p w14:paraId="6378C5A6" w14:textId="77777777" w:rsidR="00AA3450" w:rsidRPr="00E5608B" w:rsidRDefault="00AA3450" w:rsidP="002028E5">
            <w:pPr>
              <w:rPr>
                <w:sz w:val="22"/>
                <w:szCs w:val="22"/>
              </w:rPr>
            </w:pPr>
          </w:p>
        </w:tc>
        <w:tc>
          <w:tcPr>
            <w:tcW w:w="1194" w:type="dxa"/>
            <w:tcBorders>
              <w:left w:val="nil"/>
              <w:right w:val="nil"/>
            </w:tcBorders>
            <w:shd w:val="clear" w:color="auto" w:fill="auto"/>
            <w:noWrap/>
            <w:vAlign w:val="center"/>
          </w:tcPr>
          <w:p w14:paraId="2B434FA4" w14:textId="77777777" w:rsidR="00AA3450" w:rsidRPr="00E5608B" w:rsidRDefault="00AA3450" w:rsidP="002028E5">
            <w:pPr>
              <w:jc w:val="right"/>
              <w:rPr>
                <w:sz w:val="22"/>
                <w:szCs w:val="22"/>
              </w:rPr>
            </w:pPr>
          </w:p>
        </w:tc>
        <w:tc>
          <w:tcPr>
            <w:tcW w:w="236" w:type="dxa"/>
            <w:tcBorders>
              <w:top w:val="nil"/>
              <w:left w:val="nil"/>
              <w:bottom w:val="nil"/>
              <w:right w:val="nil"/>
            </w:tcBorders>
            <w:shd w:val="clear" w:color="auto" w:fill="auto"/>
            <w:noWrap/>
            <w:vAlign w:val="center"/>
          </w:tcPr>
          <w:p w14:paraId="5053145A" w14:textId="77777777" w:rsidR="00AA3450" w:rsidRPr="00E5608B" w:rsidRDefault="00AA3450" w:rsidP="002028E5">
            <w:pPr>
              <w:jc w:val="right"/>
              <w:rPr>
                <w:sz w:val="22"/>
                <w:szCs w:val="22"/>
              </w:rPr>
            </w:pPr>
          </w:p>
        </w:tc>
        <w:tc>
          <w:tcPr>
            <w:tcW w:w="1260" w:type="dxa"/>
            <w:tcBorders>
              <w:top w:val="single" w:sz="4" w:space="0" w:color="auto"/>
              <w:left w:val="nil"/>
              <w:right w:val="nil"/>
            </w:tcBorders>
            <w:shd w:val="clear" w:color="auto" w:fill="auto"/>
            <w:noWrap/>
            <w:vAlign w:val="center"/>
          </w:tcPr>
          <w:p w14:paraId="1E40AF5E" w14:textId="77777777" w:rsidR="00AA3450" w:rsidRPr="00E5608B" w:rsidRDefault="00AA3450" w:rsidP="002028E5">
            <w:pPr>
              <w:jc w:val="right"/>
              <w:rPr>
                <w:sz w:val="22"/>
                <w:szCs w:val="22"/>
              </w:rPr>
            </w:pPr>
          </w:p>
        </w:tc>
        <w:tc>
          <w:tcPr>
            <w:tcW w:w="236" w:type="dxa"/>
            <w:tcBorders>
              <w:top w:val="single" w:sz="4" w:space="0" w:color="auto"/>
              <w:left w:val="nil"/>
              <w:right w:val="nil"/>
            </w:tcBorders>
            <w:shd w:val="clear" w:color="auto" w:fill="auto"/>
            <w:noWrap/>
            <w:vAlign w:val="center"/>
          </w:tcPr>
          <w:p w14:paraId="3294677D" w14:textId="77777777" w:rsidR="00AA3450" w:rsidRPr="00E5608B" w:rsidRDefault="00AA3450" w:rsidP="002028E5">
            <w:pPr>
              <w:jc w:val="right"/>
              <w:rPr>
                <w:sz w:val="22"/>
                <w:szCs w:val="22"/>
              </w:rPr>
            </w:pPr>
          </w:p>
        </w:tc>
        <w:tc>
          <w:tcPr>
            <w:tcW w:w="1576" w:type="dxa"/>
            <w:tcBorders>
              <w:top w:val="single" w:sz="4" w:space="0" w:color="auto"/>
              <w:left w:val="nil"/>
              <w:right w:val="nil"/>
            </w:tcBorders>
            <w:shd w:val="clear" w:color="auto" w:fill="auto"/>
            <w:noWrap/>
            <w:vAlign w:val="center"/>
          </w:tcPr>
          <w:p w14:paraId="0253050C" w14:textId="77777777" w:rsidR="00AA3450" w:rsidRPr="00E5608B" w:rsidRDefault="00AA3450" w:rsidP="002028E5">
            <w:pPr>
              <w:jc w:val="right"/>
              <w:rPr>
                <w:sz w:val="22"/>
                <w:szCs w:val="22"/>
              </w:rPr>
            </w:pPr>
          </w:p>
        </w:tc>
        <w:tc>
          <w:tcPr>
            <w:tcW w:w="283" w:type="dxa"/>
            <w:tcBorders>
              <w:top w:val="single" w:sz="4" w:space="0" w:color="auto"/>
              <w:left w:val="nil"/>
              <w:right w:val="nil"/>
            </w:tcBorders>
            <w:shd w:val="clear" w:color="auto" w:fill="auto"/>
            <w:noWrap/>
            <w:vAlign w:val="center"/>
          </w:tcPr>
          <w:p w14:paraId="45F560A5" w14:textId="77777777" w:rsidR="00AA3450" w:rsidRPr="00E5608B" w:rsidRDefault="00AA3450" w:rsidP="002028E5">
            <w:pPr>
              <w:jc w:val="right"/>
              <w:rPr>
                <w:sz w:val="22"/>
                <w:szCs w:val="22"/>
              </w:rPr>
            </w:pPr>
          </w:p>
        </w:tc>
        <w:tc>
          <w:tcPr>
            <w:tcW w:w="1418" w:type="dxa"/>
            <w:tcBorders>
              <w:top w:val="single" w:sz="4" w:space="0" w:color="auto"/>
              <w:left w:val="nil"/>
              <w:right w:val="nil"/>
            </w:tcBorders>
            <w:shd w:val="clear" w:color="auto" w:fill="auto"/>
            <w:noWrap/>
            <w:vAlign w:val="center"/>
          </w:tcPr>
          <w:p w14:paraId="71897820" w14:textId="77777777" w:rsidR="00AA3450" w:rsidRPr="00E5608B" w:rsidRDefault="00AA3450" w:rsidP="002028E5">
            <w:pPr>
              <w:jc w:val="right"/>
              <w:rPr>
                <w:sz w:val="22"/>
                <w:szCs w:val="22"/>
              </w:rPr>
            </w:pPr>
          </w:p>
        </w:tc>
      </w:tr>
      <w:tr w:rsidR="005E09E3" w:rsidRPr="00E5608B" w14:paraId="183FE5FA" w14:textId="77777777" w:rsidTr="00501951">
        <w:trPr>
          <w:trHeight w:val="300"/>
        </w:trPr>
        <w:tc>
          <w:tcPr>
            <w:tcW w:w="3060" w:type="dxa"/>
            <w:gridSpan w:val="2"/>
            <w:tcBorders>
              <w:top w:val="nil"/>
              <w:left w:val="nil"/>
              <w:bottom w:val="nil"/>
              <w:right w:val="nil"/>
            </w:tcBorders>
            <w:shd w:val="clear" w:color="auto" w:fill="auto"/>
            <w:noWrap/>
            <w:vAlign w:val="bottom"/>
            <w:hideMark/>
          </w:tcPr>
          <w:p w14:paraId="3ED992F0" w14:textId="62679220" w:rsidR="005E09E3" w:rsidRPr="00E5608B" w:rsidRDefault="005E09E3" w:rsidP="005E09E3">
            <w:pPr>
              <w:rPr>
                <w:sz w:val="22"/>
                <w:szCs w:val="22"/>
              </w:rPr>
            </w:pPr>
            <w:r>
              <w:rPr>
                <w:sz w:val="22"/>
                <w:szCs w:val="22"/>
              </w:rPr>
              <w:t>At 31 March 2023</w:t>
            </w:r>
          </w:p>
        </w:tc>
        <w:tc>
          <w:tcPr>
            <w:tcW w:w="1194" w:type="dxa"/>
            <w:tcBorders>
              <w:left w:val="nil"/>
              <w:right w:val="nil"/>
            </w:tcBorders>
            <w:shd w:val="clear" w:color="auto" w:fill="auto"/>
            <w:noWrap/>
            <w:vAlign w:val="center"/>
          </w:tcPr>
          <w:p w14:paraId="3BE6C692" w14:textId="77777777" w:rsidR="005E09E3" w:rsidRPr="00E5608B" w:rsidRDefault="005E09E3" w:rsidP="005E09E3">
            <w:pPr>
              <w:jc w:val="right"/>
              <w:rPr>
                <w:sz w:val="22"/>
                <w:szCs w:val="22"/>
              </w:rPr>
            </w:pPr>
          </w:p>
        </w:tc>
        <w:tc>
          <w:tcPr>
            <w:tcW w:w="236" w:type="dxa"/>
            <w:tcBorders>
              <w:top w:val="nil"/>
              <w:left w:val="nil"/>
              <w:bottom w:val="nil"/>
              <w:right w:val="nil"/>
            </w:tcBorders>
            <w:shd w:val="clear" w:color="auto" w:fill="auto"/>
            <w:noWrap/>
            <w:vAlign w:val="center"/>
          </w:tcPr>
          <w:p w14:paraId="1F5CB086" w14:textId="77777777" w:rsidR="005E09E3" w:rsidRPr="00E5608B" w:rsidRDefault="005E09E3" w:rsidP="005E09E3">
            <w:pPr>
              <w:jc w:val="right"/>
              <w:rPr>
                <w:sz w:val="22"/>
                <w:szCs w:val="22"/>
              </w:rPr>
            </w:pPr>
          </w:p>
        </w:tc>
        <w:tc>
          <w:tcPr>
            <w:tcW w:w="1260" w:type="dxa"/>
            <w:tcBorders>
              <w:left w:val="nil"/>
              <w:bottom w:val="single" w:sz="4" w:space="0" w:color="auto"/>
              <w:right w:val="nil"/>
            </w:tcBorders>
            <w:shd w:val="clear" w:color="auto" w:fill="auto"/>
            <w:noWrap/>
            <w:vAlign w:val="center"/>
          </w:tcPr>
          <w:p w14:paraId="41ECC438" w14:textId="4F327787" w:rsidR="005E09E3" w:rsidRPr="00E5608B" w:rsidRDefault="005E09E3" w:rsidP="005E09E3">
            <w:pPr>
              <w:jc w:val="right"/>
              <w:rPr>
                <w:sz w:val="22"/>
                <w:szCs w:val="22"/>
              </w:rPr>
            </w:pPr>
            <w:r w:rsidRPr="0069385A">
              <w:rPr>
                <w:sz w:val="22"/>
                <w:szCs w:val="22"/>
              </w:rPr>
              <w:t>262,</w:t>
            </w:r>
            <w:r>
              <w:rPr>
                <w:sz w:val="22"/>
                <w:szCs w:val="22"/>
              </w:rPr>
              <w:t>639</w:t>
            </w:r>
          </w:p>
        </w:tc>
        <w:tc>
          <w:tcPr>
            <w:tcW w:w="236" w:type="dxa"/>
            <w:tcBorders>
              <w:left w:val="nil"/>
              <w:bottom w:val="single" w:sz="4" w:space="0" w:color="auto"/>
              <w:right w:val="nil"/>
            </w:tcBorders>
            <w:shd w:val="clear" w:color="auto" w:fill="auto"/>
            <w:noWrap/>
            <w:vAlign w:val="center"/>
          </w:tcPr>
          <w:p w14:paraId="33307362" w14:textId="77777777" w:rsidR="005E09E3" w:rsidRPr="00E5608B" w:rsidRDefault="005E09E3" w:rsidP="005E09E3">
            <w:pPr>
              <w:jc w:val="right"/>
              <w:rPr>
                <w:sz w:val="22"/>
                <w:szCs w:val="22"/>
              </w:rPr>
            </w:pPr>
          </w:p>
        </w:tc>
        <w:tc>
          <w:tcPr>
            <w:tcW w:w="1576" w:type="dxa"/>
            <w:tcBorders>
              <w:left w:val="nil"/>
              <w:bottom w:val="single" w:sz="4" w:space="0" w:color="auto"/>
              <w:right w:val="nil"/>
            </w:tcBorders>
            <w:shd w:val="clear" w:color="auto" w:fill="auto"/>
            <w:noWrap/>
            <w:vAlign w:val="center"/>
          </w:tcPr>
          <w:p w14:paraId="64C744AD" w14:textId="1A0CB29C" w:rsidR="005E09E3" w:rsidRPr="00E5608B" w:rsidRDefault="005E09E3" w:rsidP="005E09E3">
            <w:pPr>
              <w:jc w:val="right"/>
              <w:rPr>
                <w:sz w:val="22"/>
                <w:szCs w:val="22"/>
              </w:rPr>
            </w:pPr>
            <w:r w:rsidRPr="0069385A">
              <w:rPr>
                <w:sz w:val="22"/>
                <w:szCs w:val="22"/>
              </w:rPr>
              <w:t>16,586</w:t>
            </w:r>
          </w:p>
        </w:tc>
        <w:tc>
          <w:tcPr>
            <w:tcW w:w="283" w:type="dxa"/>
            <w:tcBorders>
              <w:left w:val="nil"/>
              <w:bottom w:val="single" w:sz="4" w:space="0" w:color="auto"/>
              <w:right w:val="nil"/>
            </w:tcBorders>
            <w:shd w:val="clear" w:color="auto" w:fill="auto"/>
            <w:noWrap/>
            <w:vAlign w:val="center"/>
          </w:tcPr>
          <w:p w14:paraId="4BA28507" w14:textId="680B47B9" w:rsidR="005E09E3" w:rsidRPr="00E5608B" w:rsidRDefault="005E09E3" w:rsidP="005E09E3">
            <w:pPr>
              <w:jc w:val="right"/>
              <w:rPr>
                <w:sz w:val="22"/>
                <w:szCs w:val="22"/>
              </w:rPr>
            </w:pPr>
          </w:p>
        </w:tc>
        <w:tc>
          <w:tcPr>
            <w:tcW w:w="1418" w:type="dxa"/>
            <w:tcBorders>
              <w:left w:val="nil"/>
              <w:bottom w:val="single" w:sz="4" w:space="0" w:color="auto"/>
              <w:right w:val="nil"/>
            </w:tcBorders>
            <w:shd w:val="clear" w:color="auto" w:fill="auto"/>
            <w:noWrap/>
            <w:vAlign w:val="center"/>
          </w:tcPr>
          <w:p w14:paraId="34D631C3" w14:textId="76C0845B" w:rsidR="005E09E3" w:rsidRPr="00E5608B" w:rsidRDefault="005E09E3" w:rsidP="005E09E3">
            <w:pPr>
              <w:jc w:val="right"/>
              <w:rPr>
                <w:sz w:val="22"/>
                <w:szCs w:val="22"/>
              </w:rPr>
            </w:pPr>
            <w:r w:rsidRPr="0069385A">
              <w:rPr>
                <w:sz w:val="22"/>
                <w:szCs w:val="22"/>
              </w:rPr>
              <w:t>279,</w:t>
            </w:r>
            <w:r>
              <w:rPr>
                <w:sz w:val="22"/>
                <w:szCs w:val="22"/>
              </w:rPr>
              <w:t>225</w:t>
            </w:r>
          </w:p>
        </w:tc>
      </w:tr>
    </w:tbl>
    <w:p w14:paraId="66665D04" w14:textId="77777777" w:rsidR="00AA3450" w:rsidRPr="00AA3450" w:rsidRDefault="00AA3450" w:rsidP="00134B8F">
      <w:pPr>
        <w:jc w:val="both"/>
        <w:rPr>
          <w:b/>
          <w:sz w:val="22"/>
        </w:rPr>
      </w:pPr>
    </w:p>
    <w:p w14:paraId="6E66BE6D" w14:textId="77777777" w:rsidR="001220D8" w:rsidRDefault="001220D8" w:rsidP="00432292">
      <w:pPr>
        <w:jc w:val="both"/>
        <w:rPr>
          <w:color w:val="000000" w:themeColor="text1"/>
          <w:sz w:val="22"/>
        </w:rPr>
      </w:pPr>
    </w:p>
    <w:p w14:paraId="09D9D013" w14:textId="711899A0" w:rsidR="001330C7" w:rsidRPr="00F57E23" w:rsidRDefault="00432292" w:rsidP="00432292">
      <w:pPr>
        <w:jc w:val="both"/>
        <w:rPr>
          <w:sz w:val="22"/>
        </w:rPr>
      </w:pPr>
      <w:r w:rsidRPr="00F57E23">
        <w:rPr>
          <w:sz w:val="22"/>
        </w:rPr>
        <w:t xml:space="preserve">Total </w:t>
      </w:r>
      <w:r w:rsidR="00E50F0F" w:rsidRPr="00F57E23">
        <w:rPr>
          <w:sz w:val="22"/>
        </w:rPr>
        <w:t>WHS</w:t>
      </w:r>
      <w:r w:rsidR="00C50CE7" w:rsidRPr="00F57E23">
        <w:rPr>
          <w:sz w:val="22"/>
        </w:rPr>
        <w:t xml:space="preserve"> </w:t>
      </w:r>
      <w:r w:rsidRPr="00F57E23">
        <w:rPr>
          <w:sz w:val="22"/>
        </w:rPr>
        <w:t xml:space="preserve">expenditure on repairs and capital improvements in the year on existing properties was </w:t>
      </w:r>
      <w:r w:rsidR="000A5A51" w:rsidRPr="00F57E23">
        <w:rPr>
          <w:sz w:val="22"/>
        </w:rPr>
        <w:t>£3</w:t>
      </w:r>
      <w:r w:rsidR="00E457FF">
        <w:rPr>
          <w:sz w:val="22"/>
        </w:rPr>
        <w:t>1.</w:t>
      </w:r>
      <w:r w:rsidR="00E46C34">
        <w:rPr>
          <w:sz w:val="22"/>
        </w:rPr>
        <w:t>8</w:t>
      </w:r>
      <w:r w:rsidR="00224796" w:rsidRPr="00F57E23">
        <w:rPr>
          <w:sz w:val="22"/>
        </w:rPr>
        <w:t>m</w:t>
      </w:r>
      <w:r w:rsidR="001B7F15" w:rsidRPr="00F57E23">
        <w:rPr>
          <w:sz w:val="22"/>
        </w:rPr>
        <w:t xml:space="preserve"> (202</w:t>
      </w:r>
      <w:r w:rsidR="005E09E3" w:rsidRPr="00F57E23">
        <w:rPr>
          <w:sz w:val="22"/>
        </w:rPr>
        <w:t>3</w:t>
      </w:r>
      <w:r w:rsidRPr="00F57E23">
        <w:rPr>
          <w:sz w:val="22"/>
        </w:rPr>
        <w:t>: £</w:t>
      </w:r>
      <w:r w:rsidR="005E09E3" w:rsidRPr="00F57E23">
        <w:rPr>
          <w:sz w:val="22"/>
        </w:rPr>
        <w:t>34.2</w:t>
      </w:r>
      <w:r w:rsidR="00224796" w:rsidRPr="00F57E23">
        <w:rPr>
          <w:sz w:val="22"/>
        </w:rPr>
        <w:t>m</w:t>
      </w:r>
      <w:r w:rsidRPr="00F57E23">
        <w:rPr>
          <w:sz w:val="22"/>
        </w:rPr>
        <w:t xml:space="preserve">).  Of this, repair costs of </w:t>
      </w:r>
      <w:r w:rsidR="003B40A4" w:rsidRPr="00F57E23">
        <w:rPr>
          <w:sz w:val="22"/>
        </w:rPr>
        <w:t>£1</w:t>
      </w:r>
      <w:r w:rsidR="004E694C">
        <w:rPr>
          <w:sz w:val="22"/>
        </w:rPr>
        <w:t>4.</w:t>
      </w:r>
      <w:r w:rsidR="00E46C34">
        <w:rPr>
          <w:sz w:val="22"/>
        </w:rPr>
        <w:t>6</w:t>
      </w:r>
      <w:r w:rsidR="00224796" w:rsidRPr="00F57E23">
        <w:rPr>
          <w:sz w:val="22"/>
        </w:rPr>
        <w:t>m</w:t>
      </w:r>
      <w:r w:rsidR="001B7F15" w:rsidRPr="00F57E23">
        <w:rPr>
          <w:sz w:val="22"/>
        </w:rPr>
        <w:t xml:space="preserve"> (202</w:t>
      </w:r>
      <w:r w:rsidR="005E09E3" w:rsidRPr="00F57E23">
        <w:rPr>
          <w:sz w:val="22"/>
        </w:rPr>
        <w:t>3</w:t>
      </w:r>
      <w:r w:rsidRPr="00F57E23">
        <w:rPr>
          <w:sz w:val="22"/>
        </w:rPr>
        <w:t>: £</w:t>
      </w:r>
      <w:r w:rsidR="00E50F0F" w:rsidRPr="00F57E23">
        <w:rPr>
          <w:sz w:val="22"/>
        </w:rPr>
        <w:t>1</w:t>
      </w:r>
      <w:r w:rsidR="005E09E3" w:rsidRPr="00F57E23">
        <w:rPr>
          <w:sz w:val="22"/>
        </w:rPr>
        <w:t>5</w:t>
      </w:r>
      <w:r w:rsidR="00E50F0F" w:rsidRPr="00F57E23">
        <w:rPr>
          <w:sz w:val="22"/>
        </w:rPr>
        <w:t>.</w:t>
      </w:r>
      <w:r w:rsidR="005E09E3" w:rsidRPr="00F57E23">
        <w:rPr>
          <w:sz w:val="22"/>
        </w:rPr>
        <w:t>0</w:t>
      </w:r>
      <w:r w:rsidR="00224796" w:rsidRPr="00F57E23">
        <w:rPr>
          <w:sz w:val="22"/>
        </w:rPr>
        <w:t>m</w:t>
      </w:r>
      <w:r w:rsidRPr="00F57E23">
        <w:rPr>
          <w:sz w:val="22"/>
        </w:rPr>
        <w:t xml:space="preserve">) were charged to the Statement of Comprehensive Income (note 4) with capital improvements of </w:t>
      </w:r>
      <w:r w:rsidR="00F57E23" w:rsidRPr="00F57E23">
        <w:rPr>
          <w:sz w:val="22"/>
        </w:rPr>
        <w:t>£17.2</w:t>
      </w:r>
      <w:r w:rsidR="00224796" w:rsidRPr="00F57E23">
        <w:rPr>
          <w:sz w:val="22"/>
        </w:rPr>
        <w:t>m</w:t>
      </w:r>
      <w:r w:rsidR="001B7F15" w:rsidRPr="00F57E23">
        <w:rPr>
          <w:sz w:val="22"/>
        </w:rPr>
        <w:t xml:space="preserve"> (202</w:t>
      </w:r>
      <w:r w:rsidR="00C5165C" w:rsidRPr="00F57E23">
        <w:rPr>
          <w:sz w:val="22"/>
        </w:rPr>
        <w:t>3</w:t>
      </w:r>
      <w:r w:rsidRPr="00F57E23">
        <w:rPr>
          <w:sz w:val="22"/>
        </w:rPr>
        <w:t>: £</w:t>
      </w:r>
      <w:r w:rsidR="00C5165C" w:rsidRPr="00F57E23">
        <w:rPr>
          <w:sz w:val="22"/>
        </w:rPr>
        <w:t>19.2</w:t>
      </w:r>
      <w:r w:rsidR="00224796" w:rsidRPr="00F57E23">
        <w:rPr>
          <w:sz w:val="22"/>
        </w:rPr>
        <w:t>m</w:t>
      </w:r>
      <w:r w:rsidRPr="00F57E23">
        <w:rPr>
          <w:sz w:val="22"/>
        </w:rPr>
        <w:t xml:space="preserve">) shown as additions to core stock on the Statement of Financial Position.  </w:t>
      </w:r>
    </w:p>
    <w:p w14:paraId="7BD8077B" w14:textId="77777777" w:rsidR="001330C7" w:rsidRDefault="001330C7" w:rsidP="00432292">
      <w:pPr>
        <w:jc w:val="both"/>
        <w:rPr>
          <w:color w:val="000000" w:themeColor="text1"/>
          <w:sz w:val="22"/>
        </w:rPr>
      </w:pPr>
    </w:p>
    <w:p w14:paraId="44993AA0" w14:textId="77777777" w:rsidR="004C0925" w:rsidRPr="00E803CA" w:rsidRDefault="004C0925" w:rsidP="004C0925">
      <w:pPr>
        <w:jc w:val="both"/>
        <w:rPr>
          <w:color w:val="000000" w:themeColor="text1"/>
          <w:sz w:val="22"/>
        </w:rPr>
      </w:pPr>
      <w:r w:rsidRPr="00E803CA">
        <w:rPr>
          <w:color w:val="000000" w:themeColor="text1"/>
          <w:sz w:val="22"/>
        </w:rPr>
        <w:t xml:space="preserve">Additions to core stock in the year of </w:t>
      </w:r>
      <w:r>
        <w:rPr>
          <w:color w:val="000000" w:themeColor="text1"/>
          <w:sz w:val="22"/>
        </w:rPr>
        <w:t>£17.2</w:t>
      </w:r>
      <w:r w:rsidRPr="00E803CA">
        <w:rPr>
          <w:color w:val="000000" w:themeColor="text1"/>
          <w:sz w:val="22"/>
        </w:rPr>
        <w:t>m in the year include:</w:t>
      </w:r>
    </w:p>
    <w:p w14:paraId="191CF913" w14:textId="77777777" w:rsidR="001330C7" w:rsidRDefault="001330C7" w:rsidP="00432292">
      <w:pPr>
        <w:jc w:val="both"/>
        <w:rPr>
          <w:color w:val="000000" w:themeColor="text1"/>
          <w:sz w:val="22"/>
        </w:rPr>
      </w:pPr>
    </w:p>
    <w:p w14:paraId="216594AE" w14:textId="77777777" w:rsidR="001330C7" w:rsidRDefault="001330C7" w:rsidP="00432292">
      <w:pPr>
        <w:jc w:val="both"/>
        <w:rPr>
          <w:color w:val="000000" w:themeColor="text1"/>
          <w:sz w:val="22"/>
        </w:rPr>
      </w:pPr>
    </w:p>
    <w:p w14:paraId="162466D1" w14:textId="0ADCD834" w:rsidR="00976CF5" w:rsidRDefault="001330C7" w:rsidP="00976CF5">
      <w:pPr>
        <w:spacing w:line="276" w:lineRule="auto"/>
        <w:ind w:left="360" w:hanging="360"/>
        <w:jc w:val="both"/>
        <w:rPr>
          <w:b/>
          <w:bCs/>
          <w:sz w:val="22"/>
          <w:szCs w:val="22"/>
        </w:rPr>
      </w:pPr>
      <w:r w:rsidRPr="00976CF5">
        <w:rPr>
          <w:b/>
          <w:bCs/>
          <w:sz w:val="22"/>
          <w:szCs w:val="22"/>
        </w:rPr>
        <w:lastRenderedPageBreak/>
        <w:t>NOTES TO THE FINANCIAL STATEMENTS FOR THE YEAR ENDED 31 MARCH 202</w:t>
      </w:r>
      <w:r w:rsidR="00C5165C">
        <w:rPr>
          <w:b/>
          <w:bCs/>
          <w:sz w:val="22"/>
          <w:szCs w:val="22"/>
        </w:rPr>
        <w:t>4</w:t>
      </w:r>
    </w:p>
    <w:p w14:paraId="3E1B0155" w14:textId="183DCE6A" w:rsidR="001330C7" w:rsidRPr="00976CF5" w:rsidRDefault="001330C7" w:rsidP="00976CF5">
      <w:pPr>
        <w:spacing w:line="276" w:lineRule="auto"/>
        <w:ind w:left="360" w:hanging="360"/>
        <w:jc w:val="both"/>
        <w:rPr>
          <w:b/>
          <w:bCs/>
          <w:sz w:val="22"/>
          <w:szCs w:val="22"/>
        </w:rPr>
      </w:pPr>
      <w:r w:rsidRPr="00976CF5">
        <w:rPr>
          <w:b/>
          <w:bCs/>
          <w:sz w:val="22"/>
          <w:szCs w:val="22"/>
        </w:rPr>
        <w:t>(continued)</w:t>
      </w:r>
    </w:p>
    <w:p w14:paraId="2D0EF3DF" w14:textId="77777777" w:rsidR="001330C7" w:rsidRDefault="001330C7" w:rsidP="001330C7">
      <w:pPr>
        <w:spacing w:line="276" w:lineRule="auto"/>
        <w:ind w:left="360" w:hanging="360"/>
        <w:rPr>
          <w:b/>
          <w:bCs/>
        </w:rPr>
      </w:pPr>
    </w:p>
    <w:p w14:paraId="31AE6B42" w14:textId="131AC1CA" w:rsidR="001330C7" w:rsidRPr="008032C0" w:rsidRDefault="001330C7" w:rsidP="001330C7">
      <w:pPr>
        <w:rPr>
          <w:b/>
          <w:sz w:val="22"/>
          <w:szCs w:val="22"/>
        </w:rPr>
      </w:pPr>
      <w:r w:rsidRPr="008032C0">
        <w:rPr>
          <w:b/>
          <w:sz w:val="22"/>
          <w:szCs w:val="22"/>
        </w:rPr>
        <w:t>1</w:t>
      </w:r>
      <w:r w:rsidR="00AF5224">
        <w:rPr>
          <w:b/>
          <w:sz w:val="22"/>
          <w:szCs w:val="22"/>
        </w:rPr>
        <w:t>4</w:t>
      </w:r>
      <w:r w:rsidRPr="008032C0">
        <w:rPr>
          <w:b/>
          <w:sz w:val="22"/>
          <w:szCs w:val="22"/>
        </w:rPr>
        <w:t>.</w:t>
      </w:r>
      <w:r w:rsidRPr="008032C0">
        <w:rPr>
          <w:b/>
          <w:sz w:val="22"/>
          <w:szCs w:val="22"/>
        </w:rPr>
        <w:tab/>
        <w:t xml:space="preserve">Tangible fixed assets </w:t>
      </w:r>
      <w:r>
        <w:rPr>
          <w:b/>
          <w:sz w:val="22"/>
          <w:szCs w:val="22"/>
        </w:rPr>
        <w:t>(continued</w:t>
      </w:r>
      <w:r w:rsidR="007B2CC7">
        <w:rPr>
          <w:b/>
          <w:sz w:val="22"/>
          <w:szCs w:val="22"/>
        </w:rPr>
        <w:t>)</w:t>
      </w:r>
    </w:p>
    <w:p w14:paraId="60351B59" w14:textId="77777777" w:rsidR="001330C7" w:rsidRDefault="001330C7" w:rsidP="00432292">
      <w:pPr>
        <w:jc w:val="both"/>
        <w:rPr>
          <w:color w:val="000000" w:themeColor="text1"/>
          <w:sz w:val="22"/>
        </w:rPr>
      </w:pPr>
    </w:p>
    <w:p w14:paraId="68FF98BF" w14:textId="2BDD6A63" w:rsidR="00224796" w:rsidRPr="00E803CA" w:rsidRDefault="00B53893" w:rsidP="00D56F94">
      <w:pPr>
        <w:jc w:val="both"/>
        <w:rPr>
          <w:color w:val="000000" w:themeColor="text1"/>
          <w:sz w:val="22"/>
        </w:rPr>
      </w:pPr>
      <w:bookmarkStart w:id="13" w:name="_Hlk139620227"/>
      <w:r w:rsidRPr="00E803CA">
        <w:rPr>
          <w:color w:val="000000" w:themeColor="text1"/>
          <w:sz w:val="22"/>
        </w:rPr>
        <w:t>£</w:t>
      </w:r>
      <w:r w:rsidR="002B4D13">
        <w:rPr>
          <w:color w:val="000000" w:themeColor="text1"/>
          <w:sz w:val="22"/>
        </w:rPr>
        <w:t>11.4</w:t>
      </w:r>
      <w:r w:rsidR="00224796" w:rsidRPr="00E803CA">
        <w:rPr>
          <w:color w:val="000000" w:themeColor="text1"/>
          <w:sz w:val="22"/>
        </w:rPr>
        <w:t>m for component additions including:</w:t>
      </w:r>
    </w:p>
    <w:p w14:paraId="78402843" w14:textId="6B3DA850" w:rsidR="00DB16DA" w:rsidRPr="00E803CA" w:rsidRDefault="00372E33" w:rsidP="00586BD2">
      <w:pPr>
        <w:numPr>
          <w:ilvl w:val="0"/>
          <w:numId w:val="15"/>
        </w:numPr>
        <w:jc w:val="both"/>
        <w:rPr>
          <w:sz w:val="22"/>
          <w:szCs w:val="22"/>
        </w:rPr>
      </w:pPr>
      <w:r>
        <w:rPr>
          <w:sz w:val="22"/>
        </w:rPr>
        <w:t>£2.0</w:t>
      </w:r>
      <w:r w:rsidR="00DB16DA" w:rsidRPr="00E803CA">
        <w:rPr>
          <w:sz w:val="22"/>
        </w:rPr>
        <w:t xml:space="preserve">m </w:t>
      </w:r>
      <w:r w:rsidR="00DB16DA" w:rsidRPr="00E803CA">
        <w:rPr>
          <w:sz w:val="22"/>
          <w:szCs w:val="22"/>
        </w:rPr>
        <w:t>on external wall finishes;</w:t>
      </w:r>
    </w:p>
    <w:p w14:paraId="773CE7C9" w14:textId="5FD42E00" w:rsidR="00224796" w:rsidRPr="00E803CA" w:rsidRDefault="00DB16DA" w:rsidP="00586BD2">
      <w:pPr>
        <w:numPr>
          <w:ilvl w:val="0"/>
          <w:numId w:val="15"/>
        </w:numPr>
        <w:jc w:val="both"/>
        <w:rPr>
          <w:sz w:val="22"/>
        </w:rPr>
      </w:pPr>
      <w:r w:rsidRPr="00E803CA">
        <w:rPr>
          <w:sz w:val="22"/>
          <w:szCs w:val="22"/>
        </w:rPr>
        <w:t>£</w:t>
      </w:r>
      <w:r w:rsidR="00372E33">
        <w:rPr>
          <w:color w:val="000000" w:themeColor="text1"/>
          <w:sz w:val="22"/>
        </w:rPr>
        <w:t>6.0</w:t>
      </w:r>
      <w:r w:rsidRPr="00E803CA">
        <w:rPr>
          <w:sz w:val="22"/>
          <w:szCs w:val="22"/>
        </w:rPr>
        <w:t xml:space="preserve">m on </w:t>
      </w:r>
      <w:r w:rsidRPr="00E803CA">
        <w:rPr>
          <w:rStyle w:val="normaltextrun"/>
          <w:sz w:val="22"/>
          <w:szCs w:val="22"/>
        </w:rPr>
        <w:t xml:space="preserve">new energy efficient heating systems; </w:t>
      </w:r>
    </w:p>
    <w:p w14:paraId="66BEA012" w14:textId="1FAD396E" w:rsidR="00224796" w:rsidRPr="00E803CA" w:rsidRDefault="001C25B7" w:rsidP="00586BD2">
      <w:pPr>
        <w:numPr>
          <w:ilvl w:val="0"/>
          <w:numId w:val="15"/>
        </w:numPr>
        <w:jc w:val="both"/>
        <w:rPr>
          <w:sz w:val="22"/>
        </w:rPr>
      </w:pPr>
      <w:r w:rsidRPr="00E803CA">
        <w:rPr>
          <w:sz w:val="22"/>
        </w:rPr>
        <w:t>£</w:t>
      </w:r>
      <w:r w:rsidR="00372E33">
        <w:rPr>
          <w:color w:val="000000" w:themeColor="text1"/>
          <w:sz w:val="22"/>
        </w:rPr>
        <w:t>0.1</w:t>
      </w:r>
      <w:r w:rsidR="0074391B" w:rsidRPr="00E803CA">
        <w:rPr>
          <w:sz w:val="22"/>
        </w:rPr>
        <w:t>m</w:t>
      </w:r>
      <w:r w:rsidR="00224796" w:rsidRPr="00E803CA">
        <w:rPr>
          <w:sz w:val="22"/>
        </w:rPr>
        <w:t xml:space="preserve"> on kitchens;</w:t>
      </w:r>
    </w:p>
    <w:p w14:paraId="3A0FB8A1" w14:textId="69861D3E" w:rsidR="00974154" w:rsidRPr="00E803CA" w:rsidRDefault="00974154" w:rsidP="00586BD2">
      <w:pPr>
        <w:numPr>
          <w:ilvl w:val="0"/>
          <w:numId w:val="15"/>
        </w:numPr>
        <w:jc w:val="both"/>
        <w:rPr>
          <w:sz w:val="22"/>
        </w:rPr>
      </w:pPr>
      <w:r w:rsidRPr="00E803CA">
        <w:rPr>
          <w:sz w:val="22"/>
        </w:rPr>
        <w:t>£</w:t>
      </w:r>
      <w:r w:rsidR="00372E33">
        <w:rPr>
          <w:color w:val="000000" w:themeColor="text1"/>
          <w:sz w:val="22"/>
        </w:rPr>
        <w:t>0.2</w:t>
      </w:r>
      <w:r w:rsidRPr="00E803CA">
        <w:rPr>
          <w:sz w:val="22"/>
        </w:rPr>
        <w:t>m on bathrooms</w:t>
      </w:r>
    </w:p>
    <w:p w14:paraId="6DBF9317" w14:textId="3825A1B9" w:rsidR="0074391B" w:rsidRPr="00E803CA" w:rsidRDefault="0074391B" w:rsidP="00586BD2">
      <w:pPr>
        <w:numPr>
          <w:ilvl w:val="0"/>
          <w:numId w:val="15"/>
        </w:numPr>
        <w:jc w:val="both"/>
        <w:rPr>
          <w:sz w:val="22"/>
        </w:rPr>
      </w:pPr>
      <w:r w:rsidRPr="00E803CA">
        <w:rPr>
          <w:sz w:val="22"/>
        </w:rPr>
        <w:t>£</w:t>
      </w:r>
      <w:r w:rsidR="00713361">
        <w:rPr>
          <w:color w:val="000000" w:themeColor="text1"/>
          <w:sz w:val="22"/>
        </w:rPr>
        <w:t>1.8</w:t>
      </w:r>
      <w:r w:rsidRPr="00E803CA">
        <w:rPr>
          <w:sz w:val="22"/>
        </w:rPr>
        <w:t>m on structure and roofs; and</w:t>
      </w:r>
    </w:p>
    <w:p w14:paraId="697ACF97" w14:textId="648333E3" w:rsidR="0074391B" w:rsidRPr="00E803CA" w:rsidRDefault="0074391B" w:rsidP="00586BD2">
      <w:pPr>
        <w:numPr>
          <w:ilvl w:val="0"/>
          <w:numId w:val="15"/>
        </w:numPr>
        <w:jc w:val="both"/>
        <w:rPr>
          <w:sz w:val="22"/>
        </w:rPr>
      </w:pPr>
      <w:r w:rsidRPr="00E803CA">
        <w:rPr>
          <w:sz w:val="22"/>
        </w:rPr>
        <w:t>£</w:t>
      </w:r>
      <w:r w:rsidR="00713361">
        <w:rPr>
          <w:color w:val="000000" w:themeColor="text1"/>
          <w:sz w:val="22"/>
        </w:rPr>
        <w:t>1.3</w:t>
      </w:r>
      <w:r w:rsidRPr="00E803CA">
        <w:rPr>
          <w:sz w:val="22"/>
        </w:rPr>
        <w:t>m on windows and doors.</w:t>
      </w:r>
    </w:p>
    <w:p w14:paraId="368DDC84" w14:textId="77777777" w:rsidR="00224796" w:rsidRPr="00E803CA" w:rsidRDefault="00224796" w:rsidP="00224796">
      <w:pPr>
        <w:jc w:val="both"/>
        <w:rPr>
          <w:color w:val="FF0000"/>
          <w:sz w:val="22"/>
        </w:rPr>
      </w:pPr>
    </w:p>
    <w:p w14:paraId="7B518A1E" w14:textId="13C7A646" w:rsidR="00AD7122" w:rsidRPr="00F30793" w:rsidRDefault="00224796" w:rsidP="00586BD2">
      <w:pPr>
        <w:jc w:val="both"/>
        <w:rPr>
          <w:sz w:val="22"/>
        </w:rPr>
      </w:pPr>
      <w:r w:rsidRPr="00F30793">
        <w:rPr>
          <w:sz w:val="22"/>
        </w:rPr>
        <w:t>The remaining balance of £</w:t>
      </w:r>
      <w:r w:rsidR="00F30793" w:rsidRPr="00F30793">
        <w:rPr>
          <w:sz w:val="22"/>
        </w:rPr>
        <w:t>5.8</w:t>
      </w:r>
      <w:r w:rsidRPr="00F30793">
        <w:rPr>
          <w:sz w:val="22"/>
        </w:rPr>
        <w:t xml:space="preserve">m of additions to existing properties not associated with a specific component </w:t>
      </w:r>
      <w:r w:rsidR="00B34CCB" w:rsidRPr="00F30793">
        <w:rPr>
          <w:sz w:val="22"/>
        </w:rPr>
        <w:t>includes £</w:t>
      </w:r>
      <w:r w:rsidR="00F30793" w:rsidRPr="00F30793">
        <w:rPr>
          <w:sz w:val="22"/>
        </w:rPr>
        <w:t>4.8</w:t>
      </w:r>
      <w:r w:rsidRPr="00F30793">
        <w:rPr>
          <w:sz w:val="22"/>
        </w:rPr>
        <w:t>m on void improvements</w:t>
      </w:r>
      <w:r w:rsidR="00D21496" w:rsidRPr="00F30793">
        <w:rPr>
          <w:sz w:val="22"/>
        </w:rPr>
        <w:t xml:space="preserve"> </w:t>
      </w:r>
      <w:r w:rsidRPr="00F30793">
        <w:rPr>
          <w:sz w:val="22"/>
        </w:rPr>
        <w:t xml:space="preserve">and </w:t>
      </w:r>
      <w:r w:rsidR="00B34CCB" w:rsidRPr="00F30793">
        <w:rPr>
          <w:sz w:val="22"/>
        </w:rPr>
        <w:t>£</w:t>
      </w:r>
      <w:r w:rsidR="00F30793" w:rsidRPr="00F30793">
        <w:rPr>
          <w:sz w:val="22"/>
        </w:rPr>
        <w:t>1.0</w:t>
      </w:r>
      <w:r w:rsidRPr="00F30793">
        <w:rPr>
          <w:sz w:val="22"/>
        </w:rPr>
        <w:t>m of medical adaptations</w:t>
      </w:r>
      <w:r w:rsidRPr="00F30793">
        <w:t xml:space="preserve">.  </w:t>
      </w:r>
    </w:p>
    <w:bookmarkEnd w:id="13"/>
    <w:p w14:paraId="022C9CC2" w14:textId="77777777" w:rsidR="00156F67" w:rsidRPr="00DD1766" w:rsidRDefault="00156F67" w:rsidP="00AA1DE6">
      <w:pPr>
        <w:pStyle w:val="BodyText"/>
        <w:jc w:val="both"/>
        <w:rPr>
          <w:bCs/>
          <w:color w:val="FF0000"/>
          <w:sz w:val="22"/>
          <w:szCs w:val="22"/>
        </w:rPr>
      </w:pPr>
    </w:p>
    <w:p w14:paraId="04867BB2" w14:textId="593403BE" w:rsidR="00134B8F" w:rsidRPr="00DD1766" w:rsidRDefault="00134B8F" w:rsidP="00134B8F">
      <w:pPr>
        <w:jc w:val="both"/>
        <w:rPr>
          <w:color w:val="FF0000"/>
          <w:sz w:val="22"/>
        </w:rPr>
      </w:pPr>
      <w:r w:rsidRPr="00BE2CFE">
        <w:rPr>
          <w:sz w:val="22"/>
        </w:rPr>
        <w:t xml:space="preserve">Additions to housing under construction include capitalised interest costs </w:t>
      </w:r>
      <w:r w:rsidR="005458D8" w:rsidRPr="00BE2CFE">
        <w:rPr>
          <w:sz w:val="22"/>
        </w:rPr>
        <w:t>of £</w:t>
      </w:r>
      <w:r w:rsidR="00BE2CFE" w:rsidRPr="00BE2CFE">
        <w:rPr>
          <w:sz w:val="22"/>
        </w:rPr>
        <w:t>1,0</w:t>
      </w:r>
      <w:r w:rsidR="001C3419">
        <w:rPr>
          <w:sz w:val="22"/>
        </w:rPr>
        <w:t>06</w:t>
      </w:r>
      <w:r w:rsidRPr="00BE2CFE">
        <w:rPr>
          <w:sz w:val="22"/>
        </w:rPr>
        <w:t>k</w:t>
      </w:r>
      <w:r w:rsidR="001B7F15" w:rsidRPr="00BE2CFE">
        <w:rPr>
          <w:sz w:val="22"/>
        </w:rPr>
        <w:t xml:space="preserve"> </w:t>
      </w:r>
      <w:r w:rsidR="001B7F15" w:rsidRPr="00DD1766">
        <w:rPr>
          <w:sz w:val="22"/>
        </w:rPr>
        <w:t>(202</w:t>
      </w:r>
      <w:r w:rsidR="00D4772B" w:rsidRPr="00DD1766">
        <w:rPr>
          <w:sz w:val="22"/>
        </w:rPr>
        <w:t>3</w:t>
      </w:r>
      <w:r w:rsidRPr="00DD1766">
        <w:rPr>
          <w:sz w:val="22"/>
        </w:rPr>
        <w:t xml:space="preserve">: </w:t>
      </w:r>
      <w:r w:rsidR="00976CF5" w:rsidRPr="00DD1766">
        <w:rPr>
          <w:sz w:val="22"/>
        </w:rPr>
        <w:t>£</w:t>
      </w:r>
      <w:r w:rsidR="00D4772B" w:rsidRPr="00DD1766">
        <w:rPr>
          <w:sz w:val="22"/>
        </w:rPr>
        <w:t>388</w:t>
      </w:r>
      <w:r w:rsidR="00976CF5" w:rsidRPr="00DD1766">
        <w:rPr>
          <w:sz w:val="22"/>
        </w:rPr>
        <w:t>k</w:t>
      </w:r>
      <w:r w:rsidRPr="00DD1766">
        <w:rPr>
          <w:sz w:val="22"/>
        </w:rPr>
        <w:t>).  Interest has been capitalised at the weighted average interest cost</w:t>
      </w:r>
      <w:r w:rsidR="00D057A9" w:rsidRPr="00DD1766">
        <w:rPr>
          <w:sz w:val="22"/>
        </w:rPr>
        <w:t xml:space="preserve"> for the </w:t>
      </w:r>
      <w:r w:rsidR="00FD41DB" w:rsidRPr="00DD1766">
        <w:rPr>
          <w:sz w:val="22"/>
        </w:rPr>
        <w:t>WHS</w:t>
      </w:r>
      <w:r w:rsidRPr="00DD1766">
        <w:rPr>
          <w:sz w:val="22"/>
        </w:rPr>
        <w:t xml:space="preserve"> of</w:t>
      </w:r>
      <w:r w:rsidR="00DD1766" w:rsidRPr="00DD1766">
        <w:rPr>
          <w:sz w:val="22"/>
        </w:rPr>
        <w:t xml:space="preserve"> 4.</w:t>
      </w:r>
      <w:r w:rsidR="008B6FBD">
        <w:rPr>
          <w:sz w:val="22"/>
        </w:rPr>
        <w:t>64</w:t>
      </w:r>
      <w:r w:rsidR="001B7F15" w:rsidRPr="00DD1766">
        <w:rPr>
          <w:sz w:val="22"/>
        </w:rPr>
        <w:t>% (202</w:t>
      </w:r>
      <w:r w:rsidR="00D4772B" w:rsidRPr="00DD1766">
        <w:rPr>
          <w:sz w:val="22"/>
        </w:rPr>
        <w:t>3</w:t>
      </w:r>
      <w:r w:rsidRPr="00DD1766">
        <w:rPr>
          <w:sz w:val="22"/>
        </w:rPr>
        <w:t xml:space="preserve">: </w:t>
      </w:r>
      <w:r w:rsidR="00B34CCB" w:rsidRPr="00DD1766">
        <w:rPr>
          <w:sz w:val="22"/>
        </w:rPr>
        <w:t>3.</w:t>
      </w:r>
      <w:r w:rsidR="00D4772B" w:rsidRPr="00DD1766">
        <w:rPr>
          <w:sz w:val="22"/>
        </w:rPr>
        <w:t>90</w:t>
      </w:r>
      <w:r w:rsidRPr="00DD1766">
        <w:rPr>
          <w:sz w:val="22"/>
        </w:rPr>
        <w:t>%)</w:t>
      </w:r>
      <w:r w:rsidR="00915F08" w:rsidRPr="00DD1766">
        <w:rPr>
          <w:sz w:val="22"/>
        </w:rPr>
        <w:t>.</w:t>
      </w:r>
    </w:p>
    <w:p w14:paraId="36441E81" w14:textId="77777777" w:rsidR="00134B8F" w:rsidRPr="00821F9C" w:rsidRDefault="00134B8F" w:rsidP="00982825">
      <w:pPr>
        <w:jc w:val="both"/>
        <w:rPr>
          <w:sz w:val="22"/>
          <w:szCs w:val="22"/>
          <w:highlight w:val="yellow"/>
        </w:rPr>
      </w:pPr>
    </w:p>
    <w:p w14:paraId="0CF00B56" w14:textId="38EFAE3B" w:rsidR="00FD4626" w:rsidRPr="00915F08" w:rsidRDefault="00D057A9" w:rsidP="00982825">
      <w:pPr>
        <w:jc w:val="both"/>
        <w:rPr>
          <w:sz w:val="22"/>
        </w:rPr>
      </w:pPr>
      <w:r w:rsidRPr="00782164">
        <w:rPr>
          <w:sz w:val="22"/>
        </w:rPr>
        <w:t xml:space="preserve">The valuation of social housing properties is separated into two categories, namely those retained for letting and those properties which form part of the Company’s demolition programme, as detailed in </w:t>
      </w:r>
      <w:r w:rsidRPr="007F78C4">
        <w:rPr>
          <w:sz w:val="22"/>
        </w:rPr>
        <w:t xml:space="preserve">the Company’s 30-year Business Plan for </w:t>
      </w:r>
      <w:r w:rsidRPr="003D1766">
        <w:rPr>
          <w:sz w:val="22"/>
        </w:rPr>
        <w:t>202</w:t>
      </w:r>
      <w:r w:rsidR="00312A9D" w:rsidRPr="003D1766">
        <w:rPr>
          <w:sz w:val="22"/>
        </w:rPr>
        <w:t>4</w:t>
      </w:r>
      <w:r w:rsidRPr="003D1766">
        <w:rPr>
          <w:sz w:val="22"/>
        </w:rPr>
        <w:t>/2</w:t>
      </w:r>
      <w:r w:rsidR="00312A9D" w:rsidRPr="003D1766">
        <w:rPr>
          <w:sz w:val="22"/>
        </w:rPr>
        <w:t>5</w:t>
      </w:r>
      <w:r w:rsidRPr="003D1766">
        <w:rPr>
          <w:sz w:val="22"/>
        </w:rPr>
        <w:t>. The demolition program</w:t>
      </w:r>
      <w:r w:rsidRPr="008E0DAE">
        <w:rPr>
          <w:sz w:val="22"/>
        </w:rPr>
        <w:t>me identifie</w:t>
      </w:r>
      <w:r w:rsidR="003D1766" w:rsidRPr="008E0DAE">
        <w:rPr>
          <w:sz w:val="22"/>
        </w:rPr>
        <w:t>s 4</w:t>
      </w:r>
      <w:r w:rsidR="005E4BF4" w:rsidRPr="008E0DAE">
        <w:rPr>
          <w:sz w:val="22"/>
        </w:rPr>
        <w:t>33</w:t>
      </w:r>
      <w:r w:rsidR="008A2335" w:rsidRPr="008E0DAE">
        <w:rPr>
          <w:sz w:val="22"/>
        </w:rPr>
        <w:t xml:space="preserve"> (</w:t>
      </w:r>
      <w:r w:rsidR="001B7F15" w:rsidRPr="003D1766">
        <w:rPr>
          <w:sz w:val="22"/>
        </w:rPr>
        <w:t>202</w:t>
      </w:r>
      <w:r w:rsidR="009B7DF0" w:rsidRPr="003D1766">
        <w:rPr>
          <w:sz w:val="22"/>
        </w:rPr>
        <w:t>3</w:t>
      </w:r>
      <w:r w:rsidRPr="003D1766">
        <w:rPr>
          <w:sz w:val="22"/>
        </w:rPr>
        <w:t xml:space="preserve">: </w:t>
      </w:r>
      <w:r w:rsidR="009B7DF0" w:rsidRPr="003D1766">
        <w:rPr>
          <w:sz w:val="22"/>
        </w:rPr>
        <w:t>446</w:t>
      </w:r>
      <w:r w:rsidRPr="003D1766">
        <w:rPr>
          <w:sz w:val="22"/>
        </w:rPr>
        <w:t xml:space="preserve">) properties for demolition over the next few years, with no </w:t>
      </w:r>
      <w:r w:rsidR="00B44F3E" w:rsidRPr="003D1766">
        <w:rPr>
          <w:sz w:val="22"/>
        </w:rPr>
        <w:t>long-term</w:t>
      </w:r>
      <w:r w:rsidRPr="003D1766">
        <w:rPr>
          <w:sz w:val="22"/>
        </w:rPr>
        <w:t xml:space="preserve"> investment expenditure</w:t>
      </w:r>
      <w:r w:rsidR="00915F08" w:rsidRPr="003D1766">
        <w:rPr>
          <w:sz w:val="22"/>
        </w:rPr>
        <w:t xml:space="preserve"> </w:t>
      </w:r>
      <w:r w:rsidRPr="003D1766">
        <w:rPr>
          <w:sz w:val="22"/>
        </w:rPr>
        <w:t>associated with these properties</w:t>
      </w:r>
      <w:r w:rsidRPr="003D1766">
        <w:rPr>
          <w:sz w:val="27"/>
          <w:szCs w:val="27"/>
        </w:rPr>
        <w:t>.</w:t>
      </w:r>
      <w:r w:rsidR="00CF6797">
        <w:rPr>
          <w:sz w:val="27"/>
          <w:szCs w:val="27"/>
        </w:rPr>
        <w:t xml:space="preserve"> </w:t>
      </w:r>
      <w:r w:rsidR="00FD4626" w:rsidRPr="00782164">
        <w:rPr>
          <w:sz w:val="22"/>
        </w:rPr>
        <w:t>Demolition programme stock has a negative valuation for accounting purposes due to the impact of demolition costs on the EUV-SH calculation, and so is held at £nil on the Statement of Financial Position as under FRS 102 there is no constructive obligation at the date of the Statement of Financial Position to provide for these costs.</w:t>
      </w:r>
      <w:r w:rsidR="00915F08">
        <w:rPr>
          <w:sz w:val="22"/>
        </w:rPr>
        <w:t xml:space="preserve"> </w:t>
      </w:r>
      <w:r w:rsidR="00FD4626" w:rsidRPr="003D25A7">
        <w:rPr>
          <w:sz w:val="22"/>
        </w:rPr>
        <w:t xml:space="preserve">Retained stock for letting has been </w:t>
      </w:r>
      <w:r w:rsidR="00FD4626" w:rsidRPr="00666780">
        <w:rPr>
          <w:sz w:val="22"/>
        </w:rPr>
        <w:t xml:space="preserve">valued </w:t>
      </w:r>
      <w:r w:rsidR="00FD4626" w:rsidRPr="00B77FFA">
        <w:rPr>
          <w:sz w:val="22"/>
        </w:rPr>
        <w:t>at £</w:t>
      </w:r>
      <w:r w:rsidR="00B77FFA" w:rsidRPr="00B77FFA">
        <w:rPr>
          <w:sz w:val="22"/>
        </w:rPr>
        <w:t>434.5</w:t>
      </w:r>
      <w:r w:rsidR="00FD4626" w:rsidRPr="00B77FFA">
        <w:rPr>
          <w:sz w:val="22"/>
        </w:rPr>
        <w:t>m. Housing</w:t>
      </w:r>
      <w:r w:rsidR="00FD4626" w:rsidRPr="00BE6830">
        <w:rPr>
          <w:sz w:val="22"/>
        </w:rPr>
        <w:t xml:space="preserve"> </w:t>
      </w:r>
      <w:r w:rsidR="00FD4626" w:rsidRPr="003D25A7">
        <w:rPr>
          <w:sz w:val="22"/>
        </w:rPr>
        <w:t xml:space="preserve">under construction, with a </w:t>
      </w:r>
      <w:r w:rsidR="00FD4626" w:rsidRPr="00BE6830">
        <w:rPr>
          <w:sz w:val="22"/>
        </w:rPr>
        <w:t xml:space="preserve">NBV of </w:t>
      </w:r>
      <w:r w:rsidR="008F77C3" w:rsidRPr="00BE6830">
        <w:rPr>
          <w:sz w:val="22"/>
        </w:rPr>
        <w:t>£</w:t>
      </w:r>
      <w:r w:rsidR="00744B28">
        <w:rPr>
          <w:sz w:val="22"/>
        </w:rPr>
        <w:t>3</w:t>
      </w:r>
      <w:r w:rsidR="005B2944">
        <w:rPr>
          <w:sz w:val="22"/>
        </w:rPr>
        <w:t>1.0</w:t>
      </w:r>
      <w:r w:rsidR="00FD4626" w:rsidRPr="00BE6830">
        <w:rPr>
          <w:sz w:val="22"/>
        </w:rPr>
        <w:t xml:space="preserve">m, is </w:t>
      </w:r>
      <w:r w:rsidR="00FD4626" w:rsidRPr="003D25A7">
        <w:rPr>
          <w:sz w:val="22"/>
        </w:rPr>
        <w:t>not included within this total</w:t>
      </w:r>
      <w:r w:rsidR="00FD4626" w:rsidRPr="00BE6830">
        <w:rPr>
          <w:sz w:val="27"/>
          <w:szCs w:val="27"/>
        </w:rPr>
        <w:t>.</w:t>
      </w:r>
    </w:p>
    <w:p w14:paraId="5809A68B" w14:textId="77777777" w:rsidR="00441C59" w:rsidRDefault="00441C59" w:rsidP="00982825">
      <w:pPr>
        <w:jc w:val="both"/>
        <w:rPr>
          <w:sz w:val="22"/>
          <w:szCs w:val="22"/>
        </w:rPr>
      </w:pPr>
    </w:p>
    <w:p w14:paraId="690667D0" w14:textId="77777777" w:rsidR="00DA6448" w:rsidRDefault="00DA6448" w:rsidP="00DA6448">
      <w:pPr>
        <w:jc w:val="both"/>
      </w:pPr>
      <w:r>
        <w:rPr>
          <w:sz w:val="22"/>
          <w:szCs w:val="22"/>
        </w:rPr>
        <w:t xml:space="preserve">Social housing properties have been valued by Jones Lang LaSalle Limited, an independent professional adviser qualified by the Royal Institution of Chartered Surveyors (“RICS”) to undertake valuations. This valuation was prepared in accordance with the appraisal and valuation manual of the RICS at 31 March 2024 on an Existing Use Valuation for Social Housing (“EUV-SH”). Discount rates between 5.75-7.00% have been used depending on the property archetype (2023: 5.75-7.00%). The valuation assumes a real rental income growth of 0.5% for the first year, followed by long-term real rental growth of 1.0% per annum for the Social Rented units, in line with the Association’s 30-year Business Plan.  Both mid-market and full market rent properties are assumed at a long-term real rental income growth of 0.50% throughout. The capital investment made in housing properties each year may not translate directly into an increase in the value of the assets by virtue of the nature of the EUV-SH valuation methodology. </w:t>
      </w:r>
    </w:p>
    <w:p w14:paraId="4A603CB9" w14:textId="77777777" w:rsidR="00DA6448" w:rsidRDefault="00DA6448">
      <w:pPr>
        <w:rPr>
          <w:sz w:val="22"/>
          <w:szCs w:val="22"/>
        </w:rPr>
      </w:pPr>
    </w:p>
    <w:p w14:paraId="4D2B280C" w14:textId="77777777" w:rsidR="00460854" w:rsidRPr="007F78C4" w:rsidRDefault="00460854" w:rsidP="00460854">
      <w:pPr>
        <w:jc w:val="both"/>
        <w:rPr>
          <w:sz w:val="22"/>
          <w:szCs w:val="22"/>
        </w:rPr>
      </w:pPr>
      <w:r w:rsidRPr="00560EFC">
        <w:rPr>
          <w:sz w:val="22"/>
          <w:szCs w:val="22"/>
        </w:rPr>
        <w:t xml:space="preserve">Included in core stock are 966 garages and 1,200 parking sites owned by WHS held </w:t>
      </w:r>
      <w:r w:rsidRPr="001C3419">
        <w:rPr>
          <w:sz w:val="22"/>
          <w:szCs w:val="22"/>
        </w:rPr>
        <w:t xml:space="preserve">at a value of </w:t>
      </w:r>
      <w:r w:rsidRPr="00D377A3">
        <w:rPr>
          <w:sz w:val="22"/>
          <w:szCs w:val="22"/>
        </w:rPr>
        <w:t>£3,995k (</w:t>
      </w:r>
      <w:r w:rsidRPr="007C085C">
        <w:rPr>
          <w:sz w:val="22"/>
          <w:szCs w:val="22"/>
        </w:rPr>
        <w:t>202</w:t>
      </w:r>
      <w:r>
        <w:rPr>
          <w:sz w:val="22"/>
          <w:szCs w:val="22"/>
        </w:rPr>
        <w:t>3</w:t>
      </w:r>
      <w:r w:rsidRPr="007C085C">
        <w:rPr>
          <w:sz w:val="22"/>
          <w:szCs w:val="22"/>
        </w:rPr>
        <w:t>: £3,</w:t>
      </w:r>
      <w:r>
        <w:rPr>
          <w:sz w:val="22"/>
          <w:szCs w:val="22"/>
        </w:rPr>
        <w:t>875</w:t>
      </w:r>
      <w:r w:rsidRPr="007C085C">
        <w:rPr>
          <w:sz w:val="22"/>
          <w:szCs w:val="22"/>
        </w:rPr>
        <w:t>k). These</w:t>
      </w:r>
      <w:r w:rsidRPr="007F78C4">
        <w:rPr>
          <w:sz w:val="22"/>
          <w:szCs w:val="22"/>
        </w:rPr>
        <w:t xml:space="preserve"> have been valued at market value subject to tenancy (“MV-T”), the Directors consider the difference between EUV-SH and MV-T for these properties to be immaterial.</w:t>
      </w:r>
    </w:p>
    <w:p w14:paraId="649F59D6" w14:textId="00D36F44" w:rsidR="00D377A3" w:rsidRDefault="00D377A3">
      <w:pPr>
        <w:rPr>
          <w:b/>
          <w:bCs/>
          <w:sz w:val="22"/>
          <w:szCs w:val="22"/>
        </w:rPr>
      </w:pPr>
      <w:r>
        <w:rPr>
          <w:b/>
          <w:bCs/>
          <w:sz w:val="22"/>
          <w:szCs w:val="22"/>
        </w:rPr>
        <w:br w:type="page"/>
      </w:r>
    </w:p>
    <w:p w14:paraId="07339428" w14:textId="18D95505" w:rsidR="00C01094" w:rsidRPr="008A1221" w:rsidRDefault="00C01094" w:rsidP="00C01094">
      <w:pPr>
        <w:rPr>
          <w:b/>
          <w:bCs/>
          <w:sz w:val="22"/>
          <w:szCs w:val="22"/>
        </w:rPr>
      </w:pPr>
      <w:r w:rsidRPr="008A1221">
        <w:rPr>
          <w:b/>
          <w:bCs/>
          <w:sz w:val="22"/>
          <w:szCs w:val="22"/>
        </w:rPr>
        <w:lastRenderedPageBreak/>
        <w:t>NOTES TO THE FINANCIAL STATEMENTS FOR THE YEAR ENDED 31 MARCH 202</w:t>
      </w:r>
      <w:r>
        <w:rPr>
          <w:b/>
          <w:bCs/>
          <w:sz w:val="22"/>
          <w:szCs w:val="22"/>
        </w:rPr>
        <w:t>4</w:t>
      </w:r>
      <w:r w:rsidRPr="008A1221">
        <w:rPr>
          <w:b/>
          <w:bCs/>
          <w:sz w:val="22"/>
          <w:szCs w:val="22"/>
        </w:rPr>
        <w:t xml:space="preserve"> (continued)</w:t>
      </w:r>
    </w:p>
    <w:p w14:paraId="24FD9C55" w14:textId="77777777" w:rsidR="00C01094" w:rsidRDefault="00C01094" w:rsidP="00C01094">
      <w:pPr>
        <w:jc w:val="both"/>
        <w:rPr>
          <w:sz w:val="22"/>
          <w:szCs w:val="22"/>
        </w:rPr>
      </w:pPr>
    </w:p>
    <w:p w14:paraId="6A84E434" w14:textId="60F9B5E2" w:rsidR="00C01094" w:rsidRDefault="00C01094" w:rsidP="00C01094">
      <w:pPr>
        <w:jc w:val="both"/>
        <w:rPr>
          <w:b/>
          <w:sz w:val="22"/>
          <w:szCs w:val="22"/>
        </w:rPr>
      </w:pPr>
      <w:r>
        <w:rPr>
          <w:b/>
          <w:sz w:val="22"/>
          <w:szCs w:val="22"/>
        </w:rPr>
        <w:t>14</w:t>
      </w:r>
      <w:r w:rsidRPr="00840B04">
        <w:rPr>
          <w:b/>
          <w:sz w:val="22"/>
          <w:szCs w:val="22"/>
        </w:rPr>
        <w:t>.</w:t>
      </w:r>
      <w:r w:rsidRPr="00840B04">
        <w:rPr>
          <w:b/>
          <w:sz w:val="22"/>
          <w:szCs w:val="22"/>
        </w:rPr>
        <w:tab/>
      </w:r>
      <w:r>
        <w:rPr>
          <w:b/>
          <w:sz w:val="22"/>
          <w:szCs w:val="22"/>
        </w:rPr>
        <w:t>Tangible fixed assets</w:t>
      </w:r>
      <w:r w:rsidRPr="00840B04">
        <w:rPr>
          <w:b/>
          <w:sz w:val="22"/>
          <w:szCs w:val="22"/>
        </w:rPr>
        <w:t xml:space="preserve"> (continued)</w:t>
      </w:r>
    </w:p>
    <w:p w14:paraId="74540399" w14:textId="77777777" w:rsidR="00C01094" w:rsidRDefault="00C01094" w:rsidP="00C01094">
      <w:pPr>
        <w:jc w:val="both"/>
        <w:rPr>
          <w:sz w:val="22"/>
          <w:szCs w:val="22"/>
        </w:rPr>
      </w:pPr>
    </w:p>
    <w:p w14:paraId="4FE8540A" w14:textId="12E2FEBA" w:rsidR="003C752F" w:rsidRDefault="003C752F" w:rsidP="003C752F">
      <w:pPr>
        <w:jc w:val="both"/>
        <w:rPr>
          <w:sz w:val="22"/>
        </w:rPr>
      </w:pPr>
      <w:r w:rsidRPr="00840B04">
        <w:rPr>
          <w:sz w:val="22"/>
        </w:rPr>
        <w:t xml:space="preserve">The number of units of accommodation </w:t>
      </w:r>
      <w:r w:rsidR="00717DC8" w:rsidRPr="00840B04">
        <w:rPr>
          <w:sz w:val="22"/>
        </w:rPr>
        <w:t>(exc</w:t>
      </w:r>
      <w:r w:rsidRPr="00840B04">
        <w:rPr>
          <w:sz w:val="22"/>
        </w:rPr>
        <w:t xml:space="preserve">luding unlettable voids) </w:t>
      </w:r>
      <w:r w:rsidR="00717DC8" w:rsidRPr="00840B04">
        <w:rPr>
          <w:sz w:val="22"/>
        </w:rPr>
        <w:t xml:space="preserve">held </w:t>
      </w:r>
      <w:r w:rsidRPr="00840B04">
        <w:rPr>
          <w:sz w:val="22"/>
        </w:rPr>
        <w:t xml:space="preserve">by the </w:t>
      </w:r>
      <w:r w:rsidR="001001EE">
        <w:rPr>
          <w:sz w:val="22"/>
        </w:rPr>
        <w:t xml:space="preserve">Company at 31 March </w:t>
      </w:r>
      <w:r w:rsidRPr="00840B04">
        <w:rPr>
          <w:sz w:val="22"/>
        </w:rPr>
        <w:t>is shown below:</w:t>
      </w:r>
    </w:p>
    <w:p w14:paraId="1EECD17C" w14:textId="77777777" w:rsidR="00FD4626" w:rsidRDefault="00FD4626" w:rsidP="003C752F">
      <w:pPr>
        <w:jc w:val="both"/>
        <w:rPr>
          <w:sz w:val="22"/>
        </w:rPr>
      </w:pPr>
    </w:p>
    <w:tbl>
      <w:tblPr>
        <w:tblW w:w="8806" w:type="dxa"/>
        <w:tblLayout w:type="fixed"/>
        <w:tblLook w:val="04A0" w:firstRow="1" w:lastRow="0" w:firstColumn="1" w:lastColumn="0" w:noHBand="0" w:noVBand="1"/>
      </w:tblPr>
      <w:tblGrid>
        <w:gridCol w:w="6237"/>
        <w:gridCol w:w="236"/>
        <w:gridCol w:w="1182"/>
        <w:gridCol w:w="1134"/>
        <w:gridCol w:w="17"/>
      </w:tblGrid>
      <w:tr w:rsidR="00915F08" w:rsidRPr="00FB3A1C" w14:paraId="060BF0CB" w14:textId="77777777" w:rsidTr="001A2C60">
        <w:trPr>
          <w:gridAfter w:val="1"/>
          <w:wAfter w:w="17" w:type="dxa"/>
          <w:trHeight w:val="263"/>
        </w:trPr>
        <w:tc>
          <w:tcPr>
            <w:tcW w:w="6237" w:type="dxa"/>
            <w:noWrap/>
          </w:tcPr>
          <w:p w14:paraId="360B7301" w14:textId="77777777" w:rsidR="00915F08" w:rsidRPr="00FB3A1C" w:rsidRDefault="00915F08" w:rsidP="00340898">
            <w:pPr>
              <w:rPr>
                <w:sz w:val="20"/>
                <w:szCs w:val="20"/>
              </w:rPr>
            </w:pPr>
          </w:p>
        </w:tc>
        <w:tc>
          <w:tcPr>
            <w:tcW w:w="1418" w:type="dxa"/>
            <w:gridSpan w:val="2"/>
            <w:noWrap/>
            <w:hideMark/>
          </w:tcPr>
          <w:p w14:paraId="2BD4087B" w14:textId="20A969DB" w:rsidR="00915F08" w:rsidRPr="001A2C60" w:rsidRDefault="00915F08" w:rsidP="00340898">
            <w:pPr>
              <w:jc w:val="center"/>
              <w:rPr>
                <w:b/>
                <w:bCs/>
                <w:sz w:val="22"/>
                <w:szCs w:val="22"/>
              </w:rPr>
            </w:pPr>
            <w:r w:rsidRPr="001A2C60">
              <w:rPr>
                <w:b/>
                <w:bCs/>
                <w:sz w:val="22"/>
                <w:szCs w:val="22"/>
              </w:rPr>
              <w:t>202</w:t>
            </w:r>
            <w:r w:rsidR="000D04D7">
              <w:rPr>
                <w:b/>
                <w:bCs/>
                <w:sz w:val="22"/>
                <w:szCs w:val="22"/>
              </w:rPr>
              <w:t>4</w:t>
            </w:r>
          </w:p>
        </w:tc>
        <w:tc>
          <w:tcPr>
            <w:tcW w:w="1134" w:type="dxa"/>
          </w:tcPr>
          <w:p w14:paraId="005633C0" w14:textId="4FB4D534" w:rsidR="00915F08" w:rsidRPr="001A2C60" w:rsidRDefault="00915F08" w:rsidP="00340898">
            <w:pPr>
              <w:jc w:val="center"/>
              <w:rPr>
                <w:b/>
                <w:bCs/>
                <w:sz w:val="22"/>
                <w:szCs w:val="22"/>
              </w:rPr>
            </w:pPr>
            <w:r w:rsidRPr="001A2C60">
              <w:rPr>
                <w:b/>
                <w:bCs/>
                <w:sz w:val="22"/>
                <w:szCs w:val="22"/>
              </w:rPr>
              <w:t>202</w:t>
            </w:r>
            <w:r w:rsidR="000D04D7">
              <w:rPr>
                <w:b/>
                <w:bCs/>
                <w:sz w:val="22"/>
                <w:szCs w:val="22"/>
              </w:rPr>
              <w:t>3</w:t>
            </w:r>
          </w:p>
        </w:tc>
      </w:tr>
      <w:tr w:rsidR="00915F08" w:rsidRPr="00FB3A1C" w14:paraId="513E9FCE" w14:textId="77777777" w:rsidTr="001A2C60">
        <w:trPr>
          <w:gridAfter w:val="1"/>
          <w:wAfter w:w="17" w:type="dxa"/>
          <w:trHeight w:val="263"/>
        </w:trPr>
        <w:tc>
          <w:tcPr>
            <w:tcW w:w="6237" w:type="dxa"/>
            <w:noWrap/>
            <w:hideMark/>
          </w:tcPr>
          <w:p w14:paraId="13215D63" w14:textId="77777777" w:rsidR="00915F08" w:rsidRPr="001A2C60" w:rsidRDefault="00915F08" w:rsidP="00340898">
            <w:pPr>
              <w:pStyle w:val="Heading7"/>
              <w:rPr>
                <w:sz w:val="22"/>
                <w:szCs w:val="22"/>
              </w:rPr>
            </w:pPr>
            <w:r w:rsidRPr="001A2C60">
              <w:rPr>
                <w:sz w:val="22"/>
                <w:szCs w:val="22"/>
              </w:rPr>
              <w:t xml:space="preserve">Social Housing </w:t>
            </w:r>
          </w:p>
        </w:tc>
        <w:tc>
          <w:tcPr>
            <w:tcW w:w="1418" w:type="dxa"/>
            <w:gridSpan w:val="2"/>
          </w:tcPr>
          <w:p w14:paraId="432C8F33" w14:textId="77777777" w:rsidR="00915F08" w:rsidRPr="001A2C60" w:rsidRDefault="00915F08" w:rsidP="00340898">
            <w:pPr>
              <w:jc w:val="center"/>
              <w:rPr>
                <w:sz w:val="22"/>
                <w:szCs w:val="22"/>
              </w:rPr>
            </w:pPr>
          </w:p>
        </w:tc>
        <w:tc>
          <w:tcPr>
            <w:tcW w:w="1134" w:type="dxa"/>
          </w:tcPr>
          <w:p w14:paraId="1F7E7441" w14:textId="77777777" w:rsidR="00915F08" w:rsidRPr="001A2C60" w:rsidRDefault="00915F08" w:rsidP="00340898">
            <w:pPr>
              <w:jc w:val="center"/>
              <w:rPr>
                <w:sz w:val="22"/>
                <w:szCs w:val="22"/>
              </w:rPr>
            </w:pPr>
          </w:p>
        </w:tc>
      </w:tr>
      <w:tr w:rsidR="000D04D7" w:rsidRPr="00FB3A1C" w14:paraId="7D9C9D93" w14:textId="77777777" w:rsidTr="001A2C60">
        <w:trPr>
          <w:gridAfter w:val="1"/>
          <w:wAfter w:w="17" w:type="dxa"/>
          <w:trHeight w:val="263"/>
        </w:trPr>
        <w:tc>
          <w:tcPr>
            <w:tcW w:w="6237" w:type="dxa"/>
            <w:noWrap/>
            <w:hideMark/>
          </w:tcPr>
          <w:p w14:paraId="6A857288" w14:textId="77777777" w:rsidR="000D04D7" w:rsidRPr="001A2C60" w:rsidRDefault="000D04D7" w:rsidP="000D04D7">
            <w:pPr>
              <w:rPr>
                <w:sz w:val="22"/>
                <w:szCs w:val="22"/>
              </w:rPr>
            </w:pPr>
            <w:r w:rsidRPr="001A2C60">
              <w:rPr>
                <w:sz w:val="22"/>
                <w:szCs w:val="22"/>
              </w:rPr>
              <w:t>General needs</w:t>
            </w:r>
          </w:p>
        </w:tc>
        <w:tc>
          <w:tcPr>
            <w:tcW w:w="1418" w:type="dxa"/>
            <w:gridSpan w:val="2"/>
            <w:noWrap/>
            <w:vAlign w:val="bottom"/>
          </w:tcPr>
          <w:p w14:paraId="2CA0953E" w14:textId="25DFC454" w:rsidR="000D04D7" w:rsidRPr="001A2C60" w:rsidRDefault="00D27EEF" w:rsidP="000D04D7">
            <w:pPr>
              <w:jc w:val="center"/>
              <w:rPr>
                <w:sz w:val="22"/>
                <w:szCs w:val="22"/>
              </w:rPr>
            </w:pPr>
            <w:r>
              <w:rPr>
                <w:sz w:val="22"/>
                <w:szCs w:val="22"/>
              </w:rPr>
              <w:t>9,824</w:t>
            </w:r>
          </w:p>
        </w:tc>
        <w:tc>
          <w:tcPr>
            <w:tcW w:w="1134" w:type="dxa"/>
            <w:vAlign w:val="bottom"/>
          </w:tcPr>
          <w:p w14:paraId="278A3EEC" w14:textId="0D349F7D" w:rsidR="000D04D7" w:rsidRPr="001A2C60" w:rsidRDefault="000D04D7" w:rsidP="000D04D7">
            <w:pPr>
              <w:jc w:val="center"/>
              <w:rPr>
                <w:sz w:val="22"/>
                <w:szCs w:val="22"/>
              </w:rPr>
            </w:pPr>
            <w:r w:rsidRPr="001A2C60">
              <w:rPr>
                <w:sz w:val="22"/>
                <w:szCs w:val="22"/>
              </w:rPr>
              <w:t>9,79</w:t>
            </w:r>
            <w:r>
              <w:rPr>
                <w:sz w:val="22"/>
                <w:szCs w:val="22"/>
              </w:rPr>
              <w:t>0</w:t>
            </w:r>
          </w:p>
        </w:tc>
      </w:tr>
      <w:tr w:rsidR="000D04D7" w:rsidRPr="00FB3A1C" w14:paraId="29D8A139" w14:textId="77777777" w:rsidTr="001A2C60">
        <w:trPr>
          <w:gridAfter w:val="1"/>
          <w:wAfter w:w="17" w:type="dxa"/>
          <w:trHeight w:val="263"/>
        </w:trPr>
        <w:tc>
          <w:tcPr>
            <w:tcW w:w="6237" w:type="dxa"/>
            <w:noWrap/>
            <w:hideMark/>
          </w:tcPr>
          <w:p w14:paraId="7C56194B" w14:textId="77777777" w:rsidR="000D04D7" w:rsidRPr="001A2C60" w:rsidRDefault="000D04D7" w:rsidP="000D04D7">
            <w:pPr>
              <w:rPr>
                <w:sz w:val="22"/>
                <w:szCs w:val="22"/>
              </w:rPr>
            </w:pPr>
            <w:r w:rsidRPr="001A2C60">
              <w:rPr>
                <w:sz w:val="22"/>
                <w:szCs w:val="22"/>
              </w:rPr>
              <w:t>Supported housing</w:t>
            </w:r>
          </w:p>
        </w:tc>
        <w:tc>
          <w:tcPr>
            <w:tcW w:w="1418" w:type="dxa"/>
            <w:gridSpan w:val="2"/>
            <w:tcBorders>
              <w:bottom w:val="single" w:sz="4" w:space="0" w:color="auto"/>
            </w:tcBorders>
            <w:noWrap/>
            <w:vAlign w:val="bottom"/>
          </w:tcPr>
          <w:p w14:paraId="617347E8" w14:textId="6B4842B8" w:rsidR="000D04D7" w:rsidRPr="001A2C60" w:rsidRDefault="00D27EEF" w:rsidP="000D04D7">
            <w:pPr>
              <w:jc w:val="center"/>
              <w:rPr>
                <w:sz w:val="22"/>
                <w:szCs w:val="22"/>
              </w:rPr>
            </w:pPr>
            <w:r>
              <w:rPr>
                <w:sz w:val="22"/>
                <w:szCs w:val="22"/>
              </w:rPr>
              <w:t>272</w:t>
            </w:r>
          </w:p>
        </w:tc>
        <w:tc>
          <w:tcPr>
            <w:tcW w:w="1134" w:type="dxa"/>
            <w:tcBorders>
              <w:bottom w:val="single" w:sz="4" w:space="0" w:color="auto"/>
            </w:tcBorders>
            <w:vAlign w:val="bottom"/>
          </w:tcPr>
          <w:p w14:paraId="1E9A8B24" w14:textId="79ACF71B" w:rsidR="000D04D7" w:rsidRPr="001A2C60" w:rsidRDefault="000D04D7" w:rsidP="000D04D7">
            <w:pPr>
              <w:jc w:val="center"/>
              <w:rPr>
                <w:sz w:val="22"/>
                <w:szCs w:val="22"/>
              </w:rPr>
            </w:pPr>
            <w:r w:rsidRPr="001A2C60">
              <w:rPr>
                <w:sz w:val="22"/>
                <w:szCs w:val="22"/>
              </w:rPr>
              <w:t>272</w:t>
            </w:r>
          </w:p>
        </w:tc>
      </w:tr>
      <w:tr w:rsidR="000D04D7" w:rsidRPr="00FB3A1C" w14:paraId="7CECD9E3" w14:textId="77777777" w:rsidTr="001A2C60">
        <w:trPr>
          <w:gridAfter w:val="1"/>
          <w:wAfter w:w="17" w:type="dxa"/>
          <w:trHeight w:val="296"/>
        </w:trPr>
        <w:tc>
          <w:tcPr>
            <w:tcW w:w="6237" w:type="dxa"/>
            <w:noWrap/>
            <w:hideMark/>
          </w:tcPr>
          <w:p w14:paraId="43123C4E" w14:textId="77777777" w:rsidR="000D04D7" w:rsidRPr="001A2C60" w:rsidRDefault="000D04D7" w:rsidP="000D04D7">
            <w:pPr>
              <w:rPr>
                <w:bCs/>
                <w:sz w:val="22"/>
                <w:szCs w:val="22"/>
              </w:rPr>
            </w:pPr>
            <w:r w:rsidRPr="001A2C60">
              <w:rPr>
                <w:bCs/>
                <w:sz w:val="22"/>
                <w:szCs w:val="22"/>
              </w:rPr>
              <w:t>Housing held for long-term letting</w:t>
            </w:r>
          </w:p>
        </w:tc>
        <w:tc>
          <w:tcPr>
            <w:tcW w:w="1418" w:type="dxa"/>
            <w:gridSpan w:val="2"/>
            <w:tcBorders>
              <w:top w:val="single" w:sz="4" w:space="0" w:color="auto"/>
            </w:tcBorders>
          </w:tcPr>
          <w:p w14:paraId="4646ADFF" w14:textId="7AB95F87" w:rsidR="000D04D7" w:rsidRPr="001A2C60" w:rsidRDefault="00D27EEF" w:rsidP="000D04D7">
            <w:pPr>
              <w:jc w:val="center"/>
              <w:rPr>
                <w:sz w:val="22"/>
                <w:szCs w:val="22"/>
              </w:rPr>
            </w:pPr>
            <w:r>
              <w:rPr>
                <w:sz w:val="22"/>
                <w:szCs w:val="22"/>
              </w:rPr>
              <w:t>10,096</w:t>
            </w:r>
          </w:p>
        </w:tc>
        <w:tc>
          <w:tcPr>
            <w:tcW w:w="1134" w:type="dxa"/>
            <w:tcBorders>
              <w:top w:val="single" w:sz="4" w:space="0" w:color="auto"/>
            </w:tcBorders>
          </w:tcPr>
          <w:p w14:paraId="208DD9E5" w14:textId="7C2CB00A" w:rsidR="000D04D7" w:rsidRPr="001A2C60" w:rsidRDefault="000D04D7" w:rsidP="000D04D7">
            <w:pPr>
              <w:jc w:val="center"/>
              <w:rPr>
                <w:sz w:val="22"/>
                <w:szCs w:val="22"/>
              </w:rPr>
            </w:pPr>
            <w:r w:rsidRPr="001A2C60">
              <w:rPr>
                <w:sz w:val="22"/>
                <w:szCs w:val="22"/>
              </w:rPr>
              <w:t>10,0</w:t>
            </w:r>
            <w:r>
              <w:rPr>
                <w:sz w:val="22"/>
                <w:szCs w:val="22"/>
              </w:rPr>
              <w:t>62</w:t>
            </w:r>
          </w:p>
        </w:tc>
      </w:tr>
      <w:tr w:rsidR="000D04D7" w:rsidRPr="00FB3A1C" w14:paraId="218551EE" w14:textId="77777777" w:rsidTr="001A2C60">
        <w:trPr>
          <w:gridAfter w:val="1"/>
          <w:wAfter w:w="17" w:type="dxa"/>
          <w:trHeight w:val="263"/>
        </w:trPr>
        <w:tc>
          <w:tcPr>
            <w:tcW w:w="6237" w:type="dxa"/>
            <w:noWrap/>
          </w:tcPr>
          <w:p w14:paraId="256FE668" w14:textId="77777777" w:rsidR="000D04D7" w:rsidRPr="001A2C60" w:rsidRDefault="000D04D7" w:rsidP="000D04D7">
            <w:pPr>
              <w:rPr>
                <w:bCs/>
                <w:sz w:val="22"/>
                <w:szCs w:val="22"/>
              </w:rPr>
            </w:pPr>
          </w:p>
        </w:tc>
        <w:tc>
          <w:tcPr>
            <w:tcW w:w="1418" w:type="dxa"/>
            <w:gridSpan w:val="2"/>
          </w:tcPr>
          <w:p w14:paraId="7E4EC04C" w14:textId="77777777" w:rsidR="000D04D7" w:rsidRPr="001A2C60" w:rsidRDefault="000D04D7" w:rsidP="000D04D7">
            <w:pPr>
              <w:jc w:val="center"/>
              <w:rPr>
                <w:sz w:val="22"/>
                <w:szCs w:val="22"/>
              </w:rPr>
            </w:pPr>
          </w:p>
        </w:tc>
        <w:tc>
          <w:tcPr>
            <w:tcW w:w="1134" w:type="dxa"/>
          </w:tcPr>
          <w:p w14:paraId="2E34253D" w14:textId="77777777" w:rsidR="000D04D7" w:rsidRPr="001A2C60" w:rsidRDefault="000D04D7" w:rsidP="000D04D7">
            <w:pPr>
              <w:jc w:val="center"/>
              <w:rPr>
                <w:sz w:val="22"/>
                <w:szCs w:val="22"/>
              </w:rPr>
            </w:pPr>
          </w:p>
        </w:tc>
      </w:tr>
      <w:tr w:rsidR="000D04D7" w:rsidRPr="00FB3A1C" w14:paraId="7B97A351" w14:textId="77777777" w:rsidTr="001A2C60">
        <w:trPr>
          <w:gridAfter w:val="1"/>
          <w:wAfter w:w="17" w:type="dxa"/>
          <w:trHeight w:val="263"/>
        </w:trPr>
        <w:tc>
          <w:tcPr>
            <w:tcW w:w="6237" w:type="dxa"/>
            <w:noWrap/>
            <w:hideMark/>
          </w:tcPr>
          <w:p w14:paraId="12A4D6DA" w14:textId="77777777" w:rsidR="000D04D7" w:rsidRPr="001A2C60" w:rsidRDefault="000D04D7" w:rsidP="000D04D7">
            <w:pPr>
              <w:rPr>
                <w:bCs/>
                <w:sz w:val="22"/>
                <w:szCs w:val="22"/>
              </w:rPr>
            </w:pPr>
            <w:r w:rsidRPr="001A2C60">
              <w:rPr>
                <w:bCs/>
                <w:sz w:val="22"/>
                <w:szCs w:val="22"/>
              </w:rPr>
              <w:t>Housing approved/planned for demolition</w:t>
            </w:r>
          </w:p>
        </w:tc>
        <w:tc>
          <w:tcPr>
            <w:tcW w:w="1418" w:type="dxa"/>
            <w:gridSpan w:val="2"/>
            <w:tcBorders>
              <w:top w:val="nil"/>
              <w:left w:val="nil"/>
              <w:bottom w:val="single" w:sz="4" w:space="0" w:color="auto"/>
              <w:right w:val="nil"/>
            </w:tcBorders>
          </w:tcPr>
          <w:p w14:paraId="02268288" w14:textId="2B8C1900" w:rsidR="000D04D7" w:rsidRPr="001A2C60" w:rsidRDefault="00D27EEF" w:rsidP="000D04D7">
            <w:pPr>
              <w:jc w:val="center"/>
              <w:rPr>
                <w:sz w:val="22"/>
                <w:szCs w:val="22"/>
              </w:rPr>
            </w:pPr>
            <w:r>
              <w:rPr>
                <w:sz w:val="22"/>
                <w:szCs w:val="22"/>
              </w:rPr>
              <w:t>176</w:t>
            </w:r>
          </w:p>
        </w:tc>
        <w:tc>
          <w:tcPr>
            <w:tcW w:w="1134" w:type="dxa"/>
            <w:tcBorders>
              <w:top w:val="nil"/>
              <w:left w:val="nil"/>
              <w:bottom w:val="single" w:sz="4" w:space="0" w:color="auto"/>
              <w:right w:val="nil"/>
            </w:tcBorders>
          </w:tcPr>
          <w:p w14:paraId="1A6A504F" w14:textId="6037DA2E" w:rsidR="000D04D7" w:rsidRPr="001A2C60" w:rsidRDefault="000D04D7" w:rsidP="000D04D7">
            <w:pPr>
              <w:jc w:val="center"/>
              <w:rPr>
                <w:sz w:val="22"/>
                <w:szCs w:val="22"/>
              </w:rPr>
            </w:pPr>
            <w:r w:rsidRPr="001A2C60">
              <w:rPr>
                <w:sz w:val="22"/>
                <w:szCs w:val="22"/>
              </w:rPr>
              <w:t>1</w:t>
            </w:r>
            <w:r>
              <w:rPr>
                <w:sz w:val="22"/>
                <w:szCs w:val="22"/>
              </w:rPr>
              <w:t>85</w:t>
            </w:r>
          </w:p>
        </w:tc>
      </w:tr>
      <w:tr w:rsidR="000D04D7" w14:paraId="616D4D21" w14:textId="77777777" w:rsidTr="001A2C60">
        <w:trPr>
          <w:gridAfter w:val="1"/>
          <w:wAfter w:w="17" w:type="dxa"/>
          <w:trHeight w:val="263"/>
        </w:trPr>
        <w:tc>
          <w:tcPr>
            <w:tcW w:w="6237" w:type="dxa"/>
            <w:noWrap/>
            <w:hideMark/>
          </w:tcPr>
          <w:p w14:paraId="03614940" w14:textId="77777777" w:rsidR="000D04D7" w:rsidRPr="001A2C60" w:rsidRDefault="000D04D7" w:rsidP="000D04D7">
            <w:pPr>
              <w:rPr>
                <w:bCs/>
                <w:sz w:val="22"/>
                <w:szCs w:val="22"/>
              </w:rPr>
            </w:pPr>
            <w:r w:rsidRPr="001A2C60">
              <w:rPr>
                <w:bCs/>
                <w:sz w:val="22"/>
                <w:szCs w:val="22"/>
              </w:rPr>
              <w:t>Total Units</w:t>
            </w:r>
          </w:p>
        </w:tc>
        <w:tc>
          <w:tcPr>
            <w:tcW w:w="1418" w:type="dxa"/>
            <w:gridSpan w:val="2"/>
            <w:tcBorders>
              <w:top w:val="nil"/>
              <w:left w:val="nil"/>
              <w:bottom w:val="single" w:sz="4" w:space="0" w:color="auto"/>
              <w:right w:val="nil"/>
            </w:tcBorders>
          </w:tcPr>
          <w:p w14:paraId="25B28398" w14:textId="5B1E99BD" w:rsidR="000D04D7" w:rsidRPr="001A2C60" w:rsidRDefault="00D27EEF" w:rsidP="000D04D7">
            <w:pPr>
              <w:jc w:val="center"/>
              <w:rPr>
                <w:sz w:val="22"/>
                <w:szCs w:val="22"/>
              </w:rPr>
            </w:pPr>
            <w:r>
              <w:rPr>
                <w:sz w:val="22"/>
                <w:szCs w:val="22"/>
              </w:rPr>
              <w:t>10,272</w:t>
            </w:r>
          </w:p>
        </w:tc>
        <w:tc>
          <w:tcPr>
            <w:tcW w:w="1134" w:type="dxa"/>
            <w:tcBorders>
              <w:top w:val="nil"/>
              <w:left w:val="nil"/>
              <w:bottom w:val="single" w:sz="4" w:space="0" w:color="auto"/>
              <w:right w:val="nil"/>
            </w:tcBorders>
          </w:tcPr>
          <w:p w14:paraId="4C6F35BC" w14:textId="52028CB5" w:rsidR="000D04D7" w:rsidRPr="001A2C60" w:rsidRDefault="000D04D7" w:rsidP="000D04D7">
            <w:pPr>
              <w:jc w:val="center"/>
              <w:rPr>
                <w:sz w:val="22"/>
                <w:szCs w:val="22"/>
              </w:rPr>
            </w:pPr>
            <w:r w:rsidRPr="001A2C60">
              <w:rPr>
                <w:sz w:val="22"/>
                <w:szCs w:val="22"/>
              </w:rPr>
              <w:t>10,247</w:t>
            </w:r>
          </w:p>
        </w:tc>
      </w:tr>
      <w:tr w:rsidR="00915F08" w14:paraId="48F6772B" w14:textId="77777777" w:rsidTr="001A2C60">
        <w:trPr>
          <w:trHeight w:val="263"/>
        </w:trPr>
        <w:tc>
          <w:tcPr>
            <w:tcW w:w="6237" w:type="dxa"/>
            <w:noWrap/>
          </w:tcPr>
          <w:p w14:paraId="3934D10B" w14:textId="77777777" w:rsidR="00915F08" w:rsidRPr="00362387" w:rsidRDefault="00915F08" w:rsidP="00340898">
            <w:pPr>
              <w:rPr>
                <w:b/>
                <w:bCs/>
                <w:color w:val="FF0000"/>
                <w:sz w:val="20"/>
                <w:szCs w:val="20"/>
              </w:rPr>
            </w:pPr>
          </w:p>
        </w:tc>
        <w:tc>
          <w:tcPr>
            <w:tcW w:w="236" w:type="dxa"/>
            <w:tcBorders>
              <w:top w:val="single" w:sz="4" w:space="0" w:color="auto"/>
              <w:left w:val="nil"/>
              <w:bottom w:val="nil"/>
              <w:right w:val="nil"/>
            </w:tcBorders>
            <w:noWrap/>
          </w:tcPr>
          <w:p w14:paraId="3A44559C" w14:textId="77777777" w:rsidR="00915F08" w:rsidRPr="003B6F5D" w:rsidRDefault="00915F08" w:rsidP="00340898">
            <w:pPr>
              <w:jc w:val="right"/>
              <w:rPr>
                <w:b/>
                <w:color w:val="FF0000"/>
                <w:sz w:val="20"/>
                <w:szCs w:val="20"/>
              </w:rPr>
            </w:pPr>
          </w:p>
        </w:tc>
        <w:tc>
          <w:tcPr>
            <w:tcW w:w="2333" w:type="dxa"/>
            <w:gridSpan w:val="3"/>
            <w:tcBorders>
              <w:top w:val="single" w:sz="4" w:space="0" w:color="auto"/>
              <w:left w:val="nil"/>
              <w:bottom w:val="nil"/>
              <w:right w:val="nil"/>
            </w:tcBorders>
          </w:tcPr>
          <w:p w14:paraId="6A950781" w14:textId="77777777" w:rsidR="00915F08" w:rsidRPr="003B6F5D" w:rsidRDefault="00915F08" w:rsidP="00340898">
            <w:pPr>
              <w:jc w:val="right"/>
              <w:rPr>
                <w:b/>
                <w:color w:val="FF0000"/>
                <w:sz w:val="20"/>
                <w:szCs w:val="20"/>
              </w:rPr>
            </w:pPr>
          </w:p>
        </w:tc>
      </w:tr>
    </w:tbl>
    <w:p w14:paraId="71A501ED" w14:textId="77777777" w:rsidR="00261CCC" w:rsidRDefault="00261CCC" w:rsidP="003965A4">
      <w:pPr>
        <w:jc w:val="both"/>
        <w:rPr>
          <w:b/>
          <w:sz w:val="22"/>
          <w:szCs w:val="22"/>
        </w:rPr>
      </w:pPr>
    </w:p>
    <w:p w14:paraId="31A7FF44" w14:textId="27D32C9F" w:rsidR="003965A4" w:rsidRPr="003965A4" w:rsidRDefault="003965A4" w:rsidP="003965A4">
      <w:pPr>
        <w:jc w:val="both"/>
        <w:rPr>
          <w:sz w:val="22"/>
        </w:rPr>
      </w:pPr>
      <w:r w:rsidRPr="005C5CB0">
        <w:rPr>
          <w:b/>
          <w:sz w:val="22"/>
          <w:szCs w:val="22"/>
        </w:rPr>
        <w:t>1</w:t>
      </w:r>
      <w:r w:rsidR="00AF5224">
        <w:rPr>
          <w:b/>
          <w:sz w:val="22"/>
          <w:szCs w:val="22"/>
        </w:rPr>
        <w:t>5</w:t>
      </w:r>
      <w:r w:rsidRPr="005C5CB0">
        <w:rPr>
          <w:b/>
          <w:sz w:val="22"/>
          <w:szCs w:val="22"/>
        </w:rPr>
        <w:t>.</w:t>
      </w:r>
      <w:r w:rsidRPr="005C5CB0">
        <w:rPr>
          <w:b/>
          <w:sz w:val="22"/>
          <w:szCs w:val="22"/>
        </w:rPr>
        <w:tab/>
      </w:r>
      <w:r>
        <w:rPr>
          <w:b/>
          <w:sz w:val="22"/>
          <w:szCs w:val="22"/>
        </w:rPr>
        <w:t xml:space="preserve">Other Tangible Fixed Assets </w:t>
      </w:r>
    </w:p>
    <w:tbl>
      <w:tblPr>
        <w:tblpPr w:leftFromText="180" w:rightFromText="180" w:vertAnchor="text" w:horzAnchor="margin" w:tblpXSpec="center" w:tblpY="183"/>
        <w:tblW w:w="8364" w:type="dxa"/>
        <w:tblLook w:val="04A0" w:firstRow="1" w:lastRow="0" w:firstColumn="1" w:lastColumn="0" w:noHBand="0" w:noVBand="1"/>
      </w:tblPr>
      <w:tblGrid>
        <w:gridCol w:w="2679"/>
        <w:gridCol w:w="307"/>
        <w:gridCol w:w="307"/>
        <w:gridCol w:w="1534"/>
        <w:gridCol w:w="307"/>
        <w:gridCol w:w="1534"/>
        <w:gridCol w:w="303"/>
        <w:gridCol w:w="542"/>
        <w:gridCol w:w="851"/>
      </w:tblGrid>
      <w:tr w:rsidR="007F6E07" w:rsidRPr="00A13342" w14:paraId="2D12F2F4" w14:textId="77777777" w:rsidTr="00F04B1D">
        <w:trPr>
          <w:trHeight w:val="790"/>
        </w:trPr>
        <w:tc>
          <w:tcPr>
            <w:tcW w:w="2679" w:type="dxa"/>
            <w:shd w:val="clear" w:color="auto" w:fill="auto"/>
            <w:noWrap/>
            <w:vAlign w:val="bottom"/>
            <w:hideMark/>
          </w:tcPr>
          <w:p w14:paraId="14F89A10" w14:textId="77777777" w:rsidR="007F6E07" w:rsidRPr="005C5CB0" w:rsidRDefault="007F6E07" w:rsidP="003162ED">
            <w:pPr>
              <w:rPr>
                <w:sz w:val="22"/>
                <w:szCs w:val="22"/>
              </w:rPr>
            </w:pPr>
          </w:p>
        </w:tc>
        <w:tc>
          <w:tcPr>
            <w:tcW w:w="307" w:type="dxa"/>
          </w:tcPr>
          <w:p w14:paraId="203B20CC" w14:textId="77777777" w:rsidR="007F6E07" w:rsidRDefault="007F6E07" w:rsidP="003162ED">
            <w:pPr>
              <w:jc w:val="right"/>
              <w:rPr>
                <w:b/>
                <w:bCs/>
                <w:sz w:val="20"/>
                <w:szCs w:val="22"/>
              </w:rPr>
            </w:pPr>
          </w:p>
        </w:tc>
        <w:tc>
          <w:tcPr>
            <w:tcW w:w="307" w:type="dxa"/>
          </w:tcPr>
          <w:p w14:paraId="1765E271" w14:textId="77777777" w:rsidR="007F6E07" w:rsidRPr="00A13342" w:rsidRDefault="007F6E07" w:rsidP="003162ED">
            <w:pPr>
              <w:jc w:val="right"/>
              <w:rPr>
                <w:b/>
                <w:bCs/>
                <w:sz w:val="20"/>
                <w:szCs w:val="22"/>
              </w:rPr>
            </w:pPr>
          </w:p>
        </w:tc>
        <w:tc>
          <w:tcPr>
            <w:tcW w:w="1534" w:type="dxa"/>
            <w:vAlign w:val="bottom"/>
          </w:tcPr>
          <w:p w14:paraId="3AACC299" w14:textId="77777777" w:rsidR="007F6E07" w:rsidRPr="00A13342" w:rsidRDefault="007F6E07" w:rsidP="003162ED">
            <w:pPr>
              <w:jc w:val="right"/>
              <w:rPr>
                <w:b/>
                <w:bCs/>
                <w:sz w:val="20"/>
                <w:szCs w:val="22"/>
              </w:rPr>
            </w:pPr>
            <w:r>
              <w:rPr>
                <w:b/>
                <w:bCs/>
                <w:sz w:val="20"/>
                <w:szCs w:val="22"/>
              </w:rPr>
              <w:t>Office Property</w:t>
            </w:r>
          </w:p>
        </w:tc>
        <w:tc>
          <w:tcPr>
            <w:tcW w:w="307" w:type="dxa"/>
            <w:shd w:val="clear" w:color="auto" w:fill="auto"/>
            <w:noWrap/>
            <w:vAlign w:val="bottom"/>
            <w:hideMark/>
          </w:tcPr>
          <w:p w14:paraId="10B22E3E" w14:textId="77777777" w:rsidR="007F6E07" w:rsidRPr="00A13342" w:rsidRDefault="007F6E07" w:rsidP="003162ED">
            <w:pPr>
              <w:jc w:val="right"/>
              <w:rPr>
                <w:b/>
                <w:bCs/>
                <w:sz w:val="20"/>
                <w:szCs w:val="22"/>
              </w:rPr>
            </w:pPr>
          </w:p>
        </w:tc>
        <w:tc>
          <w:tcPr>
            <w:tcW w:w="1534" w:type="dxa"/>
            <w:shd w:val="clear" w:color="auto" w:fill="auto"/>
            <w:noWrap/>
            <w:vAlign w:val="bottom"/>
            <w:hideMark/>
          </w:tcPr>
          <w:p w14:paraId="1EA4BF04" w14:textId="77777777" w:rsidR="007F6E07" w:rsidRPr="00A13342" w:rsidRDefault="007F6E07" w:rsidP="003162ED">
            <w:pPr>
              <w:jc w:val="right"/>
              <w:rPr>
                <w:b/>
                <w:bCs/>
                <w:sz w:val="20"/>
                <w:szCs w:val="22"/>
              </w:rPr>
            </w:pPr>
            <w:r w:rsidRPr="00A13342">
              <w:rPr>
                <w:b/>
                <w:bCs/>
                <w:sz w:val="20"/>
                <w:szCs w:val="22"/>
              </w:rPr>
              <w:t>Furniture, fittings &amp;</w:t>
            </w:r>
          </w:p>
          <w:p w14:paraId="3140C2AA" w14:textId="77777777" w:rsidR="007F6E07" w:rsidRPr="00A13342" w:rsidRDefault="007F6E07" w:rsidP="003162ED">
            <w:pPr>
              <w:jc w:val="right"/>
              <w:rPr>
                <w:b/>
                <w:bCs/>
                <w:sz w:val="20"/>
                <w:szCs w:val="22"/>
              </w:rPr>
            </w:pPr>
            <w:r w:rsidRPr="00A13342">
              <w:rPr>
                <w:b/>
                <w:bCs/>
                <w:sz w:val="20"/>
                <w:szCs w:val="22"/>
              </w:rPr>
              <w:t>Equipment</w:t>
            </w:r>
          </w:p>
        </w:tc>
        <w:tc>
          <w:tcPr>
            <w:tcW w:w="303" w:type="dxa"/>
            <w:shd w:val="clear" w:color="auto" w:fill="auto"/>
            <w:noWrap/>
            <w:vAlign w:val="bottom"/>
            <w:hideMark/>
          </w:tcPr>
          <w:p w14:paraId="1C78AECE" w14:textId="77777777" w:rsidR="007F6E07" w:rsidRPr="00A13342" w:rsidRDefault="007F6E07" w:rsidP="003162ED">
            <w:pPr>
              <w:jc w:val="right"/>
              <w:rPr>
                <w:b/>
                <w:bCs/>
                <w:sz w:val="20"/>
                <w:szCs w:val="22"/>
              </w:rPr>
            </w:pPr>
          </w:p>
        </w:tc>
        <w:tc>
          <w:tcPr>
            <w:tcW w:w="542" w:type="dxa"/>
            <w:shd w:val="clear" w:color="auto" w:fill="auto"/>
            <w:noWrap/>
            <w:vAlign w:val="bottom"/>
            <w:hideMark/>
          </w:tcPr>
          <w:p w14:paraId="3792EDF1" w14:textId="77777777" w:rsidR="007F6E07" w:rsidRPr="00A13342" w:rsidRDefault="007F6E07" w:rsidP="003162ED">
            <w:pPr>
              <w:jc w:val="right"/>
              <w:rPr>
                <w:b/>
                <w:bCs/>
                <w:sz w:val="20"/>
                <w:szCs w:val="22"/>
              </w:rPr>
            </w:pPr>
          </w:p>
        </w:tc>
        <w:tc>
          <w:tcPr>
            <w:tcW w:w="851" w:type="dxa"/>
            <w:shd w:val="clear" w:color="auto" w:fill="auto"/>
            <w:noWrap/>
            <w:vAlign w:val="bottom"/>
            <w:hideMark/>
          </w:tcPr>
          <w:p w14:paraId="1ABF0441" w14:textId="626A762A" w:rsidR="007F6E07" w:rsidRPr="00A13342" w:rsidRDefault="007F6E07" w:rsidP="003162ED">
            <w:pPr>
              <w:jc w:val="right"/>
              <w:rPr>
                <w:b/>
                <w:bCs/>
                <w:sz w:val="20"/>
                <w:szCs w:val="22"/>
              </w:rPr>
            </w:pPr>
            <w:r w:rsidRPr="00A13342">
              <w:rPr>
                <w:b/>
                <w:bCs/>
                <w:sz w:val="20"/>
                <w:szCs w:val="22"/>
              </w:rPr>
              <w:t>Total</w:t>
            </w:r>
          </w:p>
        </w:tc>
      </w:tr>
      <w:tr w:rsidR="007F6E07" w:rsidRPr="005C5CB0" w14:paraId="4C01385F" w14:textId="77777777" w:rsidTr="00F04B1D">
        <w:trPr>
          <w:trHeight w:val="312"/>
        </w:trPr>
        <w:tc>
          <w:tcPr>
            <w:tcW w:w="2679" w:type="dxa"/>
            <w:shd w:val="clear" w:color="auto" w:fill="auto"/>
            <w:noWrap/>
            <w:vAlign w:val="bottom"/>
            <w:hideMark/>
          </w:tcPr>
          <w:p w14:paraId="4AFF3D1A" w14:textId="77777777" w:rsidR="007F6E07" w:rsidRPr="005C5CB0" w:rsidRDefault="007F6E07" w:rsidP="003162ED">
            <w:pPr>
              <w:rPr>
                <w:sz w:val="22"/>
                <w:szCs w:val="22"/>
              </w:rPr>
            </w:pPr>
          </w:p>
        </w:tc>
        <w:tc>
          <w:tcPr>
            <w:tcW w:w="307" w:type="dxa"/>
          </w:tcPr>
          <w:p w14:paraId="3CD7ECB5" w14:textId="77777777" w:rsidR="007F6E07" w:rsidRPr="00B7405E" w:rsidRDefault="007F6E07" w:rsidP="003162ED">
            <w:pPr>
              <w:jc w:val="right"/>
              <w:rPr>
                <w:b/>
                <w:sz w:val="20"/>
                <w:szCs w:val="22"/>
              </w:rPr>
            </w:pPr>
          </w:p>
        </w:tc>
        <w:tc>
          <w:tcPr>
            <w:tcW w:w="307" w:type="dxa"/>
          </w:tcPr>
          <w:p w14:paraId="42A0A290" w14:textId="77777777" w:rsidR="007F6E07" w:rsidRPr="00B7405E" w:rsidRDefault="007F6E07" w:rsidP="003162ED">
            <w:pPr>
              <w:jc w:val="right"/>
              <w:rPr>
                <w:b/>
                <w:sz w:val="20"/>
                <w:szCs w:val="22"/>
              </w:rPr>
            </w:pPr>
          </w:p>
        </w:tc>
        <w:tc>
          <w:tcPr>
            <w:tcW w:w="1534" w:type="dxa"/>
            <w:vAlign w:val="center"/>
          </w:tcPr>
          <w:p w14:paraId="27893ABE" w14:textId="77777777" w:rsidR="007F6E07" w:rsidRPr="00B7405E" w:rsidRDefault="007F6E07" w:rsidP="003162ED">
            <w:pPr>
              <w:jc w:val="right"/>
              <w:rPr>
                <w:b/>
                <w:sz w:val="20"/>
                <w:szCs w:val="22"/>
              </w:rPr>
            </w:pPr>
            <w:r w:rsidRPr="00B7405E">
              <w:rPr>
                <w:b/>
                <w:sz w:val="20"/>
                <w:szCs w:val="22"/>
              </w:rPr>
              <w:t>£’000</w:t>
            </w:r>
          </w:p>
        </w:tc>
        <w:tc>
          <w:tcPr>
            <w:tcW w:w="307" w:type="dxa"/>
            <w:shd w:val="clear" w:color="auto" w:fill="auto"/>
            <w:noWrap/>
            <w:vAlign w:val="center"/>
            <w:hideMark/>
          </w:tcPr>
          <w:p w14:paraId="569F48FD" w14:textId="77777777" w:rsidR="007F6E07" w:rsidRPr="00B7405E" w:rsidRDefault="007F6E07" w:rsidP="003162ED">
            <w:pPr>
              <w:jc w:val="right"/>
              <w:rPr>
                <w:b/>
                <w:bCs/>
                <w:sz w:val="20"/>
                <w:szCs w:val="22"/>
              </w:rPr>
            </w:pPr>
          </w:p>
        </w:tc>
        <w:tc>
          <w:tcPr>
            <w:tcW w:w="1534" w:type="dxa"/>
            <w:shd w:val="clear" w:color="auto" w:fill="auto"/>
            <w:noWrap/>
            <w:vAlign w:val="center"/>
            <w:hideMark/>
          </w:tcPr>
          <w:p w14:paraId="37BFF411" w14:textId="77777777" w:rsidR="007F6E07" w:rsidRPr="00B7405E" w:rsidRDefault="007F6E07" w:rsidP="003162ED">
            <w:pPr>
              <w:jc w:val="right"/>
              <w:rPr>
                <w:b/>
                <w:bCs/>
                <w:sz w:val="20"/>
                <w:szCs w:val="22"/>
              </w:rPr>
            </w:pPr>
            <w:r w:rsidRPr="00B7405E">
              <w:rPr>
                <w:b/>
                <w:sz w:val="20"/>
                <w:szCs w:val="22"/>
              </w:rPr>
              <w:t>£’000</w:t>
            </w:r>
          </w:p>
        </w:tc>
        <w:tc>
          <w:tcPr>
            <w:tcW w:w="303" w:type="dxa"/>
            <w:shd w:val="clear" w:color="auto" w:fill="auto"/>
            <w:noWrap/>
            <w:vAlign w:val="center"/>
            <w:hideMark/>
          </w:tcPr>
          <w:p w14:paraId="5A030811" w14:textId="77777777" w:rsidR="007F6E07" w:rsidRPr="00B7405E" w:rsidRDefault="007F6E07" w:rsidP="003162ED">
            <w:pPr>
              <w:jc w:val="right"/>
              <w:rPr>
                <w:b/>
                <w:bCs/>
                <w:sz w:val="20"/>
                <w:szCs w:val="22"/>
              </w:rPr>
            </w:pPr>
          </w:p>
        </w:tc>
        <w:tc>
          <w:tcPr>
            <w:tcW w:w="542" w:type="dxa"/>
            <w:shd w:val="clear" w:color="auto" w:fill="auto"/>
            <w:noWrap/>
            <w:vAlign w:val="center"/>
            <w:hideMark/>
          </w:tcPr>
          <w:p w14:paraId="1A719CDC" w14:textId="77777777" w:rsidR="007F6E07" w:rsidRPr="00B7405E" w:rsidRDefault="007F6E07" w:rsidP="003162ED">
            <w:pPr>
              <w:jc w:val="right"/>
              <w:rPr>
                <w:b/>
                <w:bCs/>
                <w:sz w:val="20"/>
                <w:szCs w:val="22"/>
              </w:rPr>
            </w:pPr>
          </w:p>
        </w:tc>
        <w:tc>
          <w:tcPr>
            <w:tcW w:w="851" w:type="dxa"/>
            <w:shd w:val="clear" w:color="auto" w:fill="auto"/>
            <w:noWrap/>
            <w:vAlign w:val="center"/>
            <w:hideMark/>
          </w:tcPr>
          <w:p w14:paraId="139B6869" w14:textId="77777777" w:rsidR="007F6E07" w:rsidRPr="00B7405E" w:rsidRDefault="007F6E07" w:rsidP="003162ED">
            <w:pPr>
              <w:jc w:val="right"/>
              <w:rPr>
                <w:b/>
                <w:bCs/>
                <w:sz w:val="20"/>
                <w:szCs w:val="22"/>
              </w:rPr>
            </w:pPr>
            <w:r w:rsidRPr="00B7405E">
              <w:rPr>
                <w:b/>
                <w:sz w:val="20"/>
                <w:szCs w:val="22"/>
              </w:rPr>
              <w:t>£’000</w:t>
            </w:r>
          </w:p>
        </w:tc>
      </w:tr>
      <w:tr w:rsidR="007F6E07" w:rsidRPr="005C5CB0" w14:paraId="2D1D07FC" w14:textId="77777777" w:rsidTr="00F04B1D">
        <w:trPr>
          <w:trHeight w:val="312"/>
        </w:trPr>
        <w:tc>
          <w:tcPr>
            <w:tcW w:w="2679" w:type="dxa"/>
            <w:shd w:val="clear" w:color="auto" w:fill="auto"/>
            <w:noWrap/>
            <w:vAlign w:val="bottom"/>
            <w:hideMark/>
          </w:tcPr>
          <w:p w14:paraId="65DC5F23" w14:textId="77777777" w:rsidR="007F6E07" w:rsidRPr="005C5CB0" w:rsidRDefault="007F6E07" w:rsidP="003162ED">
            <w:pPr>
              <w:rPr>
                <w:sz w:val="22"/>
                <w:szCs w:val="22"/>
              </w:rPr>
            </w:pPr>
            <w:r>
              <w:rPr>
                <w:b/>
                <w:bCs/>
                <w:sz w:val="22"/>
                <w:szCs w:val="22"/>
              </w:rPr>
              <w:t>Valuation</w:t>
            </w:r>
          </w:p>
        </w:tc>
        <w:tc>
          <w:tcPr>
            <w:tcW w:w="307" w:type="dxa"/>
          </w:tcPr>
          <w:p w14:paraId="523ABE9F" w14:textId="77777777" w:rsidR="007F6E07" w:rsidRPr="00C267DF" w:rsidRDefault="007F6E07" w:rsidP="003162ED">
            <w:pPr>
              <w:jc w:val="right"/>
              <w:rPr>
                <w:sz w:val="22"/>
                <w:szCs w:val="22"/>
              </w:rPr>
            </w:pPr>
          </w:p>
        </w:tc>
        <w:tc>
          <w:tcPr>
            <w:tcW w:w="307" w:type="dxa"/>
          </w:tcPr>
          <w:p w14:paraId="32AFABBC" w14:textId="77777777" w:rsidR="007F6E07" w:rsidRPr="00C267DF" w:rsidRDefault="007F6E07" w:rsidP="003162ED">
            <w:pPr>
              <w:jc w:val="right"/>
              <w:rPr>
                <w:sz w:val="22"/>
                <w:szCs w:val="22"/>
              </w:rPr>
            </w:pPr>
          </w:p>
        </w:tc>
        <w:tc>
          <w:tcPr>
            <w:tcW w:w="1534" w:type="dxa"/>
          </w:tcPr>
          <w:p w14:paraId="185C1A33" w14:textId="77777777" w:rsidR="007F6E07" w:rsidRPr="00C267DF" w:rsidRDefault="007F6E07" w:rsidP="003162ED">
            <w:pPr>
              <w:jc w:val="right"/>
              <w:rPr>
                <w:sz w:val="22"/>
                <w:szCs w:val="22"/>
              </w:rPr>
            </w:pPr>
          </w:p>
        </w:tc>
        <w:tc>
          <w:tcPr>
            <w:tcW w:w="307" w:type="dxa"/>
            <w:shd w:val="clear" w:color="auto" w:fill="auto"/>
            <w:noWrap/>
            <w:vAlign w:val="center"/>
            <w:hideMark/>
          </w:tcPr>
          <w:p w14:paraId="2065D445" w14:textId="77777777" w:rsidR="007F6E07" w:rsidRPr="00C267DF" w:rsidRDefault="007F6E07" w:rsidP="003162ED">
            <w:pPr>
              <w:jc w:val="right"/>
              <w:rPr>
                <w:sz w:val="22"/>
                <w:szCs w:val="22"/>
              </w:rPr>
            </w:pPr>
          </w:p>
        </w:tc>
        <w:tc>
          <w:tcPr>
            <w:tcW w:w="1534" w:type="dxa"/>
            <w:shd w:val="clear" w:color="auto" w:fill="auto"/>
            <w:noWrap/>
            <w:vAlign w:val="center"/>
            <w:hideMark/>
          </w:tcPr>
          <w:p w14:paraId="7D8D2850" w14:textId="77777777" w:rsidR="007F6E07" w:rsidRPr="00C267DF" w:rsidRDefault="007F6E07" w:rsidP="003162ED">
            <w:pPr>
              <w:jc w:val="right"/>
              <w:rPr>
                <w:sz w:val="22"/>
                <w:szCs w:val="22"/>
              </w:rPr>
            </w:pPr>
          </w:p>
        </w:tc>
        <w:tc>
          <w:tcPr>
            <w:tcW w:w="303" w:type="dxa"/>
            <w:shd w:val="clear" w:color="auto" w:fill="auto"/>
            <w:noWrap/>
            <w:vAlign w:val="center"/>
            <w:hideMark/>
          </w:tcPr>
          <w:p w14:paraId="2B508FAE" w14:textId="77777777" w:rsidR="007F6E07" w:rsidRPr="00C267DF" w:rsidRDefault="007F6E07" w:rsidP="003162ED">
            <w:pPr>
              <w:jc w:val="right"/>
              <w:rPr>
                <w:sz w:val="22"/>
                <w:szCs w:val="22"/>
              </w:rPr>
            </w:pPr>
          </w:p>
        </w:tc>
        <w:tc>
          <w:tcPr>
            <w:tcW w:w="542" w:type="dxa"/>
            <w:shd w:val="clear" w:color="auto" w:fill="auto"/>
            <w:noWrap/>
            <w:vAlign w:val="center"/>
            <w:hideMark/>
          </w:tcPr>
          <w:p w14:paraId="6C6DA1CE" w14:textId="77777777" w:rsidR="007F6E07" w:rsidRPr="00C267DF" w:rsidRDefault="007F6E07" w:rsidP="003162ED">
            <w:pPr>
              <w:jc w:val="right"/>
              <w:rPr>
                <w:sz w:val="22"/>
                <w:szCs w:val="22"/>
              </w:rPr>
            </w:pPr>
          </w:p>
        </w:tc>
        <w:tc>
          <w:tcPr>
            <w:tcW w:w="851" w:type="dxa"/>
            <w:shd w:val="clear" w:color="auto" w:fill="auto"/>
            <w:noWrap/>
            <w:vAlign w:val="center"/>
            <w:hideMark/>
          </w:tcPr>
          <w:p w14:paraId="44E555E5" w14:textId="77777777" w:rsidR="007F6E07" w:rsidRPr="00C267DF" w:rsidRDefault="007F6E07" w:rsidP="003162ED">
            <w:pPr>
              <w:jc w:val="right"/>
              <w:rPr>
                <w:sz w:val="22"/>
                <w:szCs w:val="22"/>
              </w:rPr>
            </w:pPr>
          </w:p>
        </w:tc>
      </w:tr>
      <w:tr w:rsidR="00432DAA" w:rsidRPr="00E803CA" w14:paraId="47CB4865" w14:textId="77777777" w:rsidTr="00F04B1D">
        <w:trPr>
          <w:trHeight w:val="312"/>
        </w:trPr>
        <w:tc>
          <w:tcPr>
            <w:tcW w:w="2679" w:type="dxa"/>
            <w:shd w:val="clear" w:color="auto" w:fill="auto"/>
            <w:noWrap/>
            <w:vAlign w:val="bottom"/>
            <w:hideMark/>
          </w:tcPr>
          <w:p w14:paraId="4DC82790" w14:textId="3DACA9A6" w:rsidR="00432DAA" w:rsidRPr="00E803CA" w:rsidRDefault="00432DAA" w:rsidP="00432DAA">
            <w:pPr>
              <w:rPr>
                <w:sz w:val="22"/>
                <w:szCs w:val="22"/>
              </w:rPr>
            </w:pPr>
            <w:r w:rsidRPr="00E803CA">
              <w:rPr>
                <w:sz w:val="22"/>
                <w:szCs w:val="22"/>
              </w:rPr>
              <w:t>At 1 April 202</w:t>
            </w:r>
            <w:r>
              <w:rPr>
                <w:sz w:val="22"/>
                <w:szCs w:val="22"/>
              </w:rPr>
              <w:t>3</w:t>
            </w:r>
          </w:p>
        </w:tc>
        <w:tc>
          <w:tcPr>
            <w:tcW w:w="307" w:type="dxa"/>
          </w:tcPr>
          <w:p w14:paraId="12A29110" w14:textId="77777777" w:rsidR="00432DAA" w:rsidRPr="00E803CA" w:rsidRDefault="00432DAA" w:rsidP="00432DAA">
            <w:pPr>
              <w:jc w:val="right"/>
              <w:rPr>
                <w:sz w:val="22"/>
                <w:szCs w:val="22"/>
              </w:rPr>
            </w:pPr>
          </w:p>
        </w:tc>
        <w:tc>
          <w:tcPr>
            <w:tcW w:w="307" w:type="dxa"/>
          </w:tcPr>
          <w:p w14:paraId="01A3CCD0" w14:textId="77777777" w:rsidR="00432DAA" w:rsidRPr="00E803CA" w:rsidRDefault="00432DAA" w:rsidP="00432DAA">
            <w:pPr>
              <w:jc w:val="right"/>
              <w:rPr>
                <w:sz w:val="22"/>
                <w:szCs w:val="22"/>
              </w:rPr>
            </w:pPr>
          </w:p>
        </w:tc>
        <w:tc>
          <w:tcPr>
            <w:tcW w:w="1534" w:type="dxa"/>
            <w:vAlign w:val="center"/>
          </w:tcPr>
          <w:p w14:paraId="03F4EB4F" w14:textId="4DB941E9" w:rsidR="00432DAA" w:rsidRPr="00E803CA" w:rsidRDefault="00432DAA" w:rsidP="00432DAA">
            <w:pPr>
              <w:jc w:val="right"/>
              <w:rPr>
                <w:sz w:val="22"/>
                <w:szCs w:val="22"/>
              </w:rPr>
            </w:pPr>
            <w:r w:rsidRPr="00E803CA">
              <w:rPr>
                <w:sz w:val="22"/>
                <w:szCs w:val="22"/>
              </w:rPr>
              <w:t>300</w:t>
            </w:r>
          </w:p>
        </w:tc>
        <w:tc>
          <w:tcPr>
            <w:tcW w:w="307" w:type="dxa"/>
            <w:shd w:val="clear" w:color="auto" w:fill="auto"/>
            <w:noWrap/>
            <w:vAlign w:val="center"/>
          </w:tcPr>
          <w:p w14:paraId="65F3DB76" w14:textId="77777777" w:rsidR="00432DAA" w:rsidRPr="00E803CA" w:rsidRDefault="00432DAA" w:rsidP="00432DAA">
            <w:pPr>
              <w:jc w:val="right"/>
              <w:rPr>
                <w:sz w:val="22"/>
                <w:szCs w:val="22"/>
              </w:rPr>
            </w:pPr>
          </w:p>
        </w:tc>
        <w:tc>
          <w:tcPr>
            <w:tcW w:w="1534" w:type="dxa"/>
            <w:shd w:val="clear" w:color="auto" w:fill="auto"/>
            <w:noWrap/>
            <w:vAlign w:val="center"/>
          </w:tcPr>
          <w:p w14:paraId="5737382F" w14:textId="5E7B32C7" w:rsidR="00432DAA" w:rsidRPr="00E803CA" w:rsidRDefault="00432DAA" w:rsidP="00432DAA">
            <w:pPr>
              <w:jc w:val="right"/>
              <w:rPr>
                <w:sz w:val="22"/>
                <w:szCs w:val="22"/>
              </w:rPr>
            </w:pPr>
            <w:r w:rsidRPr="00E803CA">
              <w:rPr>
                <w:sz w:val="22"/>
                <w:szCs w:val="22"/>
              </w:rPr>
              <w:t>5,136</w:t>
            </w:r>
          </w:p>
        </w:tc>
        <w:tc>
          <w:tcPr>
            <w:tcW w:w="303" w:type="dxa"/>
            <w:shd w:val="clear" w:color="auto" w:fill="auto"/>
            <w:noWrap/>
            <w:vAlign w:val="center"/>
          </w:tcPr>
          <w:p w14:paraId="7C733664" w14:textId="77777777" w:rsidR="00432DAA" w:rsidRPr="00E803CA" w:rsidRDefault="00432DAA" w:rsidP="00432DAA">
            <w:pPr>
              <w:jc w:val="right"/>
              <w:rPr>
                <w:sz w:val="22"/>
                <w:szCs w:val="22"/>
              </w:rPr>
            </w:pPr>
          </w:p>
        </w:tc>
        <w:tc>
          <w:tcPr>
            <w:tcW w:w="542" w:type="dxa"/>
            <w:shd w:val="clear" w:color="auto" w:fill="auto"/>
            <w:noWrap/>
            <w:vAlign w:val="center"/>
          </w:tcPr>
          <w:p w14:paraId="2AF02630" w14:textId="77777777" w:rsidR="00432DAA" w:rsidRPr="00E803CA" w:rsidRDefault="00432DAA" w:rsidP="00432DAA">
            <w:pPr>
              <w:jc w:val="right"/>
              <w:rPr>
                <w:sz w:val="22"/>
                <w:szCs w:val="22"/>
              </w:rPr>
            </w:pPr>
          </w:p>
        </w:tc>
        <w:tc>
          <w:tcPr>
            <w:tcW w:w="851" w:type="dxa"/>
            <w:shd w:val="clear" w:color="auto" w:fill="auto"/>
            <w:noWrap/>
            <w:vAlign w:val="center"/>
          </w:tcPr>
          <w:p w14:paraId="59F5DA79" w14:textId="3F430D96" w:rsidR="00432DAA" w:rsidRPr="00E803CA" w:rsidRDefault="00432DAA" w:rsidP="00432DAA">
            <w:pPr>
              <w:jc w:val="right"/>
              <w:rPr>
                <w:sz w:val="22"/>
                <w:szCs w:val="22"/>
              </w:rPr>
            </w:pPr>
            <w:r w:rsidRPr="00E803CA">
              <w:rPr>
                <w:sz w:val="22"/>
                <w:szCs w:val="22"/>
              </w:rPr>
              <w:t>5,436</w:t>
            </w:r>
          </w:p>
        </w:tc>
      </w:tr>
      <w:tr w:rsidR="007F6E07" w:rsidRPr="00E803CA" w14:paraId="70E09C5E" w14:textId="77777777" w:rsidTr="00F04B1D">
        <w:trPr>
          <w:trHeight w:val="312"/>
        </w:trPr>
        <w:tc>
          <w:tcPr>
            <w:tcW w:w="2679" w:type="dxa"/>
            <w:shd w:val="clear" w:color="auto" w:fill="auto"/>
            <w:noWrap/>
            <w:vAlign w:val="bottom"/>
            <w:hideMark/>
          </w:tcPr>
          <w:p w14:paraId="5CA52EDE" w14:textId="77777777" w:rsidR="007F6E07" w:rsidRPr="00E803CA" w:rsidRDefault="007F6E07" w:rsidP="003162ED">
            <w:pPr>
              <w:rPr>
                <w:sz w:val="22"/>
                <w:szCs w:val="22"/>
              </w:rPr>
            </w:pPr>
            <w:r w:rsidRPr="00E803CA">
              <w:rPr>
                <w:sz w:val="22"/>
                <w:szCs w:val="22"/>
              </w:rPr>
              <w:t>Additions</w:t>
            </w:r>
          </w:p>
        </w:tc>
        <w:tc>
          <w:tcPr>
            <w:tcW w:w="307" w:type="dxa"/>
          </w:tcPr>
          <w:p w14:paraId="4803F53B" w14:textId="77777777" w:rsidR="007F6E07" w:rsidRPr="00E803CA" w:rsidRDefault="007F6E07" w:rsidP="003162ED">
            <w:pPr>
              <w:jc w:val="right"/>
              <w:rPr>
                <w:sz w:val="22"/>
                <w:szCs w:val="22"/>
              </w:rPr>
            </w:pPr>
          </w:p>
        </w:tc>
        <w:tc>
          <w:tcPr>
            <w:tcW w:w="307" w:type="dxa"/>
          </w:tcPr>
          <w:p w14:paraId="5AE3B891" w14:textId="77777777" w:rsidR="007F6E07" w:rsidRPr="00E803CA" w:rsidRDefault="007F6E07" w:rsidP="003162ED">
            <w:pPr>
              <w:jc w:val="right"/>
              <w:rPr>
                <w:sz w:val="22"/>
                <w:szCs w:val="22"/>
              </w:rPr>
            </w:pPr>
          </w:p>
        </w:tc>
        <w:tc>
          <w:tcPr>
            <w:tcW w:w="1534" w:type="dxa"/>
            <w:vAlign w:val="center"/>
          </w:tcPr>
          <w:p w14:paraId="6D2C6E3C" w14:textId="5474A14D" w:rsidR="007F6E07" w:rsidRPr="00E803CA" w:rsidRDefault="009B7C77" w:rsidP="003162ED">
            <w:pPr>
              <w:jc w:val="right"/>
              <w:rPr>
                <w:sz w:val="22"/>
                <w:szCs w:val="22"/>
              </w:rPr>
            </w:pPr>
            <w:r>
              <w:rPr>
                <w:sz w:val="22"/>
                <w:szCs w:val="22"/>
              </w:rPr>
              <w:t>1</w:t>
            </w:r>
            <w:r w:rsidR="008A431C">
              <w:rPr>
                <w:sz w:val="22"/>
                <w:szCs w:val="22"/>
              </w:rPr>
              <w:t>7</w:t>
            </w:r>
          </w:p>
        </w:tc>
        <w:tc>
          <w:tcPr>
            <w:tcW w:w="307" w:type="dxa"/>
            <w:shd w:val="clear" w:color="auto" w:fill="auto"/>
            <w:noWrap/>
            <w:vAlign w:val="center"/>
          </w:tcPr>
          <w:p w14:paraId="5C8DF2A6" w14:textId="77777777" w:rsidR="007F6E07" w:rsidRPr="00E803CA" w:rsidRDefault="007F6E07" w:rsidP="003162ED">
            <w:pPr>
              <w:jc w:val="right"/>
              <w:rPr>
                <w:sz w:val="22"/>
                <w:szCs w:val="22"/>
              </w:rPr>
            </w:pPr>
          </w:p>
        </w:tc>
        <w:tc>
          <w:tcPr>
            <w:tcW w:w="1534" w:type="dxa"/>
            <w:shd w:val="clear" w:color="auto" w:fill="auto"/>
            <w:noWrap/>
            <w:vAlign w:val="center"/>
          </w:tcPr>
          <w:p w14:paraId="4CA2B813" w14:textId="0811679B" w:rsidR="007F6E07" w:rsidRPr="00E803CA" w:rsidRDefault="009B7C77" w:rsidP="003162ED">
            <w:pPr>
              <w:jc w:val="right"/>
              <w:rPr>
                <w:sz w:val="22"/>
                <w:szCs w:val="22"/>
              </w:rPr>
            </w:pPr>
            <w:r>
              <w:rPr>
                <w:sz w:val="22"/>
                <w:szCs w:val="22"/>
              </w:rPr>
              <w:t>732</w:t>
            </w:r>
          </w:p>
        </w:tc>
        <w:tc>
          <w:tcPr>
            <w:tcW w:w="303" w:type="dxa"/>
            <w:shd w:val="clear" w:color="auto" w:fill="auto"/>
            <w:noWrap/>
            <w:vAlign w:val="center"/>
          </w:tcPr>
          <w:p w14:paraId="197C8EB7" w14:textId="77777777" w:rsidR="007F6E07" w:rsidRPr="00E803CA" w:rsidRDefault="007F6E07" w:rsidP="003162ED">
            <w:pPr>
              <w:jc w:val="right"/>
              <w:rPr>
                <w:sz w:val="22"/>
                <w:szCs w:val="22"/>
              </w:rPr>
            </w:pPr>
          </w:p>
        </w:tc>
        <w:tc>
          <w:tcPr>
            <w:tcW w:w="542" w:type="dxa"/>
            <w:shd w:val="clear" w:color="auto" w:fill="auto"/>
            <w:noWrap/>
            <w:vAlign w:val="center"/>
          </w:tcPr>
          <w:p w14:paraId="5961AE42" w14:textId="77777777" w:rsidR="007F6E07" w:rsidRPr="00E803CA" w:rsidRDefault="007F6E07" w:rsidP="003162ED">
            <w:pPr>
              <w:jc w:val="right"/>
              <w:rPr>
                <w:sz w:val="22"/>
                <w:szCs w:val="22"/>
              </w:rPr>
            </w:pPr>
          </w:p>
        </w:tc>
        <w:tc>
          <w:tcPr>
            <w:tcW w:w="851" w:type="dxa"/>
            <w:shd w:val="clear" w:color="auto" w:fill="auto"/>
            <w:noWrap/>
            <w:vAlign w:val="center"/>
          </w:tcPr>
          <w:p w14:paraId="1366FC10" w14:textId="0FF352D1" w:rsidR="007F6E07" w:rsidRPr="00E803CA" w:rsidRDefault="00915978" w:rsidP="003162ED">
            <w:pPr>
              <w:jc w:val="right"/>
              <w:rPr>
                <w:sz w:val="22"/>
                <w:szCs w:val="22"/>
              </w:rPr>
            </w:pPr>
            <w:r>
              <w:rPr>
                <w:sz w:val="22"/>
                <w:szCs w:val="22"/>
              </w:rPr>
              <w:t>7</w:t>
            </w:r>
            <w:r w:rsidR="00FD00BB">
              <w:rPr>
                <w:sz w:val="22"/>
                <w:szCs w:val="22"/>
              </w:rPr>
              <w:t>49</w:t>
            </w:r>
          </w:p>
        </w:tc>
      </w:tr>
      <w:tr w:rsidR="00D974A1" w:rsidRPr="00E803CA" w14:paraId="6FCC2D42" w14:textId="77777777" w:rsidTr="00F04B1D">
        <w:trPr>
          <w:trHeight w:val="312"/>
        </w:trPr>
        <w:tc>
          <w:tcPr>
            <w:tcW w:w="2679" w:type="dxa"/>
            <w:shd w:val="clear" w:color="auto" w:fill="auto"/>
            <w:noWrap/>
            <w:vAlign w:val="bottom"/>
          </w:tcPr>
          <w:p w14:paraId="00CE4C13" w14:textId="7F300DF8" w:rsidR="00D974A1" w:rsidRPr="00E803CA" w:rsidRDefault="00D974A1" w:rsidP="003162ED">
            <w:pPr>
              <w:rPr>
                <w:sz w:val="22"/>
                <w:szCs w:val="22"/>
              </w:rPr>
            </w:pPr>
            <w:r w:rsidRPr="00E803CA">
              <w:rPr>
                <w:sz w:val="22"/>
                <w:szCs w:val="22"/>
              </w:rPr>
              <w:t>Revaluation</w:t>
            </w:r>
          </w:p>
        </w:tc>
        <w:tc>
          <w:tcPr>
            <w:tcW w:w="307" w:type="dxa"/>
          </w:tcPr>
          <w:p w14:paraId="05493306" w14:textId="77777777" w:rsidR="00D974A1" w:rsidRPr="00E803CA" w:rsidRDefault="00D974A1" w:rsidP="003162ED">
            <w:pPr>
              <w:jc w:val="right"/>
              <w:rPr>
                <w:sz w:val="22"/>
                <w:szCs w:val="22"/>
              </w:rPr>
            </w:pPr>
          </w:p>
        </w:tc>
        <w:tc>
          <w:tcPr>
            <w:tcW w:w="307" w:type="dxa"/>
          </w:tcPr>
          <w:p w14:paraId="6437108C" w14:textId="77777777" w:rsidR="00D974A1" w:rsidRPr="00E803CA" w:rsidRDefault="00D974A1" w:rsidP="003162ED">
            <w:pPr>
              <w:jc w:val="right"/>
              <w:rPr>
                <w:sz w:val="22"/>
                <w:szCs w:val="22"/>
              </w:rPr>
            </w:pPr>
          </w:p>
        </w:tc>
        <w:tc>
          <w:tcPr>
            <w:tcW w:w="1534" w:type="dxa"/>
            <w:tcBorders>
              <w:bottom w:val="single" w:sz="4" w:space="0" w:color="auto"/>
            </w:tcBorders>
            <w:vAlign w:val="center"/>
          </w:tcPr>
          <w:p w14:paraId="2F82A602" w14:textId="1CE6E931" w:rsidR="00D974A1" w:rsidRPr="00E803CA" w:rsidRDefault="009B7C77" w:rsidP="003162ED">
            <w:pPr>
              <w:jc w:val="right"/>
              <w:rPr>
                <w:sz w:val="22"/>
                <w:szCs w:val="22"/>
              </w:rPr>
            </w:pPr>
            <w:r>
              <w:rPr>
                <w:sz w:val="22"/>
                <w:szCs w:val="22"/>
              </w:rPr>
              <w:t>(1</w:t>
            </w:r>
            <w:r w:rsidR="008A431C">
              <w:rPr>
                <w:sz w:val="22"/>
                <w:szCs w:val="22"/>
              </w:rPr>
              <w:t>7</w:t>
            </w:r>
            <w:r>
              <w:rPr>
                <w:sz w:val="22"/>
                <w:szCs w:val="22"/>
              </w:rPr>
              <w:t>)</w:t>
            </w:r>
          </w:p>
        </w:tc>
        <w:tc>
          <w:tcPr>
            <w:tcW w:w="307" w:type="dxa"/>
            <w:shd w:val="clear" w:color="auto" w:fill="auto"/>
            <w:noWrap/>
            <w:vAlign w:val="center"/>
          </w:tcPr>
          <w:p w14:paraId="42275878" w14:textId="77777777" w:rsidR="00D974A1" w:rsidRPr="00E803CA" w:rsidRDefault="00D974A1" w:rsidP="003162ED">
            <w:pPr>
              <w:jc w:val="right"/>
              <w:rPr>
                <w:sz w:val="22"/>
                <w:szCs w:val="22"/>
              </w:rPr>
            </w:pPr>
          </w:p>
        </w:tc>
        <w:tc>
          <w:tcPr>
            <w:tcW w:w="1534" w:type="dxa"/>
            <w:tcBorders>
              <w:bottom w:val="single" w:sz="4" w:space="0" w:color="auto"/>
            </w:tcBorders>
            <w:shd w:val="clear" w:color="auto" w:fill="auto"/>
            <w:noWrap/>
            <w:vAlign w:val="center"/>
          </w:tcPr>
          <w:p w14:paraId="7A79C0D7" w14:textId="1EC04827" w:rsidR="00D974A1" w:rsidRPr="00E803CA" w:rsidRDefault="009B7C77" w:rsidP="003162ED">
            <w:pPr>
              <w:jc w:val="right"/>
              <w:rPr>
                <w:sz w:val="22"/>
                <w:szCs w:val="22"/>
              </w:rPr>
            </w:pPr>
            <w:r>
              <w:rPr>
                <w:sz w:val="22"/>
                <w:szCs w:val="22"/>
              </w:rPr>
              <w:t>-</w:t>
            </w:r>
          </w:p>
        </w:tc>
        <w:tc>
          <w:tcPr>
            <w:tcW w:w="303" w:type="dxa"/>
            <w:shd w:val="clear" w:color="auto" w:fill="auto"/>
            <w:noWrap/>
            <w:vAlign w:val="center"/>
          </w:tcPr>
          <w:p w14:paraId="2BE802B9" w14:textId="77777777" w:rsidR="00D974A1" w:rsidRPr="00E803CA" w:rsidRDefault="00D974A1" w:rsidP="003162ED">
            <w:pPr>
              <w:jc w:val="right"/>
              <w:rPr>
                <w:sz w:val="22"/>
                <w:szCs w:val="22"/>
              </w:rPr>
            </w:pPr>
          </w:p>
        </w:tc>
        <w:tc>
          <w:tcPr>
            <w:tcW w:w="542" w:type="dxa"/>
            <w:shd w:val="clear" w:color="auto" w:fill="auto"/>
            <w:noWrap/>
            <w:vAlign w:val="center"/>
          </w:tcPr>
          <w:p w14:paraId="7EBD4E8B" w14:textId="77777777" w:rsidR="00D974A1" w:rsidRPr="00E803CA" w:rsidRDefault="00D974A1" w:rsidP="007F6E07">
            <w:pPr>
              <w:jc w:val="center"/>
              <w:rPr>
                <w:sz w:val="22"/>
                <w:szCs w:val="22"/>
              </w:rPr>
            </w:pPr>
          </w:p>
        </w:tc>
        <w:tc>
          <w:tcPr>
            <w:tcW w:w="851" w:type="dxa"/>
            <w:tcBorders>
              <w:bottom w:val="single" w:sz="4" w:space="0" w:color="auto"/>
            </w:tcBorders>
            <w:shd w:val="clear" w:color="auto" w:fill="auto"/>
            <w:noWrap/>
            <w:vAlign w:val="center"/>
          </w:tcPr>
          <w:p w14:paraId="3F7B1472" w14:textId="6F44AF17" w:rsidR="00D974A1" w:rsidRPr="00E803CA" w:rsidRDefault="00915978" w:rsidP="003162ED">
            <w:pPr>
              <w:jc w:val="right"/>
              <w:rPr>
                <w:sz w:val="22"/>
                <w:szCs w:val="22"/>
              </w:rPr>
            </w:pPr>
            <w:r>
              <w:rPr>
                <w:sz w:val="22"/>
                <w:szCs w:val="22"/>
              </w:rPr>
              <w:t>(1</w:t>
            </w:r>
            <w:r w:rsidR="008A431C">
              <w:rPr>
                <w:sz w:val="22"/>
                <w:szCs w:val="22"/>
              </w:rPr>
              <w:t>7</w:t>
            </w:r>
            <w:r>
              <w:rPr>
                <w:sz w:val="22"/>
                <w:szCs w:val="22"/>
              </w:rPr>
              <w:t>)</w:t>
            </w:r>
          </w:p>
        </w:tc>
      </w:tr>
      <w:tr w:rsidR="007F6E07" w:rsidRPr="00E803CA" w14:paraId="0C2FBE64" w14:textId="77777777" w:rsidTr="00F04B1D">
        <w:trPr>
          <w:trHeight w:val="312"/>
        </w:trPr>
        <w:tc>
          <w:tcPr>
            <w:tcW w:w="2679" w:type="dxa"/>
            <w:shd w:val="clear" w:color="auto" w:fill="auto"/>
            <w:noWrap/>
            <w:vAlign w:val="bottom"/>
            <w:hideMark/>
          </w:tcPr>
          <w:p w14:paraId="075211C3" w14:textId="0E84B6EF" w:rsidR="007F6E07" w:rsidRPr="00E803CA" w:rsidRDefault="007F6E07" w:rsidP="003162ED">
            <w:pPr>
              <w:rPr>
                <w:sz w:val="22"/>
                <w:szCs w:val="22"/>
              </w:rPr>
            </w:pPr>
            <w:r w:rsidRPr="00E803CA">
              <w:rPr>
                <w:sz w:val="22"/>
                <w:szCs w:val="22"/>
              </w:rPr>
              <w:t>At 31 March 202</w:t>
            </w:r>
            <w:r w:rsidR="00432DAA">
              <w:rPr>
                <w:sz w:val="22"/>
                <w:szCs w:val="22"/>
              </w:rPr>
              <w:t>4</w:t>
            </w:r>
          </w:p>
        </w:tc>
        <w:tc>
          <w:tcPr>
            <w:tcW w:w="307" w:type="dxa"/>
          </w:tcPr>
          <w:p w14:paraId="72802B98" w14:textId="77777777" w:rsidR="007F6E07" w:rsidRPr="00E803CA" w:rsidRDefault="007F6E07" w:rsidP="003162ED">
            <w:pPr>
              <w:jc w:val="right"/>
              <w:rPr>
                <w:sz w:val="22"/>
                <w:szCs w:val="22"/>
              </w:rPr>
            </w:pPr>
          </w:p>
        </w:tc>
        <w:tc>
          <w:tcPr>
            <w:tcW w:w="307" w:type="dxa"/>
          </w:tcPr>
          <w:p w14:paraId="3A156A8B"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vAlign w:val="center"/>
          </w:tcPr>
          <w:p w14:paraId="62A527F1" w14:textId="749CECFE" w:rsidR="007F6E07" w:rsidRPr="00E803CA" w:rsidRDefault="009B7C77" w:rsidP="003162ED">
            <w:pPr>
              <w:jc w:val="right"/>
              <w:rPr>
                <w:sz w:val="22"/>
                <w:szCs w:val="22"/>
              </w:rPr>
            </w:pPr>
            <w:r>
              <w:rPr>
                <w:sz w:val="22"/>
                <w:szCs w:val="22"/>
              </w:rPr>
              <w:t>300</w:t>
            </w:r>
          </w:p>
        </w:tc>
        <w:tc>
          <w:tcPr>
            <w:tcW w:w="307" w:type="dxa"/>
            <w:shd w:val="clear" w:color="auto" w:fill="auto"/>
            <w:noWrap/>
            <w:vAlign w:val="center"/>
          </w:tcPr>
          <w:p w14:paraId="74FA3365"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shd w:val="clear" w:color="auto" w:fill="auto"/>
            <w:noWrap/>
            <w:vAlign w:val="center"/>
          </w:tcPr>
          <w:p w14:paraId="3D92AAA5" w14:textId="2F91BDEF" w:rsidR="007F6E07" w:rsidRPr="00E803CA" w:rsidRDefault="009B7C77" w:rsidP="003162ED">
            <w:pPr>
              <w:jc w:val="right"/>
              <w:rPr>
                <w:sz w:val="22"/>
                <w:szCs w:val="22"/>
              </w:rPr>
            </w:pPr>
            <w:r>
              <w:rPr>
                <w:sz w:val="22"/>
                <w:szCs w:val="22"/>
              </w:rPr>
              <w:t>5,868</w:t>
            </w:r>
          </w:p>
        </w:tc>
        <w:tc>
          <w:tcPr>
            <w:tcW w:w="303" w:type="dxa"/>
            <w:shd w:val="clear" w:color="auto" w:fill="auto"/>
            <w:noWrap/>
            <w:vAlign w:val="center"/>
          </w:tcPr>
          <w:p w14:paraId="3EA946A5" w14:textId="77777777" w:rsidR="007F6E07" w:rsidRPr="00E803CA" w:rsidRDefault="007F6E07" w:rsidP="003162ED">
            <w:pPr>
              <w:jc w:val="right"/>
              <w:rPr>
                <w:sz w:val="22"/>
                <w:szCs w:val="22"/>
              </w:rPr>
            </w:pPr>
          </w:p>
        </w:tc>
        <w:tc>
          <w:tcPr>
            <w:tcW w:w="542" w:type="dxa"/>
            <w:shd w:val="clear" w:color="auto" w:fill="auto"/>
            <w:noWrap/>
            <w:vAlign w:val="center"/>
          </w:tcPr>
          <w:p w14:paraId="71C600FD" w14:textId="77777777" w:rsidR="007F6E07" w:rsidRPr="00E803CA" w:rsidRDefault="007F6E07" w:rsidP="003162ED">
            <w:pPr>
              <w:jc w:val="right"/>
              <w:rPr>
                <w:sz w:val="22"/>
                <w:szCs w:val="22"/>
              </w:rPr>
            </w:pPr>
          </w:p>
        </w:tc>
        <w:tc>
          <w:tcPr>
            <w:tcW w:w="851" w:type="dxa"/>
            <w:tcBorders>
              <w:top w:val="single" w:sz="4" w:space="0" w:color="auto"/>
              <w:bottom w:val="single" w:sz="4" w:space="0" w:color="auto"/>
            </w:tcBorders>
            <w:shd w:val="clear" w:color="auto" w:fill="auto"/>
            <w:noWrap/>
            <w:vAlign w:val="center"/>
          </w:tcPr>
          <w:p w14:paraId="5420DF9F" w14:textId="3EBD28AD" w:rsidR="007F6E07" w:rsidRPr="00E803CA" w:rsidRDefault="00915978" w:rsidP="003162ED">
            <w:pPr>
              <w:jc w:val="right"/>
              <w:rPr>
                <w:sz w:val="22"/>
                <w:szCs w:val="22"/>
              </w:rPr>
            </w:pPr>
            <w:r>
              <w:rPr>
                <w:sz w:val="22"/>
                <w:szCs w:val="22"/>
              </w:rPr>
              <w:t>6,168</w:t>
            </w:r>
          </w:p>
        </w:tc>
      </w:tr>
      <w:tr w:rsidR="007F6E07" w:rsidRPr="00E803CA" w14:paraId="32DA5A24" w14:textId="77777777" w:rsidTr="00F04B1D">
        <w:trPr>
          <w:trHeight w:val="312"/>
        </w:trPr>
        <w:tc>
          <w:tcPr>
            <w:tcW w:w="2679" w:type="dxa"/>
            <w:shd w:val="clear" w:color="auto" w:fill="auto"/>
            <w:noWrap/>
            <w:vAlign w:val="bottom"/>
          </w:tcPr>
          <w:p w14:paraId="1EA7BDD3" w14:textId="77777777" w:rsidR="007F6E07" w:rsidRPr="00E803CA" w:rsidRDefault="007F6E07" w:rsidP="003162ED">
            <w:pPr>
              <w:rPr>
                <w:b/>
                <w:bCs/>
                <w:sz w:val="22"/>
                <w:szCs w:val="22"/>
              </w:rPr>
            </w:pPr>
          </w:p>
        </w:tc>
        <w:tc>
          <w:tcPr>
            <w:tcW w:w="307" w:type="dxa"/>
          </w:tcPr>
          <w:p w14:paraId="242A03AC" w14:textId="77777777" w:rsidR="007F6E07" w:rsidRPr="00E803CA" w:rsidRDefault="007F6E07" w:rsidP="003162ED">
            <w:pPr>
              <w:jc w:val="right"/>
              <w:rPr>
                <w:sz w:val="22"/>
                <w:szCs w:val="22"/>
              </w:rPr>
            </w:pPr>
          </w:p>
        </w:tc>
        <w:tc>
          <w:tcPr>
            <w:tcW w:w="307" w:type="dxa"/>
          </w:tcPr>
          <w:p w14:paraId="7ADBA3EA" w14:textId="77777777" w:rsidR="007F6E07" w:rsidRPr="00E803CA" w:rsidRDefault="007F6E07" w:rsidP="003162ED">
            <w:pPr>
              <w:jc w:val="right"/>
              <w:rPr>
                <w:sz w:val="22"/>
                <w:szCs w:val="22"/>
              </w:rPr>
            </w:pPr>
          </w:p>
        </w:tc>
        <w:tc>
          <w:tcPr>
            <w:tcW w:w="1534" w:type="dxa"/>
            <w:tcBorders>
              <w:top w:val="single" w:sz="4" w:space="0" w:color="auto"/>
            </w:tcBorders>
            <w:vAlign w:val="center"/>
          </w:tcPr>
          <w:p w14:paraId="572C3E52" w14:textId="77777777" w:rsidR="007F6E07" w:rsidRPr="00E803CA" w:rsidRDefault="007F6E07" w:rsidP="003162ED">
            <w:pPr>
              <w:jc w:val="right"/>
              <w:rPr>
                <w:sz w:val="22"/>
                <w:szCs w:val="22"/>
              </w:rPr>
            </w:pPr>
          </w:p>
        </w:tc>
        <w:tc>
          <w:tcPr>
            <w:tcW w:w="307" w:type="dxa"/>
            <w:shd w:val="clear" w:color="auto" w:fill="auto"/>
            <w:noWrap/>
            <w:vAlign w:val="center"/>
          </w:tcPr>
          <w:p w14:paraId="575FA26F" w14:textId="77777777" w:rsidR="007F6E07" w:rsidRPr="00E803CA" w:rsidRDefault="007F6E07" w:rsidP="003162ED">
            <w:pPr>
              <w:jc w:val="right"/>
              <w:rPr>
                <w:sz w:val="22"/>
                <w:szCs w:val="22"/>
              </w:rPr>
            </w:pPr>
          </w:p>
        </w:tc>
        <w:tc>
          <w:tcPr>
            <w:tcW w:w="1534" w:type="dxa"/>
            <w:tcBorders>
              <w:top w:val="single" w:sz="4" w:space="0" w:color="auto"/>
            </w:tcBorders>
            <w:shd w:val="clear" w:color="auto" w:fill="auto"/>
            <w:noWrap/>
            <w:vAlign w:val="center"/>
          </w:tcPr>
          <w:p w14:paraId="0AE76394" w14:textId="77777777" w:rsidR="007F6E07" w:rsidRPr="00E803CA" w:rsidRDefault="007F6E07" w:rsidP="003162ED">
            <w:pPr>
              <w:jc w:val="right"/>
              <w:rPr>
                <w:sz w:val="22"/>
                <w:szCs w:val="22"/>
              </w:rPr>
            </w:pPr>
          </w:p>
        </w:tc>
        <w:tc>
          <w:tcPr>
            <w:tcW w:w="303" w:type="dxa"/>
            <w:shd w:val="clear" w:color="auto" w:fill="auto"/>
            <w:noWrap/>
            <w:vAlign w:val="center"/>
          </w:tcPr>
          <w:p w14:paraId="69E3E3C7" w14:textId="77777777" w:rsidR="007F6E07" w:rsidRPr="00E803CA" w:rsidRDefault="007F6E07" w:rsidP="003162ED">
            <w:pPr>
              <w:jc w:val="right"/>
              <w:rPr>
                <w:sz w:val="22"/>
                <w:szCs w:val="22"/>
              </w:rPr>
            </w:pPr>
          </w:p>
        </w:tc>
        <w:tc>
          <w:tcPr>
            <w:tcW w:w="542" w:type="dxa"/>
            <w:shd w:val="clear" w:color="auto" w:fill="auto"/>
            <w:noWrap/>
            <w:vAlign w:val="center"/>
          </w:tcPr>
          <w:p w14:paraId="12FCCEB8" w14:textId="77777777" w:rsidR="007F6E07" w:rsidRPr="00E803CA" w:rsidRDefault="007F6E07" w:rsidP="003162ED">
            <w:pPr>
              <w:jc w:val="right"/>
              <w:rPr>
                <w:sz w:val="22"/>
                <w:szCs w:val="22"/>
              </w:rPr>
            </w:pPr>
          </w:p>
        </w:tc>
        <w:tc>
          <w:tcPr>
            <w:tcW w:w="851" w:type="dxa"/>
            <w:tcBorders>
              <w:top w:val="single" w:sz="4" w:space="0" w:color="auto"/>
            </w:tcBorders>
            <w:shd w:val="clear" w:color="auto" w:fill="auto"/>
            <w:noWrap/>
            <w:vAlign w:val="center"/>
          </w:tcPr>
          <w:p w14:paraId="0793240A" w14:textId="77777777" w:rsidR="007F6E07" w:rsidRPr="00E803CA" w:rsidRDefault="007F6E07" w:rsidP="003162ED">
            <w:pPr>
              <w:jc w:val="right"/>
              <w:rPr>
                <w:sz w:val="22"/>
                <w:szCs w:val="22"/>
              </w:rPr>
            </w:pPr>
          </w:p>
        </w:tc>
      </w:tr>
      <w:tr w:rsidR="007F6E07" w:rsidRPr="00E803CA" w14:paraId="0F380714" w14:textId="77777777" w:rsidTr="00F04B1D">
        <w:trPr>
          <w:trHeight w:val="312"/>
        </w:trPr>
        <w:tc>
          <w:tcPr>
            <w:tcW w:w="2679" w:type="dxa"/>
            <w:shd w:val="clear" w:color="auto" w:fill="auto"/>
            <w:noWrap/>
            <w:vAlign w:val="bottom"/>
            <w:hideMark/>
          </w:tcPr>
          <w:p w14:paraId="7DC0EDFE" w14:textId="77777777" w:rsidR="007F6E07" w:rsidRPr="00E803CA" w:rsidRDefault="007F6E07" w:rsidP="003162ED">
            <w:pPr>
              <w:rPr>
                <w:b/>
                <w:bCs/>
                <w:sz w:val="22"/>
                <w:szCs w:val="22"/>
              </w:rPr>
            </w:pPr>
            <w:r w:rsidRPr="00E803CA">
              <w:rPr>
                <w:b/>
                <w:bCs/>
                <w:sz w:val="22"/>
                <w:szCs w:val="22"/>
              </w:rPr>
              <w:t>Accumulated Depreciation</w:t>
            </w:r>
          </w:p>
        </w:tc>
        <w:tc>
          <w:tcPr>
            <w:tcW w:w="307" w:type="dxa"/>
          </w:tcPr>
          <w:p w14:paraId="6D771E16" w14:textId="77777777" w:rsidR="007F6E07" w:rsidRPr="00E803CA" w:rsidRDefault="007F6E07" w:rsidP="003162ED">
            <w:pPr>
              <w:jc w:val="right"/>
              <w:rPr>
                <w:sz w:val="22"/>
                <w:szCs w:val="22"/>
              </w:rPr>
            </w:pPr>
          </w:p>
        </w:tc>
        <w:tc>
          <w:tcPr>
            <w:tcW w:w="307" w:type="dxa"/>
          </w:tcPr>
          <w:p w14:paraId="0DCA12BA" w14:textId="77777777" w:rsidR="007F6E07" w:rsidRPr="00E803CA" w:rsidRDefault="007F6E07" w:rsidP="003162ED">
            <w:pPr>
              <w:jc w:val="right"/>
              <w:rPr>
                <w:sz w:val="22"/>
                <w:szCs w:val="22"/>
              </w:rPr>
            </w:pPr>
          </w:p>
        </w:tc>
        <w:tc>
          <w:tcPr>
            <w:tcW w:w="1534" w:type="dxa"/>
            <w:vAlign w:val="center"/>
          </w:tcPr>
          <w:p w14:paraId="1C3D303B" w14:textId="77777777" w:rsidR="007F6E07" w:rsidRPr="00E803CA" w:rsidRDefault="007F6E07" w:rsidP="003162ED">
            <w:pPr>
              <w:jc w:val="right"/>
              <w:rPr>
                <w:sz w:val="22"/>
                <w:szCs w:val="22"/>
              </w:rPr>
            </w:pPr>
          </w:p>
        </w:tc>
        <w:tc>
          <w:tcPr>
            <w:tcW w:w="307" w:type="dxa"/>
            <w:shd w:val="clear" w:color="auto" w:fill="auto"/>
            <w:noWrap/>
            <w:vAlign w:val="center"/>
            <w:hideMark/>
          </w:tcPr>
          <w:p w14:paraId="727005EC" w14:textId="77777777" w:rsidR="007F6E07" w:rsidRPr="00E803CA" w:rsidRDefault="007F6E07" w:rsidP="003162ED">
            <w:pPr>
              <w:jc w:val="right"/>
              <w:rPr>
                <w:sz w:val="22"/>
                <w:szCs w:val="22"/>
              </w:rPr>
            </w:pPr>
          </w:p>
        </w:tc>
        <w:tc>
          <w:tcPr>
            <w:tcW w:w="1534" w:type="dxa"/>
            <w:shd w:val="clear" w:color="auto" w:fill="auto"/>
            <w:noWrap/>
            <w:vAlign w:val="center"/>
            <w:hideMark/>
          </w:tcPr>
          <w:p w14:paraId="4EA01B4E" w14:textId="77777777" w:rsidR="007F6E07" w:rsidRPr="00E803CA" w:rsidRDefault="007F6E07" w:rsidP="003162ED">
            <w:pPr>
              <w:jc w:val="right"/>
              <w:rPr>
                <w:sz w:val="22"/>
                <w:szCs w:val="22"/>
              </w:rPr>
            </w:pPr>
          </w:p>
        </w:tc>
        <w:tc>
          <w:tcPr>
            <w:tcW w:w="303" w:type="dxa"/>
            <w:shd w:val="clear" w:color="auto" w:fill="auto"/>
            <w:noWrap/>
            <w:vAlign w:val="center"/>
            <w:hideMark/>
          </w:tcPr>
          <w:p w14:paraId="6F4460D1" w14:textId="77777777" w:rsidR="007F6E07" w:rsidRPr="00E803CA" w:rsidRDefault="007F6E07" w:rsidP="003162ED">
            <w:pPr>
              <w:jc w:val="right"/>
              <w:rPr>
                <w:sz w:val="22"/>
                <w:szCs w:val="22"/>
              </w:rPr>
            </w:pPr>
          </w:p>
        </w:tc>
        <w:tc>
          <w:tcPr>
            <w:tcW w:w="542" w:type="dxa"/>
            <w:shd w:val="clear" w:color="auto" w:fill="auto"/>
            <w:noWrap/>
            <w:vAlign w:val="center"/>
            <w:hideMark/>
          </w:tcPr>
          <w:p w14:paraId="01F5FB0F" w14:textId="77777777" w:rsidR="007F6E07" w:rsidRPr="00E803CA" w:rsidRDefault="007F6E07" w:rsidP="003162ED">
            <w:pPr>
              <w:jc w:val="right"/>
              <w:rPr>
                <w:sz w:val="22"/>
                <w:szCs w:val="22"/>
              </w:rPr>
            </w:pPr>
          </w:p>
        </w:tc>
        <w:tc>
          <w:tcPr>
            <w:tcW w:w="851" w:type="dxa"/>
            <w:shd w:val="clear" w:color="auto" w:fill="auto"/>
            <w:noWrap/>
            <w:vAlign w:val="center"/>
            <w:hideMark/>
          </w:tcPr>
          <w:p w14:paraId="54AD1629" w14:textId="77777777" w:rsidR="007F6E07" w:rsidRPr="00E803CA" w:rsidRDefault="007F6E07" w:rsidP="003162ED">
            <w:pPr>
              <w:jc w:val="right"/>
              <w:rPr>
                <w:sz w:val="22"/>
                <w:szCs w:val="22"/>
              </w:rPr>
            </w:pPr>
          </w:p>
        </w:tc>
      </w:tr>
      <w:tr w:rsidR="00432DAA" w:rsidRPr="00E803CA" w14:paraId="319126E2" w14:textId="77777777" w:rsidTr="00F04B1D">
        <w:trPr>
          <w:trHeight w:val="312"/>
        </w:trPr>
        <w:tc>
          <w:tcPr>
            <w:tcW w:w="2679" w:type="dxa"/>
            <w:shd w:val="clear" w:color="auto" w:fill="auto"/>
            <w:noWrap/>
            <w:vAlign w:val="bottom"/>
            <w:hideMark/>
          </w:tcPr>
          <w:p w14:paraId="73744F1F" w14:textId="14CA25D5" w:rsidR="00432DAA" w:rsidRPr="00E803CA" w:rsidRDefault="00432DAA" w:rsidP="00432DAA">
            <w:pPr>
              <w:rPr>
                <w:sz w:val="22"/>
                <w:szCs w:val="22"/>
              </w:rPr>
            </w:pPr>
            <w:r w:rsidRPr="00E803CA">
              <w:rPr>
                <w:sz w:val="22"/>
                <w:szCs w:val="22"/>
              </w:rPr>
              <w:t>At 1 April 202</w:t>
            </w:r>
            <w:r>
              <w:rPr>
                <w:sz w:val="22"/>
                <w:szCs w:val="22"/>
              </w:rPr>
              <w:t>3</w:t>
            </w:r>
          </w:p>
        </w:tc>
        <w:tc>
          <w:tcPr>
            <w:tcW w:w="307" w:type="dxa"/>
          </w:tcPr>
          <w:p w14:paraId="500C55B1" w14:textId="77777777" w:rsidR="00432DAA" w:rsidRPr="00E803CA" w:rsidRDefault="00432DAA" w:rsidP="00432DAA">
            <w:pPr>
              <w:jc w:val="right"/>
              <w:rPr>
                <w:sz w:val="22"/>
                <w:szCs w:val="22"/>
              </w:rPr>
            </w:pPr>
          </w:p>
        </w:tc>
        <w:tc>
          <w:tcPr>
            <w:tcW w:w="307" w:type="dxa"/>
          </w:tcPr>
          <w:p w14:paraId="044043D7" w14:textId="77777777" w:rsidR="00432DAA" w:rsidRPr="00E803CA" w:rsidRDefault="00432DAA" w:rsidP="00432DAA">
            <w:pPr>
              <w:jc w:val="right"/>
              <w:rPr>
                <w:sz w:val="22"/>
                <w:szCs w:val="22"/>
              </w:rPr>
            </w:pPr>
          </w:p>
        </w:tc>
        <w:tc>
          <w:tcPr>
            <w:tcW w:w="1534" w:type="dxa"/>
            <w:vAlign w:val="center"/>
          </w:tcPr>
          <w:p w14:paraId="30774F18" w14:textId="4C08B9CD" w:rsidR="00432DAA" w:rsidRPr="00E803CA" w:rsidRDefault="00432DAA" w:rsidP="00432DAA">
            <w:pPr>
              <w:jc w:val="right"/>
              <w:rPr>
                <w:sz w:val="22"/>
                <w:szCs w:val="22"/>
              </w:rPr>
            </w:pPr>
            <w:r w:rsidRPr="00E803CA">
              <w:rPr>
                <w:sz w:val="22"/>
                <w:szCs w:val="22"/>
              </w:rPr>
              <w:t>-</w:t>
            </w:r>
          </w:p>
        </w:tc>
        <w:tc>
          <w:tcPr>
            <w:tcW w:w="307" w:type="dxa"/>
            <w:shd w:val="clear" w:color="auto" w:fill="auto"/>
            <w:noWrap/>
            <w:vAlign w:val="center"/>
          </w:tcPr>
          <w:p w14:paraId="6C222A33" w14:textId="77777777" w:rsidR="00432DAA" w:rsidRPr="00E803CA" w:rsidRDefault="00432DAA" w:rsidP="00432DAA">
            <w:pPr>
              <w:jc w:val="right"/>
              <w:rPr>
                <w:sz w:val="22"/>
                <w:szCs w:val="22"/>
              </w:rPr>
            </w:pPr>
          </w:p>
        </w:tc>
        <w:tc>
          <w:tcPr>
            <w:tcW w:w="1534" w:type="dxa"/>
            <w:shd w:val="clear" w:color="auto" w:fill="auto"/>
            <w:noWrap/>
            <w:vAlign w:val="center"/>
          </w:tcPr>
          <w:p w14:paraId="75B9E89A" w14:textId="1BA83E01" w:rsidR="00432DAA" w:rsidRPr="00E803CA" w:rsidRDefault="00432DAA" w:rsidP="00432DAA">
            <w:pPr>
              <w:jc w:val="right"/>
              <w:rPr>
                <w:sz w:val="22"/>
                <w:szCs w:val="22"/>
              </w:rPr>
            </w:pPr>
            <w:r w:rsidRPr="00E803CA">
              <w:rPr>
                <w:sz w:val="22"/>
                <w:szCs w:val="22"/>
              </w:rPr>
              <w:t>4,030</w:t>
            </w:r>
          </w:p>
        </w:tc>
        <w:tc>
          <w:tcPr>
            <w:tcW w:w="303" w:type="dxa"/>
            <w:shd w:val="clear" w:color="auto" w:fill="auto"/>
            <w:noWrap/>
            <w:vAlign w:val="center"/>
          </w:tcPr>
          <w:p w14:paraId="781D425F" w14:textId="77777777" w:rsidR="00432DAA" w:rsidRPr="00E803CA" w:rsidRDefault="00432DAA" w:rsidP="00432DAA">
            <w:pPr>
              <w:jc w:val="right"/>
              <w:rPr>
                <w:sz w:val="22"/>
                <w:szCs w:val="22"/>
              </w:rPr>
            </w:pPr>
          </w:p>
        </w:tc>
        <w:tc>
          <w:tcPr>
            <w:tcW w:w="542" w:type="dxa"/>
            <w:shd w:val="clear" w:color="auto" w:fill="auto"/>
            <w:noWrap/>
            <w:vAlign w:val="center"/>
          </w:tcPr>
          <w:p w14:paraId="21A88A45" w14:textId="77777777" w:rsidR="00432DAA" w:rsidRPr="00E803CA" w:rsidRDefault="00432DAA" w:rsidP="00432DAA">
            <w:pPr>
              <w:jc w:val="right"/>
              <w:rPr>
                <w:sz w:val="22"/>
                <w:szCs w:val="22"/>
              </w:rPr>
            </w:pPr>
          </w:p>
        </w:tc>
        <w:tc>
          <w:tcPr>
            <w:tcW w:w="851" w:type="dxa"/>
            <w:shd w:val="clear" w:color="auto" w:fill="auto"/>
            <w:noWrap/>
            <w:vAlign w:val="center"/>
          </w:tcPr>
          <w:p w14:paraId="59CD3C5A" w14:textId="08FD497A" w:rsidR="00432DAA" w:rsidRPr="00E803CA" w:rsidRDefault="00432DAA" w:rsidP="00432DAA">
            <w:pPr>
              <w:jc w:val="right"/>
              <w:rPr>
                <w:sz w:val="22"/>
                <w:szCs w:val="22"/>
              </w:rPr>
            </w:pPr>
            <w:r w:rsidRPr="00E803CA">
              <w:rPr>
                <w:sz w:val="22"/>
                <w:szCs w:val="22"/>
              </w:rPr>
              <w:t>4,030</w:t>
            </w:r>
          </w:p>
        </w:tc>
      </w:tr>
      <w:tr w:rsidR="007F6E07" w:rsidRPr="00E803CA" w14:paraId="7884EA04" w14:textId="77777777" w:rsidTr="00F04B1D">
        <w:trPr>
          <w:trHeight w:val="312"/>
        </w:trPr>
        <w:tc>
          <w:tcPr>
            <w:tcW w:w="2679" w:type="dxa"/>
            <w:shd w:val="clear" w:color="auto" w:fill="auto"/>
            <w:noWrap/>
            <w:vAlign w:val="bottom"/>
            <w:hideMark/>
          </w:tcPr>
          <w:p w14:paraId="288D6BF1" w14:textId="77777777" w:rsidR="007F6E07" w:rsidRPr="00E803CA" w:rsidRDefault="007F6E07" w:rsidP="003162ED">
            <w:pPr>
              <w:rPr>
                <w:sz w:val="22"/>
                <w:szCs w:val="22"/>
              </w:rPr>
            </w:pPr>
            <w:r w:rsidRPr="00E803CA">
              <w:rPr>
                <w:sz w:val="22"/>
                <w:szCs w:val="22"/>
              </w:rPr>
              <w:t>Charge for year</w:t>
            </w:r>
          </w:p>
        </w:tc>
        <w:tc>
          <w:tcPr>
            <w:tcW w:w="307" w:type="dxa"/>
          </w:tcPr>
          <w:p w14:paraId="5472CD19" w14:textId="77777777" w:rsidR="007F6E07" w:rsidRPr="00E803CA" w:rsidRDefault="007F6E07" w:rsidP="003162ED">
            <w:pPr>
              <w:jc w:val="right"/>
              <w:rPr>
                <w:sz w:val="22"/>
                <w:szCs w:val="22"/>
              </w:rPr>
            </w:pPr>
          </w:p>
        </w:tc>
        <w:tc>
          <w:tcPr>
            <w:tcW w:w="307" w:type="dxa"/>
          </w:tcPr>
          <w:p w14:paraId="53331C09" w14:textId="77777777" w:rsidR="007F6E07" w:rsidRPr="00E803CA" w:rsidRDefault="007F6E07" w:rsidP="003162ED">
            <w:pPr>
              <w:jc w:val="right"/>
              <w:rPr>
                <w:sz w:val="22"/>
                <w:szCs w:val="22"/>
              </w:rPr>
            </w:pPr>
          </w:p>
        </w:tc>
        <w:tc>
          <w:tcPr>
            <w:tcW w:w="1534" w:type="dxa"/>
            <w:vAlign w:val="center"/>
          </w:tcPr>
          <w:p w14:paraId="6AC76AF2" w14:textId="679F72C5" w:rsidR="007F6E07" w:rsidRPr="00E803CA" w:rsidRDefault="00E8347A" w:rsidP="003162ED">
            <w:pPr>
              <w:jc w:val="right"/>
              <w:rPr>
                <w:sz w:val="22"/>
                <w:szCs w:val="22"/>
              </w:rPr>
            </w:pPr>
            <w:r>
              <w:rPr>
                <w:sz w:val="22"/>
                <w:szCs w:val="22"/>
              </w:rPr>
              <w:t>20</w:t>
            </w:r>
          </w:p>
        </w:tc>
        <w:tc>
          <w:tcPr>
            <w:tcW w:w="307" w:type="dxa"/>
            <w:shd w:val="clear" w:color="auto" w:fill="auto"/>
            <w:noWrap/>
            <w:vAlign w:val="center"/>
          </w:tcPr>
          <w:p w14:paraId="7F5EB268" w14:textId="77777777" w:rsidR="007F6E07" w:rsidRPr="00E803CA" w:rsidRDefault="007F6E07" w:rsidP="003162ED">
            <w:pPr>
              <w:jc w:val="right"/>
              <w:rPr>
                <w:sz w:val="22"/>
                <w:szCs w:val="22"/>
              </w:rPr>
            </w:pPr>
          </w:p>
        </w:tc>
        <w:tc>
          <w:tcPr>
            <w:tcW w:w="1534" w:type="dxa"/>
            <w:shd w:val="clear" w:color="auto" w:fill="auto"/>
            <w:noWrap/>
            <w:vAlign w:val="center"/>
          </w:tcPr>
          <w:p w14:paraId="6EEF4095" w14:textId="6983057F" w:rsidR="007F6E07" w:rsidRPr="00E803CA" w:rsidRDefault="00E8347A" w:rsidP="00ED4AF1">
            <w:pPr>
              <w:jc w:val="right"/>
              <w:rPr>
                <w:sz w:val="22"/>
                <w:szCs w:val="22"/>
              </w:rPr>
            </w:pPr>
            <w:r>
              <w:rPr>
                <w:sz w:val="22"/>
                <w:szCs w:val="22"/>
              </w:rPr>
              <w:t>260</w:t>
            </w:r>
          </w:p>
        </w:tc>
        <w:tc>
          <w:tcPr>
            <w:tcW w:w="303" w:type="dxa"/>
            <w:shd w:val="clear" w:color="auto" w:fill="auto"/>
            <w:noWrap/>
            <w:vAlign w:val="center"/>
          </w:tcPr>
          <w:p w14:paraId="6B8D7742" w14:textId="77777777" w:rsidR="007F6E07" w:rsidRPr="00E803CA" w:rsidRDefault="007F6E07" w:rsidP="003162ED">
            <w:pPr>
              <w:jc w:val="right"/>
              <w:rPr>
                <w:sz w:val="22"/>
                <w:szCs w:val="22"/>
              </w:rPr>
            </w:pPr>
          </w:p>
        </w:tc>
        <w:tc>
          <w:tcPr>
            <w:tcW w:w="542" w:type="dxa"/>
            <w:shd w:val="clear" w:color="auto" w:fill="auto"/>
            <w:noWrap/>
            <w:vAlign w:val="center"/>
          </w:tcPr>
          <w:p w14:paraId="003626FC" w14:textId="038B3B25" w:rsidR="007F6E07" w:rsidRPr="00E803CA" w:rsidRDefault="007F6E07" w:rsidP="003162ED">
            <w:pPr>
              <w:jc w:val="right"/>
              <w:rPr>
                <w:sz w:val="22"/>
                <w:szCs w:val="22"/>
              </w:rPr>
            </w:pPr>
          </w:p>
        </w:tc>
        <w:tc>
          <w:tcPr>
            <w:tcW w:w="851" w:type="dxa"/>
            <w:shd w:val="clear" w:color="auto" w:fill="auto"/>
            <w:noWrap/>
            <w:vAlign w:val="center"/>
          </w:tcPr>
          <w:p w14:paraId="38824459" w14:textId="266714BB" w:rsidR="007F6E07" w:rsidRPr="00E803CA" w:rsidRDefault="00E8347A" w:rsidP="003162ED">
            <w:pPr>
              <w:jc w:val="right"/>
              <w:rPr>
                <w:sz w:val="22"/>
                <w:szCs w:val="22"/>
              </w:rPr>
            </w:pPr>
            <w:r>
              <w:rPr>
                <w:sz w:val="22"/>
                <w:szCs w:val="22"/>
              </w:rPr>
              <w:t>280</w:t>
            </w:r>
          </w:p>
        </w:tc>
      </w:tr>
      <w:tr w:rsidR="00D974A1" w:rsidRPr="00E803CA" w14:paraId="3F831DB7" w14:textId="77777777" w:rsidTr="00F04B1D">
        <w:trPr>
          <w:trHeight w:val="312"/>
        </w:trPr>
        <w:tc>
          <w:tcPr>
            <w:tcW w:w="2679" w:type="dxa"/>
            <w:shd w:val="clear" w:color="auto" w:fill="auto"/>
            <w:noWrap/>
            <w:vAlign w:val="bottom"/>
          </w:tcPr>
          <w:p w14:paraId="0B79E668" w14:textId="0EA69F11" w:rsidR="00D974A1" w:rsidRPr="00E803CA" w:rsidRDefault="00D974A1" w:rsidP="003162ED">
            <w:pPr>
              <w:rPr>
                <w:sz w:val="22"/>
                <w:szCs w:val="22"/>
              </w:rPr>
            </w:pPr>
            <w:r w:rsidRPr="00E803CA">
              <w:rPr>
                <w:sz w:val="22"/>
                <w:szCs w:val="22"/>
              </w:rPr>
              <w:t>Revaluation</w:t>
            </w:r>
          </w:p>
        </w:tc>
        <w:tc>
          <w:tcPr>
            <w:tcW w:w="307" w:type="dxa"/>
          </w:tcPr>
          <w:p w14:paraId="5E88D575" w14:textId="77777777" w:rsidR="00D974A1" w:rsidRPr="00E803CA" w:rsidRDefault="00D974A1" w:rsidP="003162ED">
            <w:pPr>
              <w:jc w:val="right"/>
              <w:rPr>
                <w:sz w:val="22"/>
                <w:szCs w:val="22"/>
              </w:rPr>
            </w:pPr>
          </w:p>
        </w:tc>
        <w:tc>
          <w:tcPr>
            <w:tcW w:w="307" w:type="dxa"/>
          </w:tcPr>
          <w:p w14:paraId="4271D3C1" w14:textId="77777777" w:rsidR="00D974A1" w:rsidRPr="00E803CA" w:rsidRDefault="00D974A1" w:rsidP="003162ED">
            <w:pPr>
              <w:jc w:val="right"/>
              <w:rPr>
                <w:sz w:val="22"/>
                <w:szCs w:val="22"/>
              </w:rPr>
            </w:pPr>
          </w:p>
        </w:tc>
        <w:tc>
          <w:tcPr>
            <w:tcW w:w="1534" w:type="dxa"/>
            <w:tcBorders>
              <w:bottom w:val="single" w:sz="4" w:space="0" w:color="auto"/>
            </w:tcBorders>
            <w:vAlign w:val="center"/>
          </w:tcPr>
          <w:p w14:paraId="23D55C52" w14:textId="032B3A99" w:rsidR="00D974A1" w:rsidRPr="00E803CA" w:rsidRDefault="00E8347A" w:rsidP="003162ED">
            <w:pPr>
              <w:jc w:val="right"/>
              <w:rPr>
                <w:sz w:val="22"/>
                <w:szCs w:val="22"/>
              </w:rPr>
            </w:pPr>
            <w:r>
              <w:rPr>
                <w:sz w:val="22"/>
                <w:szCs w:val="22"/>
              </w:rPr>
              <w:t>(20)</w:t>
            </w:r>
          </w:p>
        </w:tc>
        <w:tc>
          <w:tcPr>
            <w:tcW w:w="307" w:type="dxa"/>
            <w:shd w:val="clear" w:color="auto" w:fill="auto"/>
            <w:noWrap/>
            <w:vAlign w:val="center"/>
          </w:tcPr>
          <w:p w14:paraId="4B437B06" w14:textId="77777777" w:rsidR="00D974A1" w:rsidRPr="00E803CA" w:rsidRDefault="00D974A1" w:rsidP="003162ED">
            <w:pPr>
              <w:jc w:val="right"/>
              <w:rPr>
                <w:sz w:val="22"/>
                <w:szCs w:val="22"/>
              </w:rPr>
            </w:pPr>
          </w:p>
        </w:tc>
        <w:tc>
          <w:tcPr>
            <w:tcW w:w="1534" w:type="dxa"/>
            <w:tcBorders>
              <w:bottom w:val="single" w:sz="4" w:space="0" w:color="auto"/>
            </w:tcBorders>
            <w:shd w:val="clear" w:color="auto" w:fill="auto"/>
            <w:noWrap/>
            <w:vAlign w:val="center"/>
          </w:tcPr>
          <w:p w14:paraId="76D368B9" w14:textId="79CE489D" w:rsidR="00D974A1" w:rsidRPr="00E803CA" w:rsidRDefault="00915978" w:rsidP="00D925BF">
            <w:pPr>
              <w:jc w:val="right"/>
              <w:rPr>
                <w:sz w:val="22"/>
                <w:szCs w:val="22"/>
              </w:rPr>
            </w:pPr>
            <w:r>
              <w:rPr>
                <w:sz w:val="22"/>
                <w:szCs w:val="22"/>
              </w:rPr>
              <w:t>-</w:t>
            </w:r>
          </w:p>
        </w:tc>
        <w:tc>
          <w:tcPr>
            <w:tcW w:w="303" w:type="dxa"/>
            <w:shd w:val="clear" w:color="auto" w:fill="auto"/>
            <w:noWrap/>
            <w:vAlign w:val="center"/>
          </w:tcPr>
          <w:p w14:paraId="27656F5A" w14:textId="77777777" w:rsidR="00D974A1" w:rsidRPr="00E803CA" w:rsidRDefault="00D974A1" w:rsidP="003162ED">
            <w:pPr>
              <w:jc w:val="right"/>
              <w:rPr>
                <w:sz w:val="22"/>
                <w:szCs w:val="22"/>
              </w:rPr>
            </w:pPr>
          </w:p>
        </w:tc>
        <w:tc>
          <w:tcPr>
            <w:tcW w:w="542" w:type="dxa"/>
            <w:shd w:val="clear" w:color="auto" w:fill="auto"/>
            <w:noWrap/>
            <w:vAlign w:val="center"/>
          </w:tcPr>
          <w:p w14:paraId="796DAA21" w14:textId="77777777" w:rsidR="00D974A1" w:rsidRPr="00E803CA" w:rsidRDefault="00D974A1" w:rsidP="003162ED">
            <w:pPr>
              <w:jc w:val="right"/>
              <w:rPr>
                <w:sz w:val="22"/>
                <w:szCs w:val="22"/>
              </w:rPr>
            </w:pPr>
          </w:p>
        </w:tc>
        <w:tc>
          <w:tcPr>
            <w:tcW w:w="851" w:type="dxa"/>
            <w:tcBorders>
              <w:bottom w:val="single" w:sz="4" w:space="0" w:color="auto"/>
            </w:tcBorders>
            <w:shd w:val="clear" w:color="auto" w:fill="auto"/>
            <w:noWrap/>
            <w:vAlign w:val="center"/>
          </w:tcPr>
          <w:p w14:paraId="7F24BD67" w14:textId="3BEE751F" w:rsidR="00D974A1" w:rsidRPr="00E803CA" w:rsidRDefault="00E8347A" w:rsidP="003162ED">
            <w:pPr>
              <w:jc w:val="right"/>
              <w:rPr>
                <w:sz w:val="22"/>
                <w:szCs w:val="22"/>
              </w:rPr>
            </w:pPr>
            <w:r>
              <w:rPr>
                <w:sz w:val="22"/>
                <w:szCs w:val="22"/>
              </w:rPr>
              <w:t>(20)</w:t>
            </w:r>
          </w:p>
        </w:tc>
      </w:tr>
      <w:tr w:rsidR="007F6E07" w:rsidRPr="00E803CA" w14:paraId="2ABA4027" w14:textId="77777777" w:rsidTr="00F04B1D">
        <w:trPr>
          <w:trHeight w:val="312"/>
        </w:trPr>
        <w:tc>
          <w:tcPr>
            <w:tcW w:w="2679" w:type="dxa"/>
            <w:shd w:val="clear" w:color="auto" w:fill="auto"/>
            <w:noWrap/>
            <w:vAlign w:val="bottom"/>
            <w:hideMark/>
          </w:tcPr>
          <w:p w14:paraId="4DF096CF" w14:textId="4793D710" w:rsidR="007F6E07" w:rsidRPr="00E803CA" w:rsidRDefault="007F6E07" w:rsidP="003162ED">
            <w:pPr>
              <w:rPr>
                <w:sz w:val="22"/>
                <w:szCs w:val="22"/>
              </w:rPr>
            </w:pPr>
            <w:r w:rsidRPr="00E803CA">
              <w:rPr>
                <w:sz w:val="22"/>
                <w:szCs w:val="22"/>
              </w:rPr>
              <w:t>At 31 March 202</w:t>
            </w:r>
            <w:r w:rsidR="00432DAA">
              <w:rPr>
                <w:sz w:val="22"/>
                <w:szCs w:val="22"/>
              </w:rPr>
              <w:t>4</w:t>
            </w:r>
          </w:p>
        </w:tc>
        <w:tc>
          <w:tcPr>
            <w:tcW w:w="307" w:type="dxa"/>
          </w:tcPr>
          <w:p w14:paraId="21D65FD0" w14:textId="77777777" w:rsidR="007F6E07" w:rsidRPr="00E803CA" w:rsidRDefault="007F6E07" w:rsidP="003162ED">
            <w:pPr>
              <w:jc w:val="right"/>
              <w:rPr>
                <w:sz w:val="22"/>
                <w:szCs w:val="22"/>
              </w:rPr>
            </w:pPr>
          </w:p>
        </w:tc>
        <w:tc>
          <w:tcPr>
            <w:tcW w:w="307" w:type="dxa"/>
          </w:tcPr>
          <w:p w14:paraId="38267585"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vAlign w:val="center"/>
          </w:tcPr>
          <w:p w14:paraId="367749AE" w14:textId="33E664CD" w:rsidR="007F6E07" w:rsidRPr="00E803CA" w:rsidRDefault="00E8347A" w:rsidP="003162ED">
            <w:pPr>
              <w:jc w:val="right"/>
              <w:rPr>
                <w:sz w:val="22"/>
                <w:szCs w:val="22"/>
              </w:rPr>
            </w:pPr>
            <w:r>
              <w:rPr>
                <w:sz w:val="22"/>
                <w:szCs w:val="22"/>
              </w:rPr>
              <w:t>-</w:t>
            </w:r>
          </w:p>
        </w:tc>
        <w:tc>
          <w:tcPr>
            <w:tcW w:w="307" w:type="dxa"/>
            <w:shd w:val="clear" w:color="auto" w:fill="auto"/>
            <w:noWrap/>
            <w:vAlign w:val="center"/>
          </w:tcPr>
          <w:p w14:paraId="1952744D" w14:textId="77777777" w:rsidR="007F6E07" w:rsidRPr="00E803CA" w:rsidRDefault="007F6E07" w:rsidP="003162ED">
            <w:pPr>
              <w:jc w:val="right"/>
              <w:rPr>
                <w:sz w:val="22"/>
                <w:szCs w:val="22"/>
              </w:rPr>
            </w:pPr>
          </w:p>
        </w:tc>
        <w:tc>
          <w:tcPr>
            <w:tcW w:w="1534" w:type="dxa"/>
            <w:tcBorders>
              <w:top w:val="single" w:sz="4" w:space="0" w:color="auto"/>
              <w:bottom w:val="single" w:sz="4" w:space="0" w:color="auto"/>
            </w:tcBorders>
            <w:shd w:val="clear" w:color="auto" w:fill="auto"/>
            <w:noWrap/>
            <w:vAlign w:val="center"/>
          </w:tcPr>
          <w:p w14:paraId="0B446A85" w14:textId="55D8E324" w:rsidR="007F6E07" w:rsidRPr="00E803CA" w:rsidRDefault="00E8347A" w:rsidP="003162ED">
            <w:pPr>
              <w:jc w:val="right"/>
              <w:rPr>
                <w:sz w:val="22"/>
                <w:szCs w:val="22"/>
              </w:rPr>
            </w:pPr>
            <w:r>
              <w:rPr>
                <w:sz w:val="22"/>
                <w:szCs w:val="22"/>
              </w:rPr>
              <w:t>4,290</w:t>
            </w:r>
          </w:p>
        </w:tc>
        <w:tc>
          <w:tcPr>
            <w:tcW w:w="303" w:type="dxa"/>
            <w:shd w:val="clear" w:color="auto" w:fill="auto"/>
            <w:noWrap/>
            <w:vAlign w:val="center"/>
          </w:tcPr>
          <w:p w14:paraId="5AB71ACD" w14:textId="77777777" w:rsidR="007F6E07" w:rsidRPr="00E803CA" w:rsidRDefault="007F6E07" w:rsidP="003162ED">
            <w:pPr>
              <w:jc w:val="right"/>
              <w:rPr>
                <w:sz w:val="22"/>
                <w:szCs w:val="22"/>
              </w:rPr>
            </w:pPr>
          </w:p>
        </w:tc>
        <w:tc>
          <w:tcPr>
            <w:tcW w:w="542" w:type="dxa"/>
            <w:shd w:val="clear" w:color="auto" w:fill="auto"/>
            <w:noWrap/>
            <w:vAlign w:val="center"/>
          </w:tcPr>
          <w:p w14:paraId="3F7FE362" w14:textId="77777777" w:rsidR="007F6E07" w:rsidRPr="00E803CA" w:rsidRDefault="007F6E07" w:rsidP="003162ED">
            <w:pPr>
              <w:jc w:val="right"/>
              <w:rPr>
                <w:sz w:val="22"/>
                <w:szCs w:val="22"/>
              </w:rPr>
            </w:pPr>
          </w:p>
        </w:tc>
        <w:tc>
          <w:tcPr>
            <w:tcW w:w="851" w:type="dxa"/>
            <w:tcBorders>
              <w:top w:val="single" w:sz="4" w:space="0" w:color="auto"/>
              <w:bottom w:val="single" w:sz="4" w:space="0" w:color="auto"/>
            </w:tcBorders>
            <w:shd w:val="clear" w:color="auto" w:fill="auto"/>
            <w:noWrap/>
            <w:vAlign w:val="center"/>
          </w:tcPr>
          <w:p w14:paraId="2842EE3C" w14:textId="303D1F4C" w:rsidR="007F6E07" w:rsidRPr="00E803CA" w:rsidRDefault="00E8347A" w:rsidP="003162ED">
            <w:pPr>
              <w:jc w:val="right"/>
              <w:rPr>
                <w:sz w:val="22"/>
                <w:szCs w:val="22"/>
              </w:rPr>
            </w:pPr>
            <w:r>
              <w:rPr>
                <w:sz w:val="22"/>
                <w:szCs w:val="22"/>
              </w:rPr>
              <w:t>4,290</w:t>
            </w:r>
          </w:p>
        </w:tc>
      </w:tr>
      <w:tr w:rsidR="007F6E07" w:rsidRPr="00E803CA" w14:paraId="037D9F2D" w14:textId="77777777" w:rsidTr="00F04B1D">
        <w:trPr>
          <w:trHeight w:val="312"/>
        </w:trPr>
        <w:tc>
          <w:tcPr>
            <w:tcW w:w="2679" w:type="dxa"/>
            <w:shd w:val="clear" w:color="auto" w:fill="auto"/>
            <w:noWrap/>
            <w:vAlign w:val="bottom"/>
          </w:tcPr>
          <w:p w14:paraId="463BCF2A" w14:textId="77777777" w:rsidR="007F6E07" w:rsidRPr="00E803CA" w:rsidRDefault="007F6E07" w:rsidP="003162ED">
            <w:pPr>
              <w:rPr>
                <w:b/>
                <w:bCs/>
                <w:sz w:val="22"/>
                <w:szCs w:val="22"/>
              </w:rPr>
            </w:pPr>
          </w:p>
        </w:tc>
        <w:tc>
          <w:tcPr>
            <w:tcW w:w="307" w:type="dxa"/>
          </w:tcPr>
          <w:p w14:paraId="7F876488" w14:textId="77777777" w:rsidR="007F6E07" w:rsidRPr="00E803CA" w:rsidRDefault="007F6E07" w:rsidP="003162ED">
            <w:pPr>
              <w:jc w:val="right"/>
              <w:rPr>
                <w:sz w:val="22"/>
                <w:szCs w:val="22"/>
              </w:rPr>
            </w:pPr>
          </w:p>
        </w:tc>
        <w:tc>
          <w:tcPr>
            <w:tcW w:w="307" w:type="dxa"/>
          </w:tcPr>
          <w:p w14:paraId="0828B34A" w14:textId="77777777" w:rsidR="007F6E07" w:rsidRPr="00E803CA" w:rsidRDefault="007F6E07" w:rsidP="003162ED">
            <w:pPr>
              <w:jc w:val="right"/>
              <w:rPr>
                <w:sz w:val="22"/>
                <w:szCs w:val="22"/>
              </w:rPr>
            </w:pPr>
          </w:p>
        </w:tc>
        <w:tc>
          <w:tcPr>
            <w:tcW w:w="1534" w:type="dxa"/>
            <w:tcBorders>
              <w:top w:val="single" w:sz="4" w:space="0" w:color="auto"/>
            </w:tcBorders>
            <w:vAlign w:val="center"/>
          </w:tcPr>
          <w:p w14:paraId="1C72D75B" w14:textId="77777777" w:rsidR="007F6E07" w:rsidRPr="00E803CA" w:rsidRDefault="007F6E07" w:rsidP="003162ED">
            <w:pPr>
              <w:jc w:val="right"/>
              <w:rPr>
                <w:sz w:val="22"/>
                <w:szCs w:val="22"/>
              </w:rPr>
            </w:pPr>
          </w:p>
        </w:tc>
        <w:tc>
          <w:tcPr>
            <w:tcW w:w="307" w:type="dxa"/>
            <w:shd w:val="clear" w:color="auto" w:fill="auto"/>
            <w:noWrap/>
            <w:vAlign w:val="center"/>
          </w:tcPr>
          <w:p w14:paraId="7CBC7DBF" w14:textId="77777777" w:rsidR="007F6E07" w:rsidRPr="00E803CA" w:rsidRDefault="007F6E07" w:rsidP="003162ED">
            <w:pPr>
              <w:jc w:val="right"/>
              <w:rPr>
                <w:sz w:val="22"/>
                <w:szCs w:val="22"/>
              </w:rPr>
            </w:pPr>
          </w:p>
        </w:tc>
        <w:tc>
          <w:tcPr>
            <w:tcW w:w="1534" w:type="dxa"/>
            <w:tcBorders>
              <w:top w:val="single" w:sz="4" w:space="0" w:color="auto"/>
            </w:tcBorders>
            <w:shd w:val="clear" w:color="auto" w:fill="auto"/>
            <w:noWrap/>
            <w:vAlign w:val="center"/>
          </w:tcPr>
          <w:p w14:paraId="6630F15C" w14:textId="77777777" w:rsidR="007F6E07" w:rsidRPr="00E803CA" w:rsidRDefault="007F6E07" w:rsidP="003162ED">
            <w:pPr>
              <w:jc w:val="right"/>
              <w:rPr>
                <w:sz w:val="22"/>
                <w:szCs w:val="22"/>
              </w:rPr>
            </w:pPr>
          </w:p>
        </w:tc>
        <w:tc>
          <w:tcPr>
            <w:tcW w:w="303" w:type="dxa"/>
            <w:shd w:val="clear" w:color="auto" w:fill="auto"/>
            <w:noWrap/>
            <w:vAlign w:val="center"/>
          </w:tcPr>
          <w:p w14:paraId="7EA842B1" w14:textId="77777777" w:rsidR="007F6E07" w:rsidRPr="00E803CA" w:rsidRDefault="007F6E07" w:rsidP="003162ED">
            <w:pPr>
              <w:jc w:val="right"/>
              <w:rPr>
                <w:sz w:val="22"/>
                <w:szCs w:val="22"/>
              </w:rPr>
            </w:pPr>
          </w:p>
        </w:tc>
        <w:tc>
          <w:tcPr>
            <w:tcW w:w="542" w:type="dxa"/>
            <w:shd w:val="clear" w:color="auto" w:fill="auto"/>
            <w:noWrap/>
            <w:vAlign w:val="center"/>
          </w:tcPr>
          <w:p w14:paraId="3C2AA995" w14:textId="77777777" w:rsidR="007F6E07" w:rsidRPr="00E803CA" w:rsidRDefault="007F6E07" w:rsidP="003162ED">
            <w:pPr>
              <w:jc w:val="right"/>
              <w:rPr>
                <w:sz w:val="22"/>
                <w:szCs w:val="22"/>
              </w:rPr>
            </w:pPr>
          </w:p>
        </w:tc>
        <w:tc>
          <w:tcPr>
            <w:tcW w:w="851" w:type="dxa"/>
            <w:tcBorders>
              <w:top w:val="single" w:sz="4" w:space="0" w:color="auto"/>
            </w:tcBorders>
            <w:shd w:val="clear" w:color="auto" w:fill="auto"/>
            <w:noWrap/>
            <w:vAlign w:val="center"/>
          </w:tcPr>
          <w:p w14:paraId="4BB896CA" w14:textId="77777777" w:rsidR="007F6E07" w:rsidRPr="00E803CA" w:rsidRDefault="007F6E07" w:rsidP="003162ED">
            <w:pPr>
              <w:jc w:val="right"/>
              <w:rPr>
                <w:sz w:val="22"/>
                <w:szCs w:val="22"/>
              </w:rPr>
            </w:pPr>
          </w:p>
        </w:tc>
      </w:tr>
      <w:tr w:rsidR="007F6E07" w:rsidRPr="00E803CA" w14:paraId="05BC53B0" w14:textId="77777777" w:rsidTr="00AE6086">
        <w:trPr>
          <w:trHeight w:val="312"/>
        </w:trPr>
        <w:tc>
          <w:tcPr>
            <w:tcW w:w="2679" w:type="dxa"/>
            <w:shd w:val="clear" w:color="auto" w:fill="auto"/>
            <w:noWrap/>
            <w:vAlign w:val="bottom"/>
            <w:hideMark/>
          </w:tcPr>
          <w:p w14:paraId="05502205" w14:textId="77777777" w:rsidR="007F6E07" w:rsidRPr="00E803CA" w:rsidRDefault="007F6E07" w:rsidP="003162ED">
            <w:pPr>
              <w:rPr>
                <w:b/>
                <w:bCs/>
                <w:sz w:val="22"/>
                <w:szCs w:val="22"/>
              </w:rPr>
            </w:pPr>
            <w:r w:rsidRPr="00E803CA">
              <w:rPr>
                <w:b/>
                <w:bCs/>
                <w:sz w:val="22"/>
                <w:szCs w:val="22"/>
              </w:rPr>
              <w:t>Net Book Value</w:t>
            </w:r>
          </w:p>
        </w:tc>
        <w:tc>
          <w:tcPr>
            <w:tcW w:w="307" w:type="dxa"/>
          </w:tcPr>
          <w:p w14:paraId="6E35D4C8" w14:textId="77777777" w:rsidR="007F6E07" w:rsidRPr="00E803CA" w:rsidRDefault="007F6E07" w:rsidP="003162ED">
            <w:pPr>
              <w:jc w:val="right"/>
              <w:rPr>
                <w:sz w:val="22"/>
                <w:szCs w:val="22"/>
              </w:rPr>
            </w:pPr>
          </w:p>
        </w:tc>
        <w:tc>
          <w:tcPr>
            <w:tcW w:w="307" w:type="dxa"/>
          </w:tcPr>
          <w:p w14:paraId="2230FAFD" w14:textId="77777777" w:rsidR="007F6E07" w:rsidRPr="00E803CA" w:rsidRDefault="007F6E07" w:rsidP="003162ED">
            <w:pPr>
              <w:jc w:val="right"/>
              <w:rPr>
                <w:sz w:val="22"/>
                <w:szCs w:val="22"/>
              </w:rPr>
            </w:pPr>
          </w:p>
        </w:tc>
        <w:tc>
          <w:tcPr>
            <w:tcW w:w="1534" w:type="dxa"/>
            <w:vAlign w:val="center"/>
          </w:tcPr>
          <w:p w14:paraId="4C1978FA" w14:textId="77777777" w:rsidR="007F6E07" w:rsidRPr="00E803CA" w:rsidRDefault="007F6E07" w:rsidP="003162ED">
            <w:pPr>
              <w:jc w:val="right"/>
              <w:rPr>
                <w:sz w:val="22"/>
                <w:szCs w:val="22"/>
              </w:rPr>
            </w:pPr>
          </w:p>
        </w:tc>
        <w:tc>
          <w:tcPr>
            <w:tcW w:w="307" w:type="dxa"/>
            <w:shd w:val="clear" w:color="auto" w:fill="auto"/>
            <w:noWrap/>
            <w:vAlign w:val="center"/>
            <w:hideMark/>
          </w:tcPr>
          <w:p w14:paraId="0842EA16" w14:textId="77777777" w:rsidR="007F6E07" w:rsidRPr="00E803CA" w:rsidRDefault="007F6E07" w:rsidP="003162ED">
            <w:pPr>
              <w:jc w:val="right"/>
              <w:rPr>
                <w:sz w:val="22"/>
                <w:szCs w:val="22"/>
              </w:rPr>
            </w:pPr>
          </w:p>
        </w:tc>
        <w:tc>
          <w:tcPr>
            <w:tcW w:w="1534" w:type="dxa"/>
            <w:shd w:val="clear" w:color="auto" w:fill="auto"/>
            <w:noWrap/>
            <w:vAlign w:val="center"/>
            <w:hideMark/>
          </w:tcPr>
          <w:p w14:paraId="0A1B0A9D" w14:textId="77777777" w:rsidR="007F6E07" w:rsidRPr="00E803CA" w:rsidRDefault="007F6E07" w:rsidP="003162ED">
            <w:pPr>
              <w:jc w:val="right"/>
              <w:rPr>
                <w:sz w:val="22"/>
                <w:szCs w:val="22"/>
              </w:rPr>
            </w:pPr>
          </w:p>
        </w:tc>
        <w:tc>
          <w:tcPr>
            <w:tcW w:w="303" w:type="dxa"/>
            <w:shd w:val="clear" w:color="auto" w:fill="auto"/>
            <w:noWrap/>
            <w:vAlign w:val="center"/>
            <w:hideMark/>
          </w:tcPr>
          <w:p w14:paraId="4A72DA7D" w14:textId="77777777" w:rsidR="007F6E07" w:rsidRPr="00E803CA" w:rsidRDefault="007F6E07" w:rsidP="003162ED">
            <w:pPr>
              <w:jc w:val="right"/>
              <w:rPr>
                <w:sz w:val="22"/>
                <w:szCs w:val="22"/>
              </w:rPr>
            </w:pPr>
          </w:p>
        </w:tc>
        <w:tc>
          <w:tcPr>
            <w:tcW w:w="542" w:type="dxa"/>
            <w:shd w:val="clear" w:color="auto" w:fill="auto"/>
            <w:noWrap/>
            <w:vAlign w:val="center"/>
            <w:hideMark/>
          </w:tcPr>
          <w:p w14:paraId="0A203BAF" w14:textId="77777777" w:rsidR="007F6E07" w:rsidRPr="00E803CA" w:rsidRDefault="007F6E07" w:rsidP="003162ED">
            <w:pPr>
              <w:jc w:val="right"/>
              <w:rPr>
                <w:sz w:val="22"/>
                <w:szCs w:val="22"/>
              </w:rPr>
            </w:pPr>
          </w:p>
        </w:tc>
        <w:tc>
          <w:tcPr>
            <w:tcW w:w="851" w:type="dxa"/>
            <w:shd w:val="clear" w:color="auto" w:fill="auto"/>
            <w:noWrap/>
            <w:vAlign w:val="center"/>
            <w:hideMark/>
          </w:tcPr>
          <w:p w14:paraId="119E6CB0" w14:textId="77777777" w:rsidR="007F6E07" w:rsidRPr="00E803CA" w:rsidRDefault="007F6E07" w:rsidP="003162ED">
            <w:pPr>
              <w:jc w:val="right"/>
              <w:rPr>
                <w:sz w:val="22"/>
                <w:szCs w:val="22"/>
              </w:rPr>
            </w:pPr>
          </w:p>
        </w:tc>
      </w:tr>
      <w:tr w:rsidR="007F6E07" w:rsidRPr="00E803CA" w14:paraId="36EB957F" w14:textId="77777777" w:rsidTr="00AE6086">
        <w:trPr>
          <w:trHeight w:val="312"/>
        </w:trPr>
        <w:tc>
          <w:tcPr>
            <w:tcW w:w="2679" w:type="dxa"/>
            <w:shd w:val="clear" w:color="auto" w:fill="auto"/>
            <w:noWrap/>
            <w:vAlign w:val="bottom"/>
            <w:hideMark/>
          </w:tcPr>
          <w:p w14:paraId="24E33FCF" w14:textId="597C4D16" w:rsidR="007F6E07" w:rsidRPr="00E803CA" w:rsidRDefault="007F6E07" w:rsidP="003162ED">
            <w:pPr>
              <w:rPr>
                <w:sz w:val="22"/>
                <w:szCs w:val="22"/>
              </w:rPr>
            </w:pPr>
            <w:r w:rsidRPr="00E803CA">
              <w:rPr>
                <w:sz w:val="22"/>
                <w:szCs w:val="22"/>
              </w:rPr>
              <w:t>At 31 March 202</w:t>
            </w:r>
            <w:r w:rsidR="00F16AA9">
              <w:rPr>
                <w:sz w:val="22"/>
                <w:szCs w:val="22"/>
              </w:rPr>
              <w:t>4</w:t>
            </w:r>
          </w:p>
        </w:tc>
        <w:tc>
          <w:tcPr>
            <w:tcW w:w="307" w:type="dxa"/>
          </w:tcPr>
          <w:p w14:paraId="3D13BCDE" w14:textId="77777777" w:rsidR="007F6E07" w:rsidRPr="00E803CA" w:rsidRDefault="007F6E07" w:rsidP="003162ED">
            <w:pPr>
              <w:jc w:val="right"/>
              <w:rPr>
                <w:sz w:val="22"/>
                <w:szCs w:val="22"/>
              </w:rPr>
            </w:pPr>
          </w:p>
        </w:tc>
        <w:tc>
          <w:tcPr>
            <w:tcW w:w="307" w:type="dxa"/>
          </w:tcPr>
          <w:p w14:paraId="3941743B" w14:textId="77777777" w:rsidR="007F6E07" w:rsidRPr="00E803CA" w:rsidRDefault="007F6E07" w:rsidP="003162ED">
            <w:pPr>
              <w:jc w:val="right"/>
              <w:rPr>
                <w:sz w:val="22"/>
                <w:szCs w:val="22"/>
              </w:rPr>
            </w:pPr>
          </w:p>
        </w:tc>
        <w:tc>
          <w:tcPr>
            <w:tcW w:w="1534" w:type="dxa"/>
            <w:tcBorders>
              <w:bottom w:val="single" w:sz="4" w:space="0" w:color="auto"/>
            </w:tcBorders>
            <w:vAlign w:val="center"/>
          </w:tcPr>
          <w:p w14:paraId="1F14BE46" w14:textId="0C0EF9D5" w:rsidR="007F6E07" w:rsidRPr="00E803CA" w:rsidRDefault="00E8347A" w:rsidP="003162ED">
            <w:pPr>
              <w:jc w:val="right"/>
              <w:rPr>
                <w:sz w:val="22"/>
                <w:szCs w:val="22"/>
              </w:rPr>
            </w:pPr>
            <w:r>
              <w:rPr>
                <w:sz w:val="22"/>
                <w:szCs w:val="22"/>
              </w:rPr>
              <w:t>300</w:t>
            </w:r>
          </w:p>
        </w:tc>
        <w:tc>
          <w:tcPr>
            <w:tcW w:w="307" w:type="dxa"/>
            <w:shd w:val="clear" w:color="auto" w:fill="auto"/>
            <w:noWrap/>
            <w:vAlign w:val="center"/>
          </w:tcPr>
          <w:p w14:paraId="79D437CD" w14:textId="77777777" w:rsidR="007F6E07" w:rsidRPr="00E803CA" w:rsidRDefault="007F6E07" w:rsidP="003162ED">
            <w:pPr>
              <w:jc w:val="right"/>
              <w:rPr>
                <w:sz w:val="22"/>
                <w:szCs w:val="22"/>
              </w:rPr>
            </w:pPr>
          </w:p>
        </w:tc>
        <w:tc>
          <w:tcPr>
            <w:tcW w:w="1534" w:type="dxa"/>
            <w:tcBorders>
              <w:bottom w:val="single" w:sz="4" w:space="0" w:color="auto"/>
            </w:tcBorders>
            <w:shd w:val="clear" w:color="auto" w:fill="auto"/>
            <w:noWrap/>
            <w:vAlign w:val="center"/>
          </w:tcPr>
          <w:p w14:paraId="5D6DB266" w14:textId="7246EFD3" w:rsidR="007F6E07" w:rsidRPr="00E803CA" w:rsidRDefault="00E8347A" w:rsidP="003162ED">
            <w:pPr>
              <w:jc w:val="right"/>
              <w:rPr>
                <w:sz w:val="22"/>
                <w:szCs w:val="22"/>
              </w:rPr>
            </w:pPr>
            <w:r>
              <w:rPr>
                <w:sz w:val="22"/>
                <w:szCs w:val="22"/>
              </w:rPr>
              <w:t>1,578</w:t>
            </w:r>
          </w:p>
        </w:tc>
        <w:tc>
          <w:tcPr>
            <w:tcW w:w="303" w:type="dxa"/>
            <w:shd w:val="clear" w:color="auto" w:fill="auto"/>
            <w:noWrap/>
            <w:vAlign w:val="center"/>
          </w:tcPr>
          <w:p w14:paraId="5461E7DE" w14:textId="77777777" w:rsidR="007F6E07" w:rsidRPr="00E803CA" w:rsidRDefault="007F6E07" w:rsidP="003162ED">
            <w:pPr>
              <w:jc w:val="right"/>
              <w:rPr>
                <w:sz w:val="22"/>
                <w:szCs w:val="22"/>
              </w:rPr>
            </w:pPr>
          </w:p>
        </w:tc>
        <w:tc>
          <w:tcPr>
            <w:tcW w:w="542" w:type="dxa"/>
            <w:shd w:val="clear" w:color="auto" w:fill="auto"/>
            <w:noWrap/>
            <w:vAlign w:val="center"/>
          </w:tcPr>
          <w:p w14:paraId="35C36650" w14:textId="77777777" w:rsidR="007F6E07" w:rsidRPr="00E803CA" w:rsidRDefault="007F6E07" w:rsidP="003162ED">
            <w:pPr>
              <w:jc w:val="right"/>
              <w:rPr>
                <w:sz w:val="22"/>
                <w:szCs w:val="22"/>
              </w:rPr>
            </w:pPr>
          </w:p>
        </w:tc>
        <w:tc>
          <w:tcPr>
            <w:tcW w:w="851" w:type="dxa"/>
            <w:tcBorders>
              <w:bottom w:val="single" w:sz="4" w:space="0" w:color="auto"/>
            </w:tcBorders>
            <w:shd w:val="clear" w:color="auto" w:fill="auto"/>
            <w:noWrap/>
            <w:vAlign w:val="center"/>
          </w:tcPr>
          <w:p w14:paraId="2438ED12" w14:textId="22C3ED25" w:rsidR="007F6E07" w:rsidRPr="00E803CA" w:rsidRDefault="00E8347A" w:rsidP="003162ED">
            <w:pPr>
              <w:jc w:val="right"/>
              <w:rPr>
                <w:sz w:val="22"/>
                <w:szCs w:val="22"/>
              </w:rPr>
            </w:pPr>
            <w:r>
              <w:rPr>
                <w:sz w:val="22"/>
                <w:szCs w:val="22"/>
              </w:rPr>
              <w:t>1,878</w:t>
            </w:r>
          </w:p>
        </w:tc>
      </w:tr>
      <w:tr w:rsidR="00F16AA9" w:rsidRPr="00772547" w14:paraId="6E6F862F" w14:textId="77777777" w:rsidTr="00AE6086">
        <w:trPr>
          <w:trHeight w:val="312"/>
        </w:trPr>
        <w:tc>
          <w:tcPr>
            <w:tcW w:w="2679" w:type="dxa"/>
            <w:shd w:val="clear" w:color="auto" w:fill="auto"/>
            <w:noWrap/>
            <w:vAlign w:val="bottom"/>
            <w:hideMark/>
          </w:tcPr>
          <w:p w14:paraId="06D2E755" w14:textId="5027A0FB" w:rsidR="00F16AA9" w:rsidRPr="00E803CA" w:rsidRDefault="00F16AA9" w:rsidP="00F16AA9">
            <w:pPr>
              <w:rPr>
                <w:sz w:val="22"/>
                <w:szCs w:val="22"/>
              </w:rPr>
            </w:pPr>
            <w:r w:rsidRPr="00E803CA">
              <w:rPr>
                <w:sz w:val="22"/>
                <w:szCs w:val="22"/>
              </w:rPr>
              <w:t>At 31 March 202</w:t>
            </w:r>
            <w:r>
              <w:rPr>
                <w:sz w:val="22"/>
                <w:szCs w:val="22"/>
              </w:rPr>
              <w:t>3</w:t>
            </w:r>
          </w:p>
        </w:tc>
        <w:tc>
          <w:tcPr>
            <w:tcW w:w="307" w:type="dxa"/>
          </w:tcPr>
          <w:p w14:paraId="64015236" w14:textId="77777777" w:rsidR="00F16AA9" w:rsidRPr="00E803CA" w:rsidRDefault="00F16AA9" w:rsidP="00F16AA9">
            <w:pPr>
              <w:jc w:val="right"/>
              <w:rPr>
                <w:sz w:val="22"/>
                <w:szCs w:val="22"/>
              </w:rPr>
            </w:pPr>
          </w:p>
        </w:tc>
        <w:tc>
          <w:tcPr>
            <w:tcW w:w="307" w:type="dxa"/>
          </w:tcPr>
          <w:p w14:paraId="21BBD383" w14:textId="77777777" w:rsidR="00F16AA9" w:rsidRPr="00E803CA" w:rsidRDefault="00F16AA9" w:rsidP="00F16AA9">
            <w:pPr>
              <w:jc w:val="right"/>
              <w:rPr>
                <w:sz w:val="22"/>
                <w:szCs w:val="22"/>
              </w:rPr>
            </w:pPr>
          </w:p>
        </w:tc>
        <w:tc>
          <w:tcPr>
            <w:tcW w:w="1534" w:type="dxa"/>
            <w:tcBorders>
              <w:top w:val="single" w:sz="4" w:space="0" w:color="auto"/>
              <w:bottom w:val="single" w:sz="4" w:space="0" w:color="auto"/>
            </w:tcBorders>
            <w:vAlign w:val="center"/>
          </w:tcPr>
          <w:p w14:paraId="3DADFFAA" w14:textId="3FE10547" w:rsidR="00F16AA9" w:rsidRPr="00E803CA" w:rsidRDefault="00F16AA9" w:rsidP="00F16AA9">
            <w:pPr>
              <w:jc w:val="right"/>
              <w:rPr>
                <w:sz w:val="22"/>
                <w:szCs w:val="22"/>
              </w:rPr>
            </w:pPr>
            <w:r w:rsidRPr="00E803CA">
              <w:rPr>
                <w:sz w:val="22"/>
                <w:szCs w:val="22"/>
              </w:rPr>
              <w:t>300</w:t>
            </w:r>
          </w:p>
        </w:tc>
        <w:tc>
          <w:tcPr>
            <w:tcW w:w="307" w:type="dxa"/>
            <w:shd w:val="clear" w:color="auto" w:fill="auto"/>
            <w:noWrap/>
            <w:vAlign w:val="center"/>
            <w:hideMark/>
          </w:tcPr>
          <w:p w14:paraId="5735E3A4" w14:textId="77777777" w:rsidR="00F16AA9" w:rsidRPr="00E803CA" w:rsidRDefault="00F16AA9" w:rsidP="00F16AA9">
            <w:pPr>
              <w:jc w:val="right"/>
              <w:rPr>
                <w:sz w:val="22"/>
                <w:szCs w:val="22"/>
              </w:rPr>
            </w:pPr>
          </w:p>
        </w:tc>
        <w:tc>
          <w:tcPr>
            <w:tcW w:w="1534" w:type="dxa"/>
            <w:tcBorders>
              <w:top w:val="single" w:sz="4" w:space="0" w:color="auto"/>
              <w:bottom w:val="single" w:sz="4" w:space="0" w:color="auto"/>
            </w:tcBorders>
            <w:shd w:val="clear" w:color="auto" w:fill="auto"/>
            <w:noWrap/>
            <w:vAlign w:val="center"/>
            <w:hideMark/>
          </w:tcPr>
          <w:p w14:paraId="496ADDF9" w14:textId="7351663E" w:rsidR="00F16AA9" w:rsidRPr="00E803CA" w:rsidRDefault="00F16AA9" w:rsidP="00F16AA9">
            <w:pPr>
              <w:jc w:val="right"/>
              <w:rPr>
                <w:sz w:val="22"/>
                <w:szCs w:val="22"/>
              </w:rPr>
            </w:pPr>
            <w:r w:rsidRPr="00E803CA">
              <w:rPr>
                <w:sz w:val="22"/>
                <w:szCs w:val="22"/>
              </w:rPr>
              <w:t>1,106</w:t>
            </w:r>
          </w:p>
        </w:tc>
        <w:tc>
          <w:tcPr>
            <w:tcW w:w="303" w:type="dxa"/>
            <w:shd w:val="clear" w:color="auto" w:fill="auto"/>
            <w:noWrap/>
            <w:vAlign w:val="center"/>
            <w:hideMark/>
          </w:tcPr>
          <w:p w14:paraId="23D279AB" w14:textId="77777777" w:rsidR="00F16AA9" w:rsidRPr="00E803CA" w:rsidRDefault="00F16AA9" w:rsidP="00F16AA9">
            <w:pPr>
              <w:jc w:val="right"/>
              <w:rPr>
                <w:sz w:val="22"/>
                <w:szCs w:val="22"/>
              </w:rPr>
            </w:pPr>
          </w:p>
        </w:tc>
        <w:tc>
          <w:tcPr>
            <w:tcW w:w="542" w:type="dxa"/>
            <w:shd w:val="clear" w:color="auto" w:fill="auto"/>
            <w:noWrap/>
            <w:vAlign w:val="center"/>
            <w:hideMark/>
          </w:tcPr>
          <w:p w14:paraId="74455840" w14:textId="77777777" w:rsidR="00F16AA9" w:rsidRPr="00E803CA" w:rsidRDefault="00F16AA9" w:rsidP="00F16AA9">
            <w:pPr>
              <w:jc w:val="right"/>
              <w:rPr>
                <w:sz w:val="22"/>
                <w:szCs w:val="22"/>
              </w:rPr>
            </w:pPr>
          </w:p>
        </w:tc>
        <w:tc>
          <w:tcPr>
            <w:tcW w:w="851" w:type="dxa"/>
            <w:tcBorders>
              <w:top w:val="single" w:sz="4" w:space="0" w:color="auto"/>
              <w:bottom w:val="single" w:sz="4" w:space="0" w:color="auto"/>
            </w:tcBorders>
            <w:shd w:val="clear" w:color="auto" w:fill="auto"/>
            <w:noWrap/>
            <w:vAlign w:val="center"/>
            <w:hideMark/>
          </w:tcPr>
          <w:p w14:paraId="23577D52" w14:textId="7F1B61D0" w:rsidR="00F16AA9" w:rsidRPr="00772547" w:rsidRDefault="00F16AA9" w:rsidP="00F16AA9">
            <w:pPr>
              <w:jc w:val="right"/>
              <w:rPr>
                <w:sz w:val="22"/>
                <w:szCs w:val="22"/>
              </w:rPr>
            </w:pPr>
            <w:r w:rsidRPr="00E803CA">
              <w:rPr>
                <w:sz w:val="22"/>
                <w:szCs w:val="22"/>
              </w:rPr>
              <w:t>1,406</w:t>
            </w:r>
          </w:p>
        </w:tc>
      </w:tr>
    </w:tbl>
    <w:p w14:paraId="38D6977F" w14:textId="77777777" w:rsidR="00246ACC" w:rsidRPr="00772547" w:rsidRDefault="00246ACC" w:rsidP="00795442">
      <w:pPr>
        <w:pStyle w:val="BodyText"/>
        <w:jc w:val="both"/>
        <w:rPr>
          <w:b/>
          <w:bCs/>
          <w:sz w:val="22"/>
          <w:szCs w:val="20"/>
        </w:rPr>
      </w:pPr>
    </w:p>
    <w:tbl>
      <w:tblPr>
        <w:tblpPr w:leftFromText="180" w:rightFromText="180" w:vertAnchor="text" w:horzAnchor="margin" w:tblpXSpec="center" w:tblpY="-51"/>
        <w:tblW w:w="8512" w:type="dxa"/>
        <w:tblLook w:val="04A0" w:firstRow="1" w:lastRow="0" w:firstColumn="1" w:lastColumn="0" w:noHBand="0" w:noVBand="1"/>
      </w:tblPr>
      <w:tblGrid>
        <w:gridCol w:w="2631"/>
        <w:gridCol w:w="300"/>
        <w:gridCol w:w="471"/>
        <w:gridCol w:w="1328"/>
        <w:gridCol w:w="515"/>
        <w:gridCol w:w="1418"/>
        <w:gridCol w:w="283"/>
        <w:gridCol w:w="284"/>
        <w:gridCol w:w="283"/>
        <w:gridCol w:w="999"/>
      </w:tblGrid>
      <w:tr w:rsidR="007F6E07" w:rsidRPr="00772547" w14:paraId="131220E2" w14:textId="77777777" w:rsidTr="00E83687">
        <w:trPr>
          <w:trHeight w:val="383"/>
        </w:trPr>
        <w:tc>
          <w:tcPr>
            <w:tcW w:w="2631" w:type="dxa"/>
            <w:shd w:val="clear" w:color="auto" w:fill="auto"/>
            <w:noWrap/>
            <w:vAlign w:val="bottom"/>
            <w:hideMark/>
          </w:tcPr>
          <w:p w14:paraId="21D56488" w14:textId="77777777" w:rsidR="007F6E07" w:rsidRPr="00E803CA" w:rsidRDefault="007F6E07" w:rsidP="00E62243">
            <w:pPr>
              <w:ind w:left="34" w:firstLine="34"/>
              <w:rPr>
                <w:b/>
                <w:bCs/>
                <w:sz w:val="22"/>
                <w:szCs w:val="22"/>
              </w:rPr>
            </w:pPr>
            <w:r w:rsidRPr="00E803CA">
              <w:rPr>
                <w:b/>
                <w:bCs/>
                <w:sz w:val="22"/>
                <w:szCs w:val="22"/>
              </w:rPr>
              <w:t>Net Book Value - cost</w:t>
            </w:r>
          </w:p>
          <w:p w14:paraId="127E6E48" w14:textId="77777777" w:rsidR="007F6E07" w:rsidRPr="00E803CA" w:rsidRDefault="007F6E07" w:rsidP="00E62243">
            <w:pPr>
              <w:ind w:left="34" w:firstLine="34"/>
              <w:rPr>
                <w:b/>
                <w:bCs/>
                <w:sz w:val="22"/>
                <w:szCs w:val="22"/>
              </w:rPr>
            </w:pPr>
          </w:p>
        </w:tc>
        <w:tc>
          <w:tcPr>
            <w:tcW w:w="300" w:type="dxa"/>
          </w:tcPr>
          <w:p w14:paraId="17596E77" w14:textId="77777777" w:rsidR="007F6E07" w:rsidRPr="00E803CA" w:rsidRDefault="007F6E07" w:rsidP="00E62243">
            <w:pPr>
              <w:ind w:left="34" w:firstLine="34"/>
              <w:jc w:val="right"/>
              <w:rPr>
                <w:sz w:val="22"/>
                <w:szCs w:val="22"/>
              </w:rPr>
            </w:pPr>
          </w:p>
        </w:tc>
        <w:tc>
          <w:tcPr>
            <w:tcW w:w="471" w:type="dxa"/>
          </w:tcPr>
          <w:p w14:paraId="5CEF8872" w14:textId="77777777" w:rsidR="007F6E07" w:rsidRPr="00E803CA" w:rsidRDefault="007F6E07" w:rsidP="00E62243">
            <w:pPr>
              <w:ind w:left="34" w:firstLine="34"/>
              <w:jc w:val="right"/>
              <w:rPr>
                <w:sz w:val="22"/>
                <w:szCs w:val="22"/>
              </w:rPr>
            </w:pPr>
          </w:p>
        </w:tc>
        <w:tc>
          <w:tcPr>
            <w:tcW w:w="1328" w:type="dxa"/>
            <w:vAlign w:val="center"/>
          </w:tcPr>
          <w:p w14:paraId="6C52669C" w14:textId="77777777" w:rsidR="007F6E07" w:rsidRPr="00E803CA" w:rsidRDefault="007F6E07" w:rsidP="00E62243">
            <w:pPr>
              <w:ind w:left="34" w:firstLine="34"/>
              <w:jc w:val="right"/>
              <w:rPr>
                <w:sz w:val="22"/>
                <w:szCs w:val="22"/>
              </w:rPr>
            </w:pPr>
          </w:p>
        </w:tc>
        <w:tc>
          <w:tcPr>
            <w:tcW w:w="515" w:type="dxa"/>
            <w:shd w:val="clear" w:color="auto" w:fill="auto"/>
            <w:noWrap/>
            <w:vAlign w:val="center"/>
            <w:hideMark/>
          </w:tcPr>
          <w:p w14:paraId="30376FC6" w14:textId="77777777" w:rsidR="007F6E07" w:rsidRPr="00E803CA" w:rsidRDefault="007F6E07" w:rsidP="00E62243">
            <w:pPr>
              <w:ind w:left="34" w:firstLine="34"/>
              <w:jc w:val="right"/>
              <w:rPr>
                <w:sz w:val="22"/>
                <w:szCs w:val="22"/>
              </w:rPr>
            </w:pPr>
          </w:p>
        </w:tc>
        <w:tc>
          <w:tcPr>
            <w:tcW w:w="1418" w:type="dxa"/>
            <w:shd w:val="clear" w:color="auto" w:fill="auto"/>
            <w:noWrap/>
            <w:vAlign w:val="center"/>
            <w:hideMark/>
          </w:tcPr>
          <w:p w14:paraId="59C7D792" w14:textId="77777777" w:rsidR="007F6E07" w:rsidRPr="00E803CA" w:rsidRDefault="007F6E07" w:rsidP="00E62243">
            <w:pPr>
              <w:ind w:left="34" w:firstLine="34"/>
              <w:jc w:val="right"/>
              <w:rPr>
                <w:sz w:val="22"/>
                <w:szCs w:val="22"/>
              </w:rPr>
            </w:pPr>
          </w:p>
        </w:tc>
        <w:tc>
          <w:tcPr>
            <w:tcW w:w="283" w:type="dxa"/>
            <w:shd w:val="clear" w:color="auto" w:fill="auto"/>
            <w:noWrap/>
            <w:vAlign w:val="center"/>
            <w:hideMark/>
          </w:tcPr>
          <w:p w14:paraId="62A5D14E" w14:textId="77777777" w:rsidR="007F6E07" w:rsidRPr="00E803CA" w:rsidRDefault="007F6E07" w:rsidP="00E62243">
            <w:pPr>
              <w:ind w:left="34" w:firstLine="34"/>
              <w:jc w:val="right"/>
              <w:rPr>
                <w:sz w:val="22"/>
                <w:szCs w:val="22"/>
              </w:rPr>
            </w:pPr>
          </w:p>
        </w:tc>
        <w:tc>
          <w:tcPr>
            <w:tcW w:w="284" w:type="dxa"/>
            <w:shd w:val="clear" w:color="auto" w:fill="auto"/>
            <w:noWrap/>
            <w:vAlign w:val="center"/>
            <w:hideMark/>
          </w:tcPr>
          <w:p w14:paraId="0E5B924D" w14:textId="77777777" w:rsidR="007F6E07" w:rsidRPr="00E803CA" w:rsidRDefault="007F6E07" w:rsidP="00E62243">
            <w:pPr>
              <w:ind w:left="34" w:firstLine="34"/>
              <w:jc w:val="right"/>
              <w:rPr>
                <w:sz w:val="22"/>
                <w:szCs w:val="22"/>
              </w:rPr>
            </w:pPr>
          </w:p>
        </w:tc>
        <w:tc>
          <w:tcPr>
            <w:tcW w:w="283" w:type="dxa"/>
            <w:shd w:val="clear" w:color="auto" w:fill="auto"/>
            <w:noWrap/>
            <w:vAlign w:val="center"/>
            <w:hideMark/>
          </w:tcPr>
          <w:p w14:paraId="6A085C34" w14:textId="77777777" w:rsidR="007F6E07" w:rsidRPr="00E803CA" w:rsidRDefault="007F6E07" w:rsidP="00E62243">
            <w:pPr>
              <w:ind w:left="34" w:firstLine="34"/>
              <w:jc w:val="right"/>
              <w:rPr>
                <w:sz w:val="22"/>
                <w:szCs w:val="22"/>
              </w:rPr>
            </w:pPr>
          </w:p>
        </w:tc>
        <w:tc>
          <w:tcPr>
            <w:tcW w:w="999" w:type="dxa"/>
            <w:shd w:val="clear" w:color="auto" w:fill="auto"/>
            <w:noWrap/>
            <w:vAlign w:val="center"/>
            <w:hideMark/>
          </w:tcPr>
          <w:p w14:paraId="5DC614A0" w14:textId="77777777" w:rsidR="007F6E07" w:rsidRPr="00E803CA" w:rsidRDefault="007F6E07" w:rsidP="00E62243">
            <w:pPr>
              <w:ind w:left="34" w:firstLine="34"/>
              <w:jc w:val="right"/>
              <w:rPr>
                <w:sz w:val="22"/>
                <w:szCs w:val="22"/>
              </w:rPr>
            </w:pPr>
          </w:p>
        </w:tc>
      </w:tr>
      <w:tr w:rsidR="007F6E07" w:rsidRPr="00175316" w14:paraId="12A98F97" w14:textId="77777777" w:rsidTr="00E83687">
        <w:trPr>
          <w:trHeight w:val="383"/>
        </w:trPr>
        <w:tc>
          <w:tcPr>
            <w:tcW w:w="2631" w:type="dxa"/>
            <w:shd w:val="clear" w:color="auto" w:fill="auto"/>
            <w:noWrap/>
            <w:vAlign w:val="bottom"/>
            <w:hideMark/>
          </w:tcPr>
          <w:p w14:paraId="39844103" w14:textId="34E05651" w:rsidR="007F6E07" w:rsidRPr="00E803CA" w:rsidRDefault="007F6E07" w:rsidP="00E62243">
            <w:pPr>
              <w:ind w:left="34" w:firstLine="34"/>
              <w:rPr>
                <w:sz w:val="22"/>
                <w:szCs w:val="22"/>
              </w:rPr>
            </w:pPr>
            <w:r w:rsidRPr="00E803CA">
              <w:rPr>
                <w:sz w:val="22"/>
                <w:szCs w:val="22"/>
              </w:rPr>
              <w:t>At 31 March 202</w:t>
            </w:r>
            <w:r w:rsidR="006F41C1">
              <w:rPr>
                <w:sz w:val="22"/>
                <w:szCs w:val="22"/>
              </w:rPr>
              <w:t>4</w:t>
            </w:r>
          </w:p>
        </w:tc>
        <w:tc>
          <w:tcPr>
            <w:tcW w:w="300" w:type="dxa"/>
          </w:tcPr>
          <w:p w14:paraId="21BEF1CC" w14:textId="77777777" w:rsidR="007F6E07" w:rsidRPr="00E803CA" w:rsidRDefault="007F6E07" w:rsidP="00E62243">
            <w:pPr>
              <w:ind w:left="34" w:firstLine="34"/>
              <w:jc w:val="right"/>
              <w:rPr>
                <w:sz w:val="22"/>
                <w:szCs w:val="22"/>
              </w:rPr>
            </w:pPr>
          </w:p>
        </w:tc>
        <w:tc>
          <w:tcPr>
            <w:tcW w:w="471" w:type="dxa"/>
          </w:tcPr>
          <w:p w14:paraId="354EF38E" w14:textId="77777777" w:rsidR="007F6E07" w:rsidRPr="00E803CA" w:rsidRDefault="007F6E07" w:rsidP="00E62243">
            <w:pPr>
              <w:ind w:left="34" w:firstLine="34"/>
              <w:jc w:val="right"/>
              <w:rPr>
                <w:sz w:val="22"/>
                <w:szCs w:val="22"/>
              </w:rPr>
            </w:pPr>
          </w:p>
        </w:tc>
        <w:tc>
          <w:tcPr>
            <w:tcW w:w="1328" w:type="dxa"/>
            <w:tcBorders>
              <w:bottom w:val="single" w:sz="4" w:space="0" w:color="auto"/>
            </w:tcBorders>
            <w:vAlign w:val="center"/>
          </w:tcPr>
          <w:p w14:paraId="30E25D43" w14:textId="1427837F" w:rsidR="007F6E07" w:rsidRPr="00E803CA" w:rsidRDefault="00A8169F" w:rsidP="00E62243">
            <w:pPr>
              <w:ind w:left="34" w:firstLine="34"/>
              <w:jc w:val="right"/>
              <w:rPr>
                <w:sz w:val="22"/>
                <w:szCs w:val="22"/>
              </w:rPr>
            </w:pPr>
            <w:r>
              <w:rPr>
                <w:sz w:val="22"/>
                <w:szCs w:val="22"/>
              </w:rPr>
              <w:t>786</w:t>
            </w:r>
          </w:p>
        </w:tc>
        <w:tc>
          <w:tcPr>
            <w:tcW w:w="515" w:type="dxa"/>
            <w:shd w:val="clear" w:color="auto" w:fill="auto"/>
            <w:noWrap/>
            <w:vAlign w:val="center"/>
          </w:tcPr>
          <w:p w14:paraId="7720A289" w14:textId="77777777" w:rsidR="007F6E07" w:rsidRPr="00E803CA" w:rsidRDefault="007F6E07" w:rsidP="00E62243">
            <w:pPr>
              <w:ind w:left="34" w:firstLine="34"/>
              <w:jc w:val="right"/>
              <w:rPr>
                <w:sz w:val="22"/>
                <w:szCs w:val="22"/>
              </w:rPr>
            </w:pPr>
          </w:p>
        </w:tc>
        <w:tc>
          <w:tcPr>
            <w:tcW w:w="1418" w:type="dxa"/>
            <w:tcBorders>
              <w:bottom w:val="single" w:sz="4" w:space="0" w:color="auto"/>
            </w:tcBorders>
            <w:shd w:val="clear" w:color="auto" w:fill="auto"/>
            <w:noWrap/>
            <w:vAlign w:val="center"/>
          </w:tcPr>
          <w:p w14:paraId="3A0861BF" w14:textId="32140589" w:rsidR="007F6E07" w:rsidRPr="00E803CA" w:rsidRDefault="00A8169F" w:rsidP="00E62243">
            <w:pPr>
              <w:ind w:left="34" w:firstLine="34"/>
              <w:jc w:val="right"/>
              <w:rPr>
                <w:sz w:val="22"/>
                <w:szCs w:val="22"/>
              </w:rPr>
            </w:pPr>
            <w:r>
              <w:rPr>
                <w:sz w:val="22"/>
                <w:szCs w:val="22"/>
              </w:rPr>
              <w:t>1,578</w:t>
            </w:r>
          </w:p>
        </w:tc>
        <w:tc>
          <w:tcPr>
            <w:tcW w:w="283" w:type="dxa"/>
            <w:shd w:val="clear" w:color="auto" w:fill="auto"/>
            <w:noWrap/>
            <w:vAlign w:val="center"/>
          </w:tcPr>
          <w:p w14:paraId="6E9ABF84" w14:textId="77777777" w:rsidR="007F6E07" w:rsidRPr="00E803CA" w:rsidRDefault="007F6E07" w:rsidP="00E62243">
            <w:pPr>
              <w:ind w:left="34" w:firstLine="34"/>
              <w:jc w:val="right"/>
              <w:rPr>
                <w:sz w:val="22"/>
                <w:szCs w:val="22"/>
              </w:rPr>
            </w:pPr>
          </w:p>
        </w:tc>
        <w:tc>
          <w:tcPr>
            <w:tcW w:w="284" w:type="dxa"/>
            <w:shd w:val="clear" w:color="auto" w:fill="auto"/>
            <w:noWrap/>
            <w:vAlign w:val="center"/>
          </w:tcPr>
          <w:p w14:paraId="41B210B5" w14:textId="77777777" w:rsidR="007F6E07" w:rsidRPr="00E803CA" w:rsidRDefault="007F6E07" w:rsidP="00E62243">
            <w:pPr>
              <w:ind w:left="34" w:firstLine="34"/>
              <w:jc w:val="right"/>
              <w:rPr>
                <w:sz w:val="22"/>
                <w:szCs w:val="22"/>
              </w:rPr>
            </w:pPr>
          </w:p>
        </w:tc>
        <w:tc>
          <w:tcPr>
            <w:tcW w:w="283" w:type="dxa"/>
            <w:shd w:val="clear" w:color="auto" w:fill="auto"/>
            <w:noWrap/>
            <w:vAlign w:val="center"/>
          </w:tcPr>
          <w:p w14:paraId="6737BD01" w14:textId="77777777" w:rsidR="007F6E07" w:rsidRPr="00E803CA" w:rsidRDefault="007F6E07" w:rsidP="00E62243">
            <w:pPr>
              <w:ind w:left="34" w:firstLine="34"/>
              <w:jc w:val="right"/>
              <w:rPr>
                <w:sz w:val="22"/>
                <w:szCs w:val="22"/>
              </w:rPr>
            </w:pPr>
          </w:p>
        </w:tc>
        <w:tc>
          <w:tcPr>
            <w:tcW w:w="999" w:type="dxa"/>
            <w:tcBorders>
              <w:bottom w:val="single" w:sz="4" w:space="0" w:color="auto"/>
            </w:tcBorders>
            <w:shd w:val="clear" w:color="auto" w:fill="auto"/>
            <w:noWrap/>
            <w:vAlign w:val="center"/>
          </w:tcPr>
          <w:p w14:paraId="605AB39E" w14:textId="7AAE9DAA" w:rsidR="007F6E07" w:rsidRPr="00E803CA" w:rsidRDefault="009D697A" w:rsidP="00E62243">
            <w:pPr>
              <w:ind w:left="34" w:firstLine="34"/>
              <w:jc w:val="right"/>
              <w:rPr>
                <w:sz w:val="22"/>
                <w:szCs w:val="22"/>
              </w:rPr>
            </w:pPr>
            <w:r>
              <w:rPr>
                <w:sz w:val="22"/>
                <w:szCs w:val="22"/>
              </w:rPr>
              <w:t>2,364</w:t>
            </w:r>
          </w:p>
        </w:tc>
      </w:tr>
      <w:tr w:rsidR="006F41C1" w:rsidRPr="00175316" w14:paraId="6906613C" w14:textId="77777777" w:rsidTr="00E83687">
        <w:trPr>
          <w:trHeight w:val="383"/>
        </w:trPr>
        <w:tc>
          <w:tcPr>
            <w:tcW w:w="2631" w:type="dxa"/>
            <w:shd w:val="clear" w:color="auto" w:fill="auto"/>
            <w:noWrap/>
            <w:vAlign w:val="bottom"/>
            <w:hideMark/>
          </w:tcPr>
          <w:p w14:paraId="0DF64982" w14:textId="76BF0CD8" w:rsidR="006F41C1" w:rsidRPr="00E803CA" w:rsidRDefault="006F41C1" w:rsidP="006F41C1">
            <w:pPr>
              <w:ind w:left="34" w:firstLine="34"/>
              <w:rPr>
                <w:sz w:val="22"/>
                <w:szCs w:val="22"/>
              </w:rPr>
            </w:pPr>
            <w:r w:rsidRPr="00E803CA">
              <w:rPr>
                <w:sz w:val="22"/>
                <w:szCs w:val="22"/>
              </w:rPr>
              <w:t>At 31 March 202</w:t>
            </w:r>
            <w:r>
              <w:rPr>
                <w:sz w:val="22"/>
                <w:szCs w:val="22"/>
              </w:rPr>
              <w:t>3</w:t>
            </w:r>
          </w:p>
        </w:tc>
        <w:tc>
          <w:tcPr>
            <w:tcW w:w="300" w:type="dxa"/>
          </w:tcPr>
          <w:p w14:paraId="3C6EB5CD" w14:textId="77777777" w:rsidR="006F41C1" w:rsidRPr="00E803CA" w:rsidRDefault="006F41C1" w:rsidP="006F41C1">
            <w:pPr>
              <w:ind w:left="34" w:firstLine="34"/>
              <w:jc w:val="right"/>
              <w:rPr>
                <w:sz w:val="22"/>
                <w:szCs w:val="22"/>
              </w:rPr>
            </w:pPr>
          </w:p>
        </w:tc>
        <w:tc>
          <w:tcPr>
            <w:tcW w:w="471" w:type="dxa"/>
          </w:tcPr>
          <w:p w14:paraId="7E414E70" w14:textId="77777777" w:rsidR="006F41C1" w:rsidRPr="00E803CA" w:rsidRDefault="006F41C1" w:rsidP="006F41C1">
            <w:pPr>
              <w:ind w:left="34" w:firstLine="34"/>
              <w:jc w:val="right"/>
              <w:rPr>
                <w:sz w:val="22"/>
                <w:szCs w:val="22"/>
              </w:rPr>
            </w:pPr>
          </w:p>
        </w:tc>
        <w:tc>
          <w:tcPr>
            <w:tcW w:w="1328" w:type="dxa"/>
            <w:tcBorders>
              <w:top w:val="single" w:sz="4" w:space="0" w:color="auto"/>
              <w:bottom w:val="single" w:sz="4" w:space="0" w:color="auto"/>
            </w:tcBorders>
            <w:vAlign w:val="center"/>
          </w:tcPr>
          <w:p w14:paraId="2A6B1E24" w14:textId="3F426928" w:rsidR="006F41C1" w:rsidRPr="00E803CA" w:rsidRDefault="006F41C1" w:rsidP="006F41C1">
            <w:pPr>
              <w:ind w:left="34" w:firstLine="34"/>
              <w:jc w:val="right"/>
              <w:rPr>
                <w:sz w:val="22"/>
                <w:szCs w:val="22"/>
              </w:rPr>
            </w:pPr>
            <w:r w:rsidRPr="00E803CA">
              <w:rPr>
                <w:sz w:val="22"/>
                <w:szCs w:val="22"/>
              </w:rPr>
              <w:t>789</w:t>
            </w:r>
          </w:p>
        </w:tc>
        <w:tc>
          <w:tcPr>
            <w:tcW w:w="515" w:type="dxa"/>
            <w:shd w:val="clear" w:color="auto" w:fill="auto"/>
            <w:noWrap/>
            <w:vAlign w:val="center"/>
            <w:hideMark/>
          </w:tcPr>
          <w:p w14:paraId="6A7023DE" w14:textId="77777777" w:rsidR="006F41C1" w:rsidRPr="00E803CA" w:rsidRDefault="006F41C1" w:rsidP="006F41C1">
            <w:pPr>
              <w:ind w:left="34" w:firstLine="34"/>
              <w:jc w:val="right"/>
              <w:rPr>
                <w:sz w:val="22"/>
                <w:szCs w:val="22"/>
              </w:rPr>
            </w:pPr>
          </w:p>
        </w:tc>
        <w:tc>
          <w:tcPr>
            <w:tcW w:w="1418" w:type="dxa"/>
            <w:tcBorders>
              <w:top w:val="single" w:sz="4" w:space="0" w:color="auto"/>
              <w:bottom w:val="single" w:sz="4" w:space="0" w:color="auto"/>
            </w:tcBorders>
            <w:shd w:val="clear" w:color="auto" w:fill="auto"/>
            <w:noWrap/>
            <w:vAlign w:val="center"/>
            <w:hideMark/>
          </w:tcPr>
          <w:p w14:paraId="6B1CDEDA" w14:textId="446E110C" w:rsidR="006F41C1" w:rsidRPr="00E803CA" w:rsidRDefault="006F41C1" w:rsidP="006F41C1">
            <w:pPr>
              <w:ind w:left="34" w:firstLine="34"/>
              <w:jc w:val="right"/>
              <w:rPr>
                <w:sz w:val="22"/>
                <w:szCs w:val="22"/>
              </w:rPr>
            </w:pPr>
            <w:r w:rsidRPr="00E803CA">
              <w:rPr>
                <w:sz w:val="22"/>
                <w:szCs w:val="22"/>
              </w:rPr>
              <w:t>1,106</w:t>
            </w:r>
          </w:p>
        </w:tc>
        <w:tc>
          <w:tcPr>
            <w:tcW w:w="283" w:type="dxa"/>
            <w:shd w:val="clear" w:color="auto" w:fill="auto"/>
            <w:noWrap/>
            <w:vAlign w:val="center"/>
            <w:hideMark/>
          </w:tcPr>
          <w:p w14:paraId="4D9E3DEA" w14:textId="77777777" w:rsidR="006F41C1" w:rsidRPr="00E803CA" w:rsidRDefault="006F41C1" w:rsidP="006F41C1">
            <w:pPr>
              <w:ind w:left="34" w:firstLine="34"/>
              <w:jc w:val="right"/>
              <w:rPr>
                <w:sz w:val="22"/>
                <w:szCs w:val="22"/>
              </w:rPr>
            </w:pPr>
          </w:p>
        </w:tc>
        <w:tc>
          <w:tcPr>
            <w:tcW w:w="284" w:type="dxa"/>
            <w:shd w:val="clear" w:color="auto" w:fill="auto"/>
            <w:noWrap/>
            <w:vAlign w:val="center"/>
            <w:hideMark/>
          </w:tcPr>
          <w:p w14:paraId="4ABA296D" w14:textId="77777777" w:rsidR="006F41C1" w:rsidRPr="00E803CA" w:rsidRDefault="006F41C1" w:rsidP="006F41C1">
            <w:pPr>
              <w:ind w:left="34" w:firstLine="34"/>
              <w:jc w:val="right"/>
              <w:rPr>
                <w:sz w:val="22"/>
                <w:szCs w:val="22"/>
              </w:rPr>
            </w:pPr>
          </w:p>
        </w:tc>
        <w:tc>
          <w:tcPr>
            <w:tcW w:w="283" w:type="dxa"/>
            <w:shd w:val="clear" w:color="auto" w:fill="auto"/>
            <w:noWrap/>
            <w:vAlign w:val="center"/>
            <w:hideMark/>
          </w:tcPr>
          <w:p w14:paraId="62D41842" w14:textId="77777777" w:rsidR="006F41C1" w:rsidRPr="00E803CA" w:rsidRDefault="006F41C1" w:rsidP="006F41C1">
            <w:pPr>
              <w:ind w:left="34" w:firstLine="34"/>
              <w:jc w:val="right"/>
              <w:rPr>
                <w:sz w:val="22"/>
                <w:szCs w:val="22"/>
              </w:rPr>
            </w:pPr>
          </w:p>
        </w:tc>
        <w:tc>
          <w:tcPr>
            <w:tcW w:w="999" w:type="dxa"/>
            <w:tcBorders>
              <w:top w:val="single" w:sz="4" w:space="0" w:color="auto"/>
              <w:bottom w:val="single" w:sz="4" w:space="0" w:color="auto"/>
            </w:tcBorders>
            <w:shd w:val="clear" w:color="auto" w:fill="auto"/>
            <w:noWrap/>
            <w:vAlign w:val="center"/>
            <w:hideMark/>
          </w:tcPr>
          <w:p w14:paraId="7DB377C3" w14:textId="4AC07DA5" w:rsidR="006F41C1" w:rsidRPr="00E803CA" w:rsidRDefault="006F41C1" w:rsidP="006F41C1">
            <w:pPr>
              <w:ind w:left="34" w:firstLine="34"/>
              <w:jc w:val="right"/>
              <w:rPr>
                <w:sz w:val="22"/>
                <w:szCs w:val="22"/>
              </w:rPr>
            </w:pPr>
            <w:r w:rsidRPr="00E803CA">
              <w:rPr>
                <w:sz w:val="22"/>
                <w:szCs w:val="22"/>
              </w:rPr>
              <w:t>1,89</w:t>
            </w:r>
            <w:r>
              <w:rPr>
                <w:sz w:val="22"/>
                <w:szCs w:val="22"/>
              </w:rPr>
              <w:t>5</w:t>
            </w:r>
          </w:p>
        </w:tc>
      </w:tr>
    </w:tbl>
    <w:p w14:paraId="775C5E2B" w14:textId="77777777" w:rsidR="00261CCC" w:rsidRDefault="00261CCC" w:rsidP="008238FE">
      <w:pPr>
        <w:pStyle w:val="BodyText"/>
        <w:jc w:val="both"/>
        <w:rPr>
          <w:b/>
          <w:bCs/>
          <w:sz w:val="22"/>
          <w:szCs w:val="22"/>
        </w:rPr>
      </w:pPr>
    </w:p>
    <w:p w14:paraId="5B76136F" w14:textId="77777777" w:rsidR="00261CCC" w:rsidRDefault="00261CCC" w:rsidP="008238FE">
      <w:pPr>
        <w:pStyle w:val="BodyText"/>
        <w:jc w:val="both"/>
        <w:rPr>
          <w:b/>
          <w:bCs/>
          <w:sz w:val="22"/>
          <w:szCs w:val="22"/>
        </w:rPr>
      </w:pPr>
    </w:p>
    <w:p w14:paraId="18A9FC4B" w14:textId="2F96B7F9" w:rsidR="008238FE" w:rsidRPr="008A1221" w:rsidRDefault="008238FE" w:rsidP="008238FE">
      <w:pPr>
        <w:pStyle w:val="BodyText"/>
        <w:jc w:val="both"/>
        <w:rPr>
          <w:b/>
          <w:bCs/>
          <w:sz w:val="22"/>
          <w:szCs w:val="22"/>
        </w:rPr>
      </w:pPr>
      <w:r w:rsidRPr="008A1221">
        <w:rPr>
          <w:b/>
          <w:bCs/>
          <w:sz w:val="22"/>
          <w:szCs w:val="22"/>
        </w:rPr>
        <w:lastRenderedPageBreak/>
        <w:t>NOTES TO THE FINANCIAL STATEMENTS FOR THE YEAR ENDED 31 MA</w:t>
      </w:r>
      <w:r w:rsidR="001001EE" w:rsidRPr="008A1221">
        <w:rPr>
          <w:b/>
          <w:bCs/>
          <w:sz w:val="22"/>
          <w:szCs w:val="22"/>
        </w:rPr>
        <w:t>RCH 202</w:t>
      </w:r>
      <w:r w:rsidR="00435EB6">
        <w:rPr>
          <w:b/>
          <w:bCs/>
          <w:sz w:val="22"/>
          <w:szCs w:val="22"/>
        </w:rPr>
        <w:t>4</w:t>
      </w:r>
      <w:r w:rsidRPr="008A1221">
        <w:rPr>
          <w:b/>
          <w:bCs/>
          <w:sz w:val="22"/>
          <w:szCs w:val="22"/>
        </w:rPr>
        <w:t xml:space="preserve"> (continued)</w:t>
      </w:r>
    </w:p>
    <w:p w14:paraId="4C40954C" w14:textId="77777777" w:rsidR="008238FE" w:rsidRDefault="008238FE" w:rsidP="008D62B2">
      <w:pPr>
        <w:pStyle w:val="BodyText"/>
        <w:jc w:val="both"/>
        <w:rPr>
          <w:b/>
          <w:bCs/>
          <w:sz w:val="24"/>
        </w:rPr>
      </w:pPr>
    </w:p>
    <w:p w14:paraId="68A81E9D" w14:textId="69460C6D" w:rsidR="008D62B2" w:rsidRPr="006A3DB5" w:rsidRDefault="008D62B2" w:rsidP="008D62B2">
      <w:pPr>
        <w:pStyle w:val="BodyText"/>
        <w:jc w:val="both"/>
        <w:rPr>
          <w:b/>
          <w:bCs/>
          <w:sz w:val="22"/>
          <w:szCs w:val="20"/>
        </w:rPr>
      </w:pPr>
      <w:r w:rsidRPr="009B007F">
        <w:rPr>
          <w:b/>
          <w:bCs/>
          <w:sz w:val="22"/>
          <w:szCs w:val="20"/>
        </w:rPr>
        <w:t>1</w:t>
      </w:r>
      <w:r w:rsidR="00AF5224">
        <w:rPr>
          <w:b/>
          <w:bCs/>
          <w:sz w:val="22"/>
          <w:szCs w:val="20"/>
        </w:rPr>
        <w:t>6</w:t>
      </w:r>
      <w:r w:rsidRPr="009B007F">
        <w:rPr>
          <w:b/>
          <w:bCs/>
          <w:sz w:val="22"/>
          <w:szCs w:val="20"/>
        </w:rPr>
        <w:t>.</w:t>
      </w:r>
      <w:r w:rsidRPr="009B007F">
        <w:rPr>
          <w:b/>
          <w:bCs/>
          <w:sz w:val="22"/>
          <w:szCs w:val="20"/>
        </w:rPr>
        <w:tab/>
        <w:t xml:space="preserve"> I</w:t>
      </w:r>
      <w:r w:rsidR="00BB1086">
        <w:rPr>
          <w:b/>
          <w:bCs/>
          <w:sz w:val="22"/>
          <w:szCs w:val="20"/>
        </w:rPr>
        <w:t>nvestment p</w:t>
      </w:r>
      <w:r w:rsidRPr="009B007F">
        <w:rPr>
          <w:b/>
          <w:bCs/>
          <w:sz w:val="22"/>
          <w:szCs w:val="20"/>
        </w:rPr>
        <w:t xml:space="preserve">roperties </w:t>
      </w:r>
    </w:p>
    <w:p w14:paraId="14AB6A51" w14:textId="77777777" w:rsidR="008D62B2" w:rsidRPr="006A3DB5" w:rsidRDefault="008D62B2" w:rsidP="008D62B2">
      <w:pPr>
        <w:pStyle w:val="BodyText"/>
        <w:jc w:val="both"/>
        <w:rPr>
          <w:b/>
          <w:bCs/>
          <w:sz w:val="22"/>
          <w:szCs w:val="20"/>
        </w:rPr>
      </w:pPr>
    </w:p>
    <w:tbl>
      <w:tblPr>
        <w:tblW w:w="10488" w:type="dxa"/>
        <w:tblLayout w:type="fixed"/>
        <w:tblLook w:val="0000" w:firstRow="0" w:lastRow="0" w:firstColumn="0" w:lastColumn="0" w:noHBand="0" w:noVBand="0"/>
      </w:tblPr>
      <w:tblGrid>
        <w:gridCol w:w="3989"/>
        <w:gridCol w:w="588"/>
        <w:gridCol w:w="1663"/>
        <w:gridCol w:w="1415"/>
        <w:gridCol w:w="1415"/>
        <w:gridCol w:w="1418"/>
      </w:tblGrid>
      <w:tr w:rsidR="008D62B2" w:rsidRPr="00396ABF" w14:paraId="74DB391B" w14:textId="7F90EC70" w:rsidTr="00DC0AB1">
        <w:trPr>
          <w:trHeight w:val="510"/>
        </w:trPr>
        <w:tc>
          <w:tcPr>
            <w:tcW w:w="3989" w:type="dxa"/>
            <w:shd w:val="clear" w:color="auto" w:fill="auto"/>
          </w:tcPr>
          <w:p w14:paraId="0F1A73E1" w14:textId="77777777" w:rsidR="008D62B2" w:rsidRPr="00396ABF" w:rsidRDefault="008D62B2" w:rsidP="003162ED">
            <w:pPr>
              <w:jc w:val="both"/>
              <w:rPr>
                <w:sz w:val="22"/>
                <w:szCs w:val="22"/>
              </w:rPr>
            </w:pPr>
          </w:p>
        </w:tc>
        <w:tc>
          <w:tcPr>
            <w:tcW w:w="588" w:type="dxa"/>
            <w:shd w:val="clear" w:color="auto" w:fill="auto"/>
            <w:vAlign w:val="bottom"/>
          </w:tcPr>
          <w:p w14:paraId="04DC3909" w14:textId="77777777" w:rsidR="008D62B2" w:rsidRPr="00396ABF" w:rsidRDefault="008D62B2" w:rsidP="003162ED">
            <w:pPr>
              <w:jc w:val="center"/>
              <w:rPr>
                <w:b/>
                <w:bCs/>
                <w:sz w:val="22"/>
                <w:szCs w:val="22"/>
              </w:rPr>
            </w:pPr>
          </w:p>
        </w:tc>
        <w:tc>
          <w:tcPr>
            <w:tcW w:w="1663" w:type="dxa"/>
            <w:shd w:val="clear" w:color="auto" w:fill="auto"/>
            <w:vAlign w:val="bottom"/>
          </w:tcPr>
          <w:p w14:paraId="0F84CDE3" w14:textId="77777777" w:rsidR="008D62B2" w:rsidRPr="00396ABF" w:rsidRDefault="008D62B2" w:rsidP="008A1221">
            <w:pPr>
              <w:jc w:val="center"/>
              <w:rPr>
                <w:b/>
                <w:bCs/>
                <w:sz w:val="22"/>
                <w:szCs w:val="22"/>
              </w:rPr>
            </w:pPr>
            <w:r w:rsidRPr="00396ABF">
              <w:rPr>
                <w:b/>
                <w:bCs/>
                <w:sz w:val="22"/>
                <w:szCs w:val="22"/>
              </w:rPr>
              <w:t>Properties held for market rent</w:t>
            </w:r>
          </w:p>
        </w:tc>
        <w:tc>
          <w:tcPr>
            <w:tcW w:w="1415" w:type="dxa"/>
          </w:tcPr>
          <w:p w14:paraId="616E37A2" w14:textId="1706DF7C" w:rsidR="00DC0AB1" w:rsidRDefault="00DC0AB1" w:rsidP="008A1221">
            <w:pPr>
              <w:jc w:val="center"/>
              <w:rPr>
                <w:b/>
                <w:bCs/>
                <w:sz w:val="22"/>
                <w:szCs w:val="22"/>
              </w:rPr>
            </w:pPr>
            <w:r>
              <w:rPr>
                <w:b/>
                <w:bCs/>
                <w:sz w:val="22"/>
                <w:szCs w:val="22"/>
              </w:rPr>
              <w:t>Commercial properties</w:t>
            </w:r>
          </w:p>
        </w:tc>
        <w:tc>
          <w:tcPr>
            <w:tcW w:w="1415" w:type="dxa"/>
          </w:tcPr>
          <w:p w14:paraId="3B56C8BE" w14:textId="77777777" w:rsidR="00DC0AB1" w:rsidRDefault="00DC0AB1" w:rsidP="008A1221">
            <w:pPr>
              <w:jc w:val="center"/>
              <w:rPr>
                <w:b/>
                <w:bCs/>
                <w:sz w:val="22"/>
                <w:szCs w:val="22"/>
              </w:rPr>
            </w:pPr>
            <w:r>
              <w:rPr>
                <w:b/>
                <w:bCs/>
                <w:sz w:val="22"/>
                <w:szCs w:val="22"/>
              </w:rPr>
              <w:t>Total</w:t>
            </w:r>
          </w:p>
          <w:p w14:paraId="795EF06A" w14:textId="77777777" w:rsidR="00DC0AB1" w:rsidRDefault="00DC0AB1" w:rsidP="008A1221">
            <w:pPr>
              <w:jc w:val="center"/>
              <w:rPr>
                <w:b/>
                <w:bCs/>
                <w:sz w:val="22"/>
                <w:szCs w:val="22"/>
              </w:rPr>
            </w:pPr>
          </w:p>
          <w:p w14:paraId="5D44E70D" w14:textId="4A39FFAE" w:rsidR="00DC0AB1" w:rsidRDefault="00DC0AB1" w:rsidP="008A1221">
            <w:pPr>
              <w:jc w:val="center"/>
              <w:rPr>
                <w:b/>
                <w:bCs/>
                <w:sz w:val="22"/>
                <w:szCs w:val="22"/>
              </w:rPr>
            </w:pPr>
          </w:p>
        </w:tc>
        <w:tc>
          <w:tcPr>
            <w:tcW w:w="1418" w:type="dxa"/>
          </w:tcPr>
          <w:p w14:paraId="7DBEAD2F" w14:textId="77777777" w:rsidR="00DC0AB1" w:rsidRPr="00396ABF" w:rsidRDefault="00DC0AB1" w:rsidP="00DC0AB1"/>
        </w:tc>
      </w:tr>
      <w:tr w:rsidR="008D62B2" w:rsidRPr="00396ABF" w14:paraId="275A5791" w14:textId="5DA167B4" w:rsidTr="00DC0AB1">
        <w:trPr>
          <w:trHeight w:val="248"/>
        </w:trPr>
        <w:tc>
          <w:tcPr>
            <w:tcW w:w="3989" w:type="dxa"/>
            <w:shd w:val="clear" w:color="auto" w:fill="auto"/>
          </w:tcPr>
          <w:p w14:paraId="192AB121" w14:textId="77777777" w:rsidR="008D62B2" w:rsidRPr="00396ABF" w:rsidRDefault="008D62B2" w:rsidP="003162ED">
            <w:pPr>
              <w:jc w:val="both"/>
              <w:rPr>
                <w:sz w:val="22"/>
                <w:szCs w:val="22"/>
              </w:rPr>
            </w:pPr>
          </w:p>
        </w:tc>
        <w:tc>
          <w:tcPr>
            <w:tcW w:w="588" w:type="dxa"/>
            <w:shd w:val="clear" w:color="auto" w:fill="auto"/>
          </w:tcPr>
          <w:p w14:paraId="15D9FD42" w14:textId="77777777" w:rsidR="008D62B2" w:rsidRPr="00396ABF" w:rsidRDefault="008D62B2" w:rsidP="003162ED">
            <w:pPr>
              <w:jc w:val="center"/>
              <w:rPr>
                <w:b/>
                <w:bCs/>
                <w:sz w:val="22"/>
                <w:szCs w:val="22"/>
              </w:rPr>
            </w:pPr>
          </w:p>
        </w:tc>
        <w:tc>
          <w:tcPr>
            <w:tcW w:w="1663" w:type="dxa"/>
            <w:shd w:val="clear" w:color="auto" w:fill="auto"/>
          </w:tcPr>
          <w:p w14:paraId="66D57E47" w14:textId="77777777" w:rsidR="008D62B2" w:rsidRPr="00396ABF" w:rsidRDefault="008D62B2" w:rsidP="008A1221">
            <w:pPr>
              <w:jc w:val="center"/>
              <w:rPr>
                <w:b/>
                <w:bCs/>
                <w:sz w:val="22"/>
                <w:szCs w:val="22"/>
              </w:rPr>
            </w:pPr>
            <w:r w:rsidRPr="00396ABF">
              <w:rPr>
                <w:b/>
                <w:bCs/>
                <w:sz w:val="22"/>
                <w:szCs w:val="22"/>
              </w:rPr>
              <w:t>£’000</w:t>
            </w:r>
          </w:p>
        </w:tc>
        <w:tc>
          <w:tcPr>
            <w:tcW w:w="1415" w:type="dxa"/>
          </w:tcPr>
          <w:p w14:paraId="718DD6FA" w14:textId="624975FD" w:rsidR="00DC0AB1" w:rsidRDefault="00DC0AB1" w:rsidP="008A1221">
            <w:pPr>
              <w:jc w:val="center"/>
              <w:rPr>
                <w:b/>
                <w:bCs/>
                <w:sz w:val="22"/>
                <w:szCs w:val="22"/>
              </w:rPr>
            </w:pPr>
            <w:r>
              <w:rPr>
                <w:b/>
                <w:bCs/>
                <w:sz w:val="22"/>
                <w:szCs w:val="22"/>
              </w:rPr>
              <w:t>£’000</w:t>
            </w:r>
          </w:p>
        </w:tc>
        <w:tc>
          <w:tcPr>
            <w:tcW w:w="1415" w:type="dxa"/>
          </w:tcPr>
          <w:p w14:paraId="72343788" w14:textId="63313666" w:rsidR="00DC0AB1" w:rsidRDefault="00DC0AB1" w:rsidP="008A1221">
            <w:pPr>
              <w:jc w:val="center"/>
              <w:rPr>
                <w:b/>
                <w:bCs/>
                <w:sz w:val="22"/>
                <w:szCs w:val="22"/>
              </w:rPr>
            </w:pPr>
            <w:r>
              <w:rPr>
                <w:b/>
                <w:bCs/>
                <w:sz w:val="22"/>
                <w:szCs w:val="22"/>
              </w:rPr>
              <w:t>£’000</w:t>
            </w:r>
          </w:p>
        </w:tc>
        <w:tc>
          <w:tcPr>
            <w:tcW w:w="1418" w:type="dxa"/>
          </w:tcPr>
          <w:p w14:paraId="415E860D" w14:textId="738D325F" w:rsidR="00DC0AB1" w:rsidRPr="00396ABF" w:rsidRDefault="00DC0AB1" w:rsidP="00DC0AB1"/>
        </w:tc>
      </w:tr>
      <w:tr w:rsidR="008D62B2" w:rsidRPr="00396ABF" w14:paraId="6A9B7C1B" w14:textId="518CAF19" w:rsidTr="00DC0AB1">
        <w:trPr>
          <w:gridAfter w:val="1"/>
          <w:wAfter w:w="1418" w:type="dxa"/>
          <w:trHeight w:val="248"/>
        </w:trPr>
        <w:tc>
          <w:tcPr>
            <w:tcW w:w="3989" w:type="dxa"/>
            <w:shd w:val="clear" w:color="auto" w:fill="auto"/>
          </w:tcPr>
          <w:p w14:paraId="4FDE0D1F" w14:textId="77777777" w:rsidR="008D62B2" w:rsidRPr="00396ABF" w:rsidRDefault="008D62B2" w:rsidP="003162ED">
            <w:pPr>
              <w:jc w:val="both"/>
              <w:rPr>
                <w:sz w:val="22"/>
                <w:szCs w:val="22"/>
              </w:rPr>
            </w:pPr>
          </w:p>
        </w:tc>
        <w:tc>
          <w:tcPr>
            <w:tcW w:w="588" w:type="dxa"/>
            <w:shd w:val="clear" w:color="auto" w:fill="auto"/>
          </w:tcPr>
          <w:p w14:paraId="14AA47FD" w14:textId="77777777" w:rsidR="008D62B2" w:rsidRPr="00396ABF" w:rsidRDefault="008D62B2" w:rsidP="003162ED">
            <w:pPr>
              <w:jc w:val="both"/>
              <w:rPr>
                <w:sz w:val="22"/>
                <w:szCs w:val="22"/>
              </w:rPr>
            </w:pPr>
          </w:p>
        </w:tc>
        <w:tc>
          <w:tcPr>
            <w:tcW w:w="1663" w:type="dxa"/>
            <w:shd w:val="clear" w:color="auto" w:fill="auto"/>
          </w:tcPr>
          <w:p w14:paraId="639873B3" w14:textId="77777777" w:rsidR="008D62B2" w:rsidRPr="00396ABF" w:rsidRDefault="008D62B2" w:rsidP="003162ED">
            <w:pPr>
              <w:jc w:val="both"/>
              <w:rPr>
                <w:sz w:val="22"/>
                <w:szCs w:val="22"/>
              </w:rPr>
            </w:pPr>
          </w:p>
        </w:tc>
        <w:tc>
          <w:tcPr>
            <w:tcW w:w="1415" w:type="dxa"/>
          </w:tcPr>
          <w:p w14:paraId="7343346E" w14:textId="77777777" w:rsidR="00DC0AB1" w:rsidRPr="00396ABF" w:rsidRDefault="00DC0AB1" w:rsidP="00DC0AB1">
            <w:pPr>
              <w:jc w:val="both"/>
              <w:rPr>
                <w:sz w:val="22"/>
                <w:szCs w:val="22"/>
              </w:rPr>
            </w:pPr>
          </w:p>
        </w:tc>
        <w:tc>
          <w:tcPr>
            <w:tcW w:w="1415" w:type="dxa"/>
          </w:tcPr>
          <w:p w14:paraId="234E13A8" w14:textId="77777777" w:rsidR="00DC0AB1" w:rsidRPr="00396ABF" w:rsidRDefault="00DC0AB1" w:rsidP="00DC0AB1">
            <w:pPr>
              <w:jc w:val="both"/>
              <w:rPr>
                <w:sz w:val="22"/>
                <w:szCs w:val="22"/>
              </w:rPr>
            </w:pPr>
          </w:p>
        </w:tc>
      </w:tr>
      <w:tr w:rsidR="008D62B2" w:rsidRPr="00396ABF" w14:paraId="48B8C3AE" w14:textId="3890214F" w:rsidTr="00DC0AB1">
        <w:trPr>
          <w:gridAfter w:val="1"/>
          <w:wAfter w:w="1418" w:type="dxa"/>
          <w:trHeight w:val="248"/>
        </w:trPr>
        <w:tc>
          <w:tcPr>
            <w:tcW w:w="3989" w:type="dxa"/>
            <w:shd w:val="clear" w:color="auto" w:fill="auto"/>
            <w:vAlign w:val="bottom"/>
          </w:tcPr>
          <w:p w14:paraId="69F50F18" w14:textId="77777777" w:rsidR="008D62B2" w:rsidRPr="00396ABF" w:rsidRDefault="008D62B2" w:rsidP="003162ED">
            <w:pPr>
              <w:rPr>
                <w:b/>
                <w:sz w:val="22"/>
                <w:szCs w:val="22"/>
              </w:rPr>
            </w:pPr>
            <w:r w:rsidRPr="00396ABF">
              <w:rPr>
                <w:b/>
                <w:sz w:val="22"/>
                <w:szCs w:val="22"/>
              </w:rPr>
              <w:t>Valuation</w:t>
            </w:r>
          </w:p>
        </w:tc>
        <w:tc>
          <w:tcPr>
            <w:tcW w:w="588" w:type="dxa"/>
            <w:shd w:val="clear" w:color="auto" w:fill="auto"/>
          </w:tcPr>
          <w:p w14:paraId="7950EC26" w14:textId="77777777" w:rsidR="008D62B2" w:rsidRPr="00396ABF" w:rsidRDefault="008D62B2" w:rsidP="003162ED">
            <w:pPr>
              <w:jc w:val="both"/>
              <w:rPr>
                <w:color w:val="FF0000"/>
                <w:sz w:val="22"/>
                <w:szCs w:val="22"/>
              </w:rPr>
            </w:pPr>
          </w:p>
        </w:tc>
        <w:tc>
          <w:tcPr>
            <w:tcW w:w="1663" w:type="dxa"/>
            <w:shd w:val="clear" w:color="auto" w:fill="auto"/>
          </w:tcPr>
          <w:p w14:paraId="3080653E" w14:textId="77777777" w:rsidR="008D62B2" w:rsidRPr="00396ABF" w:rsidRDefault="008D62B2" w:rsidP="003162ED">
            <w:pPr>
              <w:jc w:val="both"/>
              <w:rPr>
                <w:color w:val="FF0000"/>
                <w:sz w:val="22"/>
                <w:szCs w:val="22"/>
              </w:rPr>
            </w:pPr>
          </w:p>
        </w:tc>
        <w:tc>
          <w:tcPr>
            <w:tcW w:w="1415" w:type="dxa"/>
          </w:tcPr>
          <w:p w14:paraId="0D52CCFE" w14:textId="77777777" w:rsidR="00DC0AB1" w:rsidRPr="00396ABF" w:rsidRDefault="00DC0AB1" w:rsidP="00DC0AB1">
            <w:pPr>
              <w:jc w:val="both"/>
              <w:rPr>
                <w:color w:val="FF0000"/>
                <w:sz w:val="22"/>
                <w:szCs w:val="22"/>
              </w:rPr>
            </w:pPr>
          </w:p>
        </w:tc>
        <w:tc>
          <w:tcPr>
            <w:tcW w:w="1415" w:type="dxa"/>
          </w:tcPr>
          <w:p w14:paraId="528782F7" w14:textId="77777777" w:rsidR="00DC0AB1" w:rsidRPr="00396ABF" w:rsidRDefault="00DC0AB1" w:rsidP="00DC0AB1">
            <w:pPr>
              <w:jc w:val="both"/>
              <w:rPr>
                <w:color w:val="FF0000"/>
                <w:sz w:val="22"/>
                <w:szCs w:val="22"/>
              </w:rPr>
            </w:pPr>
          </w:p>
        </w:tc>
      </w:tr>
      <w:tr w:rsidR="00435EB6" w:rsidRPr="00396ABF" w14:paraId="52EF3F69" w14:textId="07E2ECCB" w:rsidTr="00DC0AB1">
        <w:trPr>
          <w:gridAfter w:val="1"/>
          <w:wAfter w:w="1418" w:type="dxa"/>
          <w:trHeight w:val="248"/>
        </w:trPr>
        <w:tc>
          <w:tcPr>
            <w:tcW w:w="3989" w:type="dxa"/>
            <w:shd w:val="clear" w:color="auto" w:fill="auto"/>
            <w:vAlign w:val="bottom"/>
          </w:tcPr>
          <w:p w14:paraId="7337C0FA" w14:textId="158EB95E" w:rsidR="00435EB6" w:rsidRPr="00396ABF" w:rsidRDefault="00435EB6" w:rsidP="00435EB6">
            <w:pPr>
              <w:rPr>
                <w:sz w:val="22"/>
                <w:szCs w:val="22"/>
              </w:rPr>
            </w:pPr>
            <w:r>
              <w:rPr>
                <w:sz w:val="22"/>
                <w:szCs w:val="22"/>
              </w:rPr>
              <w:t>At 1 April 2023</w:t>
            </w:r>
          </w:p>
        </w:tc>
        <w:tc>
          <w:tcPr>
            <w:tcW w:w="588" w:type="dxa"/>
            <w:shd w:val="clear" w:color="auto" w:fill="auto"/>
            <w:vAlign w:val="bottom"/>
          </w:tcPr>
          <w:p w14:paraId="3CF31DB3" w14:textId="77777777" w:rsidR="00435EB6" w:rsidRPr="00396ABF" w:rsidRDefault="00435EB6" w:rsidP="00435EB6">
            <w:pPr>
              <w:jc w:val="center"/>
              <w:rPr>
                <w:color w:val="000000"/>
                <w:sz w:val="22"/>
                <w:szCs w:val="22"/>
              </w:rPr>
            </w:pPr>
          </w:p>
        </w:tc>
        <w:tc>
          <w:tcPr>
            <w:tcW w:w="1663" w:type="dxa"/>
            <w:shd w:val="clear" w:color="auto" w:fill="auto"/>
            <w:vAlign w:val="bottom"/>
          </w:tcPr>
          <w:p w14:paraId="55C71EA3" w14:textId="4CED22D7" w:rsidR="00435EB6" w:rsidRPr="00504DE3" w:rsidRDefault="00435EB6" w:rsidP="00435EB6">
            <w:pPr>
              <w:jc w:val="right"/>
              <w:rPr>
                <w:color w:val="000000"/>
                <w:sz w:val="22"/>
                <w:szCs w:val="22"/>
              </w:rPr>
            </w:pPr>
            <w:r>
              <w:rPr>
                <w:color w:val="000000"/>
                <w:sz w:val="22"/>
                <w:szCs w:val="22"/>
              </w:rPr>
              <w:t>11,604</w:t>
            </w:r>
          </w:p>
        </w:tc>
        <w:tc>
          <w:tcPr>
            <w:tcW w:w="1415" w:type="dxa"/>
          </w:tcPr>
          <w:p w14:paraId="79FB4951" w14:textId="006B9F95" w:rsidR="00435EB6" w:rsidRDefault="00435EB6" w:rsidP="00435EB6">
            <w:pPr>
              <w:jc w:val="right"/>
              <w:rPr>
                <w:color w:val="000000"/>
                <w:sz w:val="22"/>
                <w:szCs w:val="22"/>
              </w:rPr>
            </w:pPr>
            <w:r>
              <w:rPr>
                <w:color w:val="000000"/>
                <w:sz w:val="22"/>
                <w:szCs w:val="22"/>
              </w:rPr>
              <w:t>550</w:t>
            </w:r>
          </w:p>
        </w:tc>
        <w:tc>
          <w:tcPr>
            <w:tcW w:w="1415" w:type="dxa"/>
          </w:tcPr>
          <w:p w14:paraId="2A02BD61" w14:textId="1479C619" w:rsidR="00435EB6" w:rsidRPr="00504DE3" w:rsidRDefault="00435EB6" w:rsidP="00435EB6">
            <w:pPr>
              <w:jc w:val="right"/>
              <w:rPr>
                <w:color w:val="000000"/>
                <w:sz w:val="22"/>
                <w:szCs w:val="22"/>
              </w:rPr>
            </w:pPr>
            <w:r>
              <w:rPr>
                <w:color w:val="000000"/>
                <w:sz w:val="22"/>
                <w:szCs w:val="22"/>
              </w:rPr>
              <w:t>12,154</w:t>
            </w:r>
          </w:p>
        </w:tc>
      </w:tr>
      <w:tr w:rsidR="00F47018" w:rsidRPr="00396ABF" w14:paraId="6166D69B" w14:textId="00D95CE3" w:rsidTr="00DC0AB1">
        <w:trPr>
          <w:gridAfter w:val="1"/>
          <w:wAfter w:w="1418" w:type="dxa"/>
          <w:trHeight w:val="248"/>
        </w:trPr>
        <w:tc>
          <w:tcPr>
            <w:tcW w:w="3989" w:type="dxa"/>
            <w:shd w:val="clear" w:color="auto" w:fill="auto"/>
            <w:vAlign w:val="bottom"/>
          </w:tcPr>
          <w:p w14:paraId="3F608413" w14:textId="77777777" w:rsidR="00F47018" w:rsidRPr="00396ABF" w:rsidRDefault="00F47018" w:rsidP="003162ED">
            <w:pPr>
              <w:rPr>
                <w:sz w:val="22"/>
                <w:szCs w:val="22"/>
              </w:rPr>
            </w:pPr>
            <w:r>
              <w:rPr>
                <w:sz w:val="22"/>
                <w:szCs w:val="22"/>
              </w:rPr>
              <w:t>Additions at cost</w:t>
            </w:r>
          </w:p>
        </w:tc>
        <w:tc>
          <w:tcPr>
            <w:tcW w:w="588" w:type="dxa"/>
            <w:shd w:val="clear" w:color="auto" w:fill="auto"/>
            <w:vAlign w:val="center"/>
          </w:tcPr>
          <w:p w14:paraId="74B79A13" w14:textId="77777777" w:rsidR="00F47018" w:rsidRPr="00396ABF" w:rsidRDefault="00F47018" w:rsidP="003162ED">
            <w:pPr>
              <w:jc w:val="center"/>
              <w:rPr>
                <w:color w:val="000000"/>
                <w:sz w:val="22"/>
                <w:szCs w:val="22"/>
              </w:rPr>
            </w:pPr>
          </w:p>
        </w:tc>
        <w:tc>
          <w:tcPr>
            <w:tcW w:w="1663" w:type="dxa"/>
            <w:shd w:val="clear" w:color="auto" w:fill="auto"/>
            <w:vAlign w:val="center"/>
          </w:tcPr>
          <w:p w14:paraId="429ECE8D" w14:textId="487570F5" w:rsidR="00F47018" w:rsidRPr="00504DE3" w:rsidRDefault="00D967FD" w:rsidP="00504DE3">
            <w:pPr>
              <w:jc w:val="right"/>
              <w:rPr>
                <w:color w:val="000000"/>
                <w:sz w:val="22"/>
                <w:szCs w:val="22"/>
              </w:rPr>
            </w:pPr>
            <w:r>
              <w:rPr>
                <w:color w:val="000000"/>
                <w:sz w:val="22"/>
                <w:szCs w:val="22"/>
              </w:rPr>
              <w:t>2</w:t>
            </w:r>
            <w:r w:rsidR="00B9261D">
              <w:rPr>
                <w:color w:val="000000"/>
                <w:sz w:val="22"/>
                <w:szCs w:val="22"/>
              </w:rPr>
              <w:t>8</w:t>
            </w:r>
          </w:p>
        </w:tc>
        <w:tc>
          <w:tcPr>
            <w:tcW w:w="1415" w:type="dxa"/>
          </w:tcPr>
          <w:p w14:paraId="55D674A8" w14:textId="404DFBB4" w:rsidR="00DC0AB1" w:rsidRPr="00504DE3" w:rsidRDefault="00D967FD" w:rsidP="00DC0AB1">
            <w:pPr>
              <w:jc w:val="right"/>
              <w:rPr>
                <w:color w:val="000000"/>
                <w:sz w:val="22"/>
                <w:szCs w:val="22"/>
              </w:rPr>
            </w:pPr>
            <w:r>
              <w:rPr>
                <w:color w:val="000000"/>
                <w:sz w:val="22"/>
                <w:szCs w:val="22"/>
              </w:rPr>
              <w:t>-</w:t>
            </w:r>
          </w:p>
        </w:tc>
        <w:tc>
          <w:tcPr>
            <w:tcW w:w="1415" w:type="dxa"/>
          </w:tcPr>
          <w:p w14:paraId="0B404B00" w14:textId="45A27A18" w:rsidR="00DC0AB1" w:rsidRPr="00504DE3" w:rsidRDefault="00B9261D" w:rsidP="00DC0AB1">
            <w:pPr>
              <w:jc w:val="right"/>
              <w:rPr>
                <w:color w:val="000000"/>
                <w:sz w:val="22"/>
                <w:szCs w:val="22"/>
              </w:rPr>
            </w:pPr>
            <w:r>
              <w:rPr>
                <w:color w:val="000000"/>
                <w:sz w:val="22"/>
                <w:szCs w:val="22"/>
              </w:rPr>
              <w:t>28</w:t>
            </w:r>
          </w:p>
        </w:tc>
      </w:tr>
      <w:tr w:rsidR="008D62B2" w:rsidRPr="00396ABF" w14:paraId="17E0AE12" w14:textId="05CACA9E" w:rsidTr="00DC0AB1">
        <w:trPr>
          <w:gridAfter w:val="1"/>
          <w:wAfter w:w="1418" w:type="dxa"/>
          <w:trHeight w:val="248"/>
        </w:trPr>
        <w:tc>
          <w:tcPr>
            <w:tcW w:w="3989" w:type="dxa"/>
            <w:shd w:val="clear" w:color="auto" w:fill="auto"/>
            <w:vAlign w:val="bottom"/>
          </w:tcPr>
          <w:p w14:paraId="4143DAEA" w14:textId="77777777" w:rsidR="008D62B2" w:rsidRPr="00396ABF" w:rsidRDefault="008D62B2" w:rsidP="003162ED">
            <w:pPr>
              <w:rPr>
                <w:sz w:val="22"/>
                <w:szCs w:val="22"/>
              </w:rPr>
            </w:pPr>
            <w:r w:rsidRPr="00396ABF">
              <w:rPr>
                <w:sz w:val="22"/>
                <w:szCs w:val="22"/>
              </w:rPr>
              <w:t>Revaluation taken to operating surplus</w:t>
            </w:r>
          </w:p>
        </w:tc>
        <w:tc>
          <w:tcPr>
            <w:tcW w:w="588" w:type="dxa"/>
            <w:shd w:val="clear" w:color="auto" w:fill="auto"/>
            <w:vAlign w:val="center"/>
          </w:tcPr>
          <w:p w14:paraId="63321E58" w14:textId="77777777" w:rsidR="008D62B2" w:rsidRPr="00396ABF" w:rsidRDefault="008D62B2" w:rsidP="003162ED">
            <w:pPr>
              <w:jc w:val="center"/>
              <w:rPr>
                <w:color w:val="000000"/>
                <w:sz w:val="22"/>
                <w:szCs w:val="22"/>
              </w:rPr>
            </w:pPr>
          </w:p>
        </w:tc>
        <w:tc>
          <w:tcPr>
            <w:tcW w:w="1663" w:type="dxa"/>
            <w:shd w:val="clear" w:color="auto" w:fill="auto"/>
            <w:vAlign w:val="center"/>
          </w:tcPr>
          <w:p w14:paraId="14C2FFEC" w14:textId="607ED010" w:rsidR="008D62B2" w:rsidRPr="00504DE3" w:rsidRDefault="00D967FD" w:rsidP="00504DE3">
            <w:pPr>
              <w:jc w:val="right"/>
              <w:rPr>
                <w:color w:val="000000"/>
                <w:sz w:val="22"/>
                <w:szCs w:val="22"/>
              </w:rPr>
            </w:pPr>
            <w:r w:rsidRPr="003A0FB4">
              <w:rPr>
                <w:color w:val="000000"/>
                <w:sz w:val="22"/>
                <w:szCs w:val="22"/>
              </w:rPr>
              <w:t>(</w:t>
            </w:r>
            <w:r w:rsidR="003A0FB4">
              <w:rPr>
                <w:color w:val="000000"/>
                <w:sz w:val="22"/>
                <w:szCs w:val="22"/>
              </w:rPr>
              <w:t>57</w:t>
            </w:r>
            <w:r w:rsidR="00B9261D">
              <w:rPr>
                <w:color w:val="000000"/>
                <w:sz w:val="22"/>
                <w:szCs w:val="22"/>
              </w:rPr>
              <w:t>2</w:t>
            </w:r>
            <w:r>
              <w:rPr>
                <w:color w:val="000000"/>
                <w:sz w:val="22"/>
                <w:szCs w:val="22"/>
              </w:rPr>
              <w:t>)</w:t>
            </w:r>
          </w:p>
        </w:tc>
        <w:tc>
          <w:tcPr>
            <w:tcW w:w="1415" w:type="dxa"/>
          </w:tcPr>
          <w:p w14:paraId="0FE32A59" w14:textId="7E728946" w:rsidR="00DC0AB1" w:rsidRPr="00504DE3" w:rsidRDefault="00D967FD" w:rsidP="00DC0AB1">
            <w:pPr>
              <w:jc w:val="right"/>
              <w:rPr>
                <w:color w:val="000000"/>
                <w:sz w:val="22"/>
                <w:szCs w:val="22"/>
              </w:rPr>
            </w:pPr>
            <w:r>
              <w:rPr>
                <w:color w:val="000000"/>
                <w:sz w:val="22"/>
                <w:szCs w:val="22"/>
              </w:rPr>
              <w:t>(</w:t>
            </w:r>
            <w:r w:rsidR="005252CC">
              <w:rPr>
                <w:color w:val="000000"/>
                <w:sz w:val="22"/>
                <w:szCs w:val="22"/>
              </w:rPr>
              <w:t>28</w:t>
            </w:r>
            <w:r>
              <w:rPr>
                <w:color w:val="000000"/>
                <w:sz w:val="22"/>
                <w:szCs w:val="22"/>
              </w:rPr>
              <w:t>)</w:t>
            </w:r>
          </w:p>
        </w:tc>
        <w:tc>
          <w:tcPr>
            <w:tcW w:w="1415" w:type="dxa"/>
          </w:tcPr>
          <w:p w14:paraId="4731BF0B" w14:textId="082FADAD" w:rsidR="00DC0AB1" w:rsidRPr="00504DE3" w:rsidRDefault="00D967FD" w:rsidP="00DC0AB1">
            <w:pPr>
              <w:jc w:val="right"/>
              <w:rPr>
                <w:color w:val="000000"/>
                <w:sz w:val="22"/>
                <w:szCs w:val="22"/>
              </w:rPr>
            </w:pPr>
            <w:r>
              <w:rPr>
                <w:color w:val="000000"/>
                <w:sz w:val="22"/>
                <w:szCs w:val="22"/>
              </w:rPr>
              <w:t>(</w:t>
            </w:r>
            <w:r w:rsidR="003E4E60">
              <w:rPr>
                <w:color w:val="000000"/>
                <w:sz w:val="22"/>
                <w:szCs w:val="22"/>
              </w:rPr>
              <w:t>60</w:t>
            </w:r>
            <w:r w:rsidR="00B9261D">
              <w:rPr>
                <w:color w:val="000000"/>
                <w:sz w:val="22"/>
                <w:szCs w:val="22"/>
              </w:rPr>
              <w:t>0</w:t>
            </w:r>
            <w:r>
              <w:rPr>
                <w:color w:val="000000"/>
                <w:sz w:val="22"/>
                <w:szCs w:val="22"/>
              </w:rPr>
              <w:t>)</w:t>
            </w:r>
          </w:p>
        </w:tc>
      </w:tr>
      <w:tr w:rsidR="008D62B2" w:rsidRPr="00396ABF" w14:paraId="19842C87" w14:textId="5C6BD750" w:rsidTr="00DC0AB1">
        <w:trPr>
          <w:gridAfter w:val="1"/>
          <w:wAfter w:w="1418" w:type="dxa"/>
          <w:trHeight w:val="248"/>
        </w:trPr>
        <w:tc>
          <w:tcPr>
            <w:tcW w:w="3989" w:type="dxa"/>
            <w:shd w:val="clear" w:color="auto" w:fill="auto"/>
            <w:vAlign w:val="bottom"/>
          </w:tcPr>
          <w:p w14:paraId="218297E5" w14:textId="42C415FE" w:rsidR="008D62B2" w:rsidRPr="00396ABF" w:rsidRDefault="008D62B2" w:rsidP="003162ED">
            <w:pPr>
              <w:rPr>
                <w:sz w:val="22"/>
                <w:szCs w:val="22"/>
              </w:rPr>
            </w:pPr>
            <w:r>
              <w:rPr>
                <w:sz w:val="22"/>
                <w:szCs w:val="22"/>
              </w:rPr>
              <w:t>At 31 March 202</w:t>
            </w:r>
            <w:r w:rsidR="00435EB6">
              <w:rPr>
                <w:sz w:val="22"/>
                <w:szCs w:val="22"/>
              </w:rPr>
              <w:t>4</w:t>
            </w:r>
          </w:p>
        </w:tc>
        <w:tc>
          <w:tcPr>
            <w:tcW w:w="588" w:type="dxa"/>
            <w:shd w:val="clear" w:color="auto" w:fill="auto"/>
            <w:vAlign w:val="bottom"/>
          </w:tcPr>
          <w:p w14:paraId="2A09FE3D" w14:textId="77777777" w:rsidR="008D62B2" w:rsidRPr="00BD50DF" w:rsidRDefault="008D62B2" w:rsidP="003162ED">
            <w:pPr>
              <w:jc w:val="center"/>
              <w:rPr>
                <w:color w:val="000000"/>
                <w:sz w:val="22"/>
                <w:szCs w:val="22"/>
              </w:rPr>
            </w:pPr>
          </w:p>
        </w:tc>
        <w:tc>
          <w:tcPr>
            <w:tcW w:w="1663" w:type="dxa"/>
            <w:tcBorders>
              <w:top w:val="single" w:sz="4" w:space="0" w:color="auto"/>
              <w:bottom w:val="single" w:sz="4" w:space="0" w:color="auto"/>
            </w:tcBorders>
            <w:shd w:val="clear" w:color="auto" w:fill="auto"/>
            <w:vAlign w:val="bottom"/>
          </w:tcPr>
          <w:p w14:paraId="5C6B4007" w14:textId="6839542E" w:rsidR="008D62B2" w:rsidRPr="00504DE3" w:rsidRDefault="00636528" w:rsidP="00504DE3">
            <w:pPr>
              <w:jc w:val="right"/>
              <w:rPr>
                <w:color w:val="000000"/>
                <w:sz w:val="22"/>
                <w:szCs w:val="22"/>
              </w:rPr>
            </w:pPr>
            <w:r>
              <w:rPr>
                <w:color w:val="000000"/>
                <w:sz w:val="22"/>
                <w:szCs w:val="22"/>
              </w:rPr>
              <w:t>11,</w:t>
            </w:r>
            <w:r w:rsidR="003A0FB4">
              <w:rPr>
                <w:color w:val="000000"/>
                <w:sz w:val="22"/>
                <w:szCs w:val="22"/>
              </w:rPr>
              <w:t>060</w:t>
            </w:r>
          </w:p>
        </w:tc>
        <w:tc>
          <w:tcPr>
            <w:tcW w:w="1415" w:type="dxa"/>
            <w:tcBorders>
              <w:top w:val="single" w:sz="4" w:space="0" w:color="auto"/>
              <w:bottom w:val="single" w:sz="4" w:space="0" w:color="auto"/>
            </w:tcBorders>
          </w:tcPr>
          <w:p w14:paraId="24B57F9F" w14:textId="279278C3" w:rsidR="00DC0AB1" w:rsidRPr="00504DE3" w:rsidRDefault="00636528" w:rsidP="00DC0AB1">
            <w:pPr>
              <w:jc w:val="right"/>
              <w:rPr>
                <w:color w:val="000000"/>
                <w:sz w:val="22"/>
                <w:szCs w:val="22"/>
              </w:rPr>
            </w:pPr>
            <w:r>
              <w:rPr>
                <w:color w:val="000000"/>
                <w:sz w:val="22"/>
                <w:szCs w:val="22"/>
              </w:rPr>
              <w:t>5</w:t>
            </w:r>
            <w:r w:rsidR="005252CC">
              <w:rPr>
                <w:color w:val="000000"/>
                <w:sz w:val="22"/>
                <w:szCs w:val="22"/>
              </w:rPr>
              <w:t>22</w:t>
            </w:r>
          </w:p>
        </w:tc>
        <w:tc>
          <w:tcPr>
            <w:tcW w:w="1415" w:type="dxa"/>
            <w:tcBorders>
              <w:top w:val="single" w:sz="4" w:space="0" w:color="auto"/>
              <w:bottom w:val="single" w:sz="4" w:space="0" w:color="auto"/>
            </w:tcBorders>
          </w:tcPr>
          <w:p w14:paraId="198CA1E0" w14:textId="2EBEB4FD" w:rsidR="00DC0AB1" w:rsidRPr="00504DE3" w:rsidRDefault="00636528" w:rsidP="00DC0AB1">
            <w:pPr>
              <w:jc w:val="right"/>
              <w:rPr>
                <w:color w:val="000000"/>
                <w:sz w:val="22"/>
                <w:szCs w:val="22"/>
              </w:rPr>
            </w:pPr>
            <w:r>
              <w:rPr>
                <w:color w:val="000000"/>
                <w:sz w:val="22"/>
                <w:szCs w:val="22"/>
              </w:rPr>
              <w:t>11,</w:t>
            </w:r>
            <w:r w:rsidR="003A0FB4">
              <w:rPr>
                <w:color w:val="000000"/>
                <w:sz w:val="22"/>
                <w:szCs w:val="22"/>
              </w:rPr>
              <w:t>582</w:t>
            </w:r>
          </w:p>
        </w:tc>
      </w:tr>
      <w:tr w:rsidR="008D62B2" w:rsidRPr="00396ABF" w14:paraId="6D70EED5" w14:textId="41A7A5D2" w:rsidTr="00DC0AB1">
        <w:trPr>
          <w:gridAfter w:val="1"/>
          <w:wAfter w:w="1418" w:type="dxa"/>
          <w:trHeight w:val="248"/>
        </w:trPr>
        <w:tc>
          <w:tcPr>
            <w:tcW w:w="3989" w:type="dxa"/>
            <w:shd w:val="clear" w:color="auto" w:fill="auto"/>
            <w:vAlign w:val="bottom"/>
          </w:tcPr>
          <w:p w14:paraId="7EAD04AA" w14:textId="77777777" w:rsidR="008D62B2" w:rsidRPr="00396ABF" w:rsidRDefault="008D62B2" w:rsidP="003162ED">
            <w:pPr>
              <w:rPr>
                <w:sz w:val="22"/>
                <w:szCs w:val="22"/>
              </w:rPr>
            </w:pPr>
          </w:p>
        </w:tc>
        <w:tc>
          <w:tcPr>
            <w:tcW w:w="588" w:type="dxa"/>
            <w:shd w:val="clear" w:color="auto" w:fill="auto"/>
            <w:vAlign w:val="center"/>
          </w:tcPr>
          <w:p w14:paraId="4E98F4DA" w14:textId="77777777" w:rsidR="008D62B2" w:rsidRPr="00396ABF" w:rsidRDefault="008D62B2" w:rsidP="003162ED">
            <w:pPr>
              <w:jc w:val="center"/>
              <w:rPr>
                <w:color w:val="000000"/>
                <w:sz w:val="22"/>
                <w:szCs w:val="22"/>
              </w:rPr>
            </w:pPr>
          </w:p>
        </w:tc>
        <w:tc>
          <w:tcPr>
            <w:tcW w:w="1663" w:type="dxa"/>
            <w:tcBorders>
              <w:top w:val="single" w:sz="4" w:space="0" w:color="auto"/>
            </w:tcBorders>
            <w:shd w:val="clear" w:color="auto" w:fill="auto"/>
            <w:vAlign w:val="center"/>
          </w:tcPr>
          <w:p w14:paraId="5CF63C37" w14:textId="77777777" w:rsidR="008D62B2" w:rsidRPr="00504DE3" w:rsidRDefault="008D62B2" w:rsidP="00504DE3">
            <w:pPr>
              <w:jc w:val="right"/>
              <w:rPr>
                <w:color w:val="000000"/>
                <w:sz w:val="22"/>
                <w:szCs w:val="22"/>
              </w:rPr>
            </w:pPr>
          </w:p>
        </w:tc>
        <w:tc>
          <w:tcPr>
            <w:tcW w:w="1415" w:type="dxa"/>
            <w:tcBorders>
              <w:top w:val="single" w:sz="4" w:space="0" w:color="auto"/>
            </w:tcBorders>
          </w:tcPr>
          <w:p w14:paraId="750CE77B" w14:textId="77777777" w:rsidR="00DC0AB1" w:rsidRPr="00504DE3" w:rsidRDefault="00DC0AB1" w:rsidP="00DC0AB1">
            <w:pPr>
              <w:jc w:val="right"/>
              <w:rPr>
                <w:color w:val="000000"/>
                <w:sz w:val="22"/>
                <w:szCs w:val="22"/>
              </w:rPr>
            </w:pPr>
          </w:p>
        </w:tc>
        <w:tc>
          <w:tcPr>
            <w:tcW w:w="1415" w:type="dxa"/>
            <w:tcBorders>
              <w:top w:val="single" w:sz="4" w:space="0" w:color="auto"/>
            </w:tcBorders>
          </w:tcPr>
          <w:p w14:paraId="73A17AF5" w14:textId="77777777" w:rsidR="00DC0AB1" w:rsidRPr="00504DE3" w:rsidRDefault="00DC0AB1" w:rsidP="00DC0AB1">
            <w:pPr>
              <w:jc w:val="right"/>
              <w:rPr>
                <w:color w:val="000000"/>
                <w:sz w:val="22"/>
                <w:szCs w:val="22"/>
              </w:rPr>
            </w:pPr>
          </w:p>
        </w:tc>
      </w:tr>
      <w:tr w:rsidR="008D62B2" w:rsidRPr="00396ABF" w14:paraId="3509E048" w14:textId="465CE0C2" w:rsidTr="00DC0AB1">
        <w:trPr>
          <w:gridAfter w:val="1"/>
          <w:wAfter w:w="1418" w:type="dxa"/>
          <w:trHeight w:val="248"/>
        </w:trPr>
        <w:tc>
          <w:tcPr>
            <w:tcW w:w="3989" w:type="dxa"/>
            <w:shd w:val="clear" w:color="auto" w:fill="auto"/>
            <w:vAlign w:val="bottom"/>
          </w:tcPr>
          <w:p w14:paraId="20874DF4" w14:textId="77777777" w:rsidR="008D62B2" w:rsidRPr="00396ABF" w:rsidRDefault="008D62B2" w:rsidP="003162ED">
            <w:pPr>
              <w:rPr>
                <w:b/>
                <w:bCs/>
                <w:sz w:val="22"/>
                <w:szCs w:val="22"/>
              </w:rPr>
            </w:pPr>
            <w:r w:rsidRPr="00396ABF">
              <w:rPr>
                <w:b/>
                <w:bCs/>
                <w:sz w:val="22"/>
                <w:szCs w:val="22"/>
              </w:rPr>
              <w:t>Net Book Value</w:t>
            </w:r>
          </w:p>
        </w:tc>
        <w:tc>
          <w:tcPr>
            <w:tcW w:w="588" w:type="dxa"/>
            <w:shd w:val="clear" w:color="auto" w:fill="auto"/>
            <w:vAlign w:val="bottom"/>
          </w:tcPr>
          <w:p w14:paraId="01C644C3" w14:textId="77777777" w:rsidR="008D62B2" w:rsidRPr="00396ABF" w:rsidRDefault="008D62B2" w:rsidP="003162ED">
            <w:pPr>
              <w:jc w:val="center"/>
              <w:rPr>
                <w:color w:val="000000"/>
                <w:sz w:val="22"/>
                <w:szCs w:val="22"/>
              </w:rPr>
            </w:pPr>
          </w:p>
        </w:tc>
        <w:tc>
          <w:tcPr>
            <w:tcW w:w="1663" w:type="dxa"/>
            <w:shd w:val="clear" w:color="auto" w:fill="auto"/>
            <w:vAlign w:val="bottom"/>
          </w:tcPr>
          <w:p w14:paraId="2E48AC61" w14:textId="77777777" w:rsidR="008D62B2" w:rsidRPr="00504DE3" w:rsidRDefault="008D62B2" w:rsidP="00504DE3">
            <w:pPr>
              <w:jc w:val="right"/>
              <w:rPr>
                <w:color w:val="000000"/>
                <w:sz w:val="22"/>
                <w:szCs w:val="22"/>
              </w:rPr>
            </w:pPr>
          </w:p>
        </w:tc>
        <w:tc>
          <w:tcPr>
            <w:tcW w:w="1415" w:type="dxa"/>
          </w:tcPr>
          <w:p w14:paraId="354872B9" w14:textId="77777777" w:rsidR="00DC0AB1" w:rsidRPr="00504DE3" w:rsidRDefault="00DC0AB1" w:rsidP="00DC0AB1">
            <w:pPr>
              <w:jc w:val="right"/>
              <w:rPr>
                <w:color w:val="000000"/>
                <w:sz w:val="22"/>
                <w:szCs w:val="22"/>
              </w:rPr>
            </w:pPr>
          </w:p>
        </w:tc>
        <w:tc>
          <w:tcPr>
            <w:tcW w:w="1415" w:type="dxa"/>
          </w:tcPr>
          <w:p w14:paraId="4C83B500" w14:textId="77777777" w:rsidR="00DC0AB1" w:rsidRPr="00504DE3" w:rsidRDefault="00DC0AB1" w:rsidP="00DC0AB1">
            <w:pPr>
              <w:jc w:val="right"/>
              <w:rPr>
                <w:color w:val="000000"/>
                <w:sz w:val="22"/>
                <w:szCs w:val="22"/>
              </w:rPr>
            </w:pPr>
          </w:p>
        </w:tc>
      </w:tr>
      <w:tr w:rsidR="008D62B2" w:rsidRPr="00396ABF" w14:paraId="11361E2F" w14:textId="7B9F43FA" w:rsidTr="00DC0AB1">
        <w:trPr>
          <w:gridAfter w:val="1"/>
          <w:wAfter w:w="1418" w:type="dxa"/>
          <w:trHeight w:val="248"/>
        </w:trPr>
        <w:tc>
          <w:tcPr>
            <w:tcW w:w="3989" w:type="dxa"/>
            <w:shd w:val="clear" w:color="auto" w:fill="auto"/>
            <w:vAlign w:val="bottom"/>
          </w:tcPr>
          <w:p w14:paraId="56EDE8DF" w14:textId="5E119E6C" w:rsidR="008D62B2" w:rsidRPr="00396ABF" w:rsidRDefault="008D62B2" w:rsidP="003162ED">
            <w:pPr>
              <w:rPr>
                <w:bCs/>
                <w:sz w:val="22"/>
                <w:szCs w:val="22"/>
              </w:rPr>
            </w:pPr>
            <w:r>
              <w:rPr>
                <w:bCs/>
                <w:sz w:val="22"/>
                <w:szCs w:val="22"/>
              </w:rPr>
              <w:t>At 31 March 202</w:t>
            </w:r>
            <w:r w:rsidR="009E61EB">
              <w:rPr>
                <w:bCs/>
                <w:sz w:val="22"/>
                <w:szCs w:val="22"/>
              </w:rPr>
              <w:t>4</w:t>
            </w:r>
          </w:p>
        </w:tc>
        <w:tc>
          <w:tcPr>
            <w:tcW w:w="588" w:type="dxa"/>
            <w:shd w:val="clear" w:color="auto" w:fill="auto"/>
            <w:vAlign w:val="bottom"/>
          </w:tcPr>
          <w:p w14:paraId="000B8E21" w14:textId="77777777" w:rsidR="008D62B2" w:rsidRPr="00396ABF" w:rsidRDefault="008D62B2" w:rsidP="003162ED">
            <w:pPr>
              <w:jc w:val="center"/>
              <w:rPr>
                <w:sz w:val="22"/>
                <w:szCs w:val="22"/>
              </w:rPr>
            </w:pPr>
          </w:p>
        </w:tc>
        <w:tc>
          <w:tcPr>
            <w:tcW w:w="1663" w:type="dxa"/>
            <w:tcBorders>
              <w:left w:val="nil"/>
              <w:bottom w:val="single" w:sz="4" w:space="0" w:color="auto"/>
            </w:tcBorders>
            <w:shd w:val="clear" w:color="auto" w:fill="auto"/>
            <w:vAlign w:val="bottom"/>
          </w:tcPr>
          <w:p w14:paraId="565836AB" w14:textId="325646DA" w:rsidR="008D62B2" w:rsidRPr="00504DE3" w:rsidRDefault="00636528" w:rsidP="00504DE3">
            <w:pPr>
              <w:jc w:val="right"/>
              <w:rPr>
                <w:sz w:val="22"/>
                <w:szCs w:val="22"/>
              </w:rPr>
            </w:pPr>
            <w:r>
              <w:rPr>
                <w:sz w:val="22"/>
                <w:szCs w:val="22"/>
              </w:rPr>
              <w:t>11,</w:t>
            </w:r>
            <w:r w:rsidR="003A0FB4">
              <w:rPr>
                <w:sz w:val="22"/>
                <w:szCs w:val="22"/>
              </w:rPr>
              <w:t>060</w:t>
            </w:r>
          </w:p>
        </w:tc>
        <w:tc>
          <w:tcPr>
            <w:tcW w:w="1415" w:type="dxa"/>
            <w:tcBorders>
              <w:left w:val="nil"/>
              <w:bottom w:val="single" w:sz="4" w:space="0" w:color="auto"/>
            </w:tcBorders>
          </w:tcPr>
          <w:p w14:paraId="71FD18F1" w14:textId="241753A8" w:rsidR="00DC0AB1" w:rsidRPr="00504DE3" w:rsidRDefault="00636528" w:rsidP="00DC0AB1">
            <w:pPr>
              <w:jc w:val="right"/>
              <w:rPr>
                <w:sz w:val="22"/>
                <w:szCs w:val="22"/>
              </w:rPr>
            </w:pPr>
            <w:r>
              <w:rPr>
                <w:sz w:val="22"/>
                <w:szCs w:val="22"/>
              </w:rPr>
              <w:t>52</w:t>
            </w:r>
            <w:r w:rsidR="005252CC">
              <w:rPr>
                <w:sz w:val="22"/>
                <w:szCs w:val="22"/>
              </w:rPr>
              <w:t>2</w:t>
            </w:r>
          </w:p>
        </w:tc>
        <w:tc>
          <w:tcPr>
            <w:tcW w:w="1415" w:type="dxa"/>
            <w:tcBorders>
              <w:left w:val="nil"/>
              <w:bottom w:val="single" w:sz="4" w:space="0" w:color="auto"/>
            </w:tcBorders>
          </w:tcPr>
          <w:p w14:paraId="2B009264" w14:textId="154B51C4" w:rsidR="00DC0AB1" w:rsidRPr="00504DE3" w:rsidRDefault="00636528" w:rsidP="00DC0AB1">
            <w:pPr>
              <w:jc w:val="right"/>
              <w:rPr>
                <w:sz w:val="22"/>
                <w:szCs w:val="22"/>
              </w:rPr>
            </w:pPr>
            <w:r>
              <w:rPr>
                <w:sz w:val="22"/>
                <w:szCs w:val="22"/>
              </w:rPr>
              <w:t>11,</w:t>
            </w:r>
            <w:r w:rsidR="003A0FB4">
              <w:rPr>
                <w:sz w:val="22"/>
                <w:szCs w:val="22"/>
              </w:rPr>
              <w:t>582</w:t>
            </w:r>
          </w:p>
        </w:tc>
      </w:tr>
      <w:tr w:rsidR="008D62B2" w:rsidRPr="00396ABF" w14:paraId="7948B110" w14:textId="182111BD" w:rsidTr="00DC0AB1">
        <w:trPr>
          <w:gridAfter w:val="1"/>
          <w:wAfter w:w="1418" w:type="dxa"/>
          <w:trHeight w:val="248"/>
        </w:trPr>
        <w:tc>
          <w:tcPr>
            <w:tcW w:w="3989" w:type="dxa"/>
            <w:shd w:val="clear" w:color="auto" w:fill="auto"/>
            <w:vAlign w:val="bottom"/>
          </w:tcPr>
          <w:p w14:paraId="6430ACF1" w14:textId="77777777" w:rsidR="008D62B2" w:rsidRPr="00396ABF" w:rsidRDefault="008D62B2" w:rsidP="003162ED">
            <w:pPr>
              <w:rPr>
                <w:sz w:val="22"/>
                <w:szCs w:val="22"/>
              </w:rPr>
            </w:pPr>
          </w:p>
        </w:tc>
        <w:tc>
          <w:tcPr>
            <w:tcW w:w="588" w:type="dxa"/>
            <w:shd w:val="clear" w:color="auto" w:fill="auto"/>
            <w:vAlign w:val="bottom"/>
          </w:tcPr>
          <w:p w14:paraId="3A677869" w14:textId="77777777" w:rsidR="008D62B2" w:rsidRPr="00396ABF" w:rsidRDefault="008D62B2" w:rsidP="003162ED">
            <w:pPr>
              <w:jc w:val="center"/>
              <w:rPr>
                <w:sz w:val="22"/>
                <w:szCs w:val="22"/>
              </w:rPr>
            </w:pPr>
          </w:p>
        </w:tc>
        <w:tc>
          <w:tcPr>
            <w:tcW w:w="1663" w:type="dxa"/>
            <w:tcBorders>
              <w:top w:val="single" w:sz="4" w:space="0" w:color="auto"/>
            </w:tcBorders>
            <w:shd w:val="clear" w:color="auto" w:fill="auto"/>
            <w:vAlign w:val="bottom"/>
          </w:tcPr>
          <w:p w14:paraId="2E832C56" w14:textId="77777777" w:rsidR="008D62B2" w:rsidRPr="00504DE3" w:rsidRDefault="008D62B2" w:rsidP="00504DE3">
            <w:pPr>
              <w:jc w:val="right"/>
              <w:rPr>
                <w:sz w:val="22"/>
                <w:szCs w:val="22"/>
              </w:rPr>
            </w:pPr>
          </w:p>
        </w:tc>
        <w:tc>
          <w:tcPr>
            <w:tcW w:w="1415" w:type="dxa"/>
            <w:tcBorders>
              <w:top w:val="single" w:sz="4" w:space="0" w:color="auto"/>
            </w:tcBorders>
          </w:tcPr>
          <w:p w14:paraId="471AE7C8" w14:textId="77777777" w:rsidR="00DC0AB1" w:rsidRPr="00504DE3" w:rsidRDefault="00DC0AB1" w:rsidP="00DC0AB1">
            <w:pPr>
              <w:jc w:val="right"/>
              <w:rPr>
                <w:sz w:val="22"/>
                <w:szCs w:val="22"/>
              </w:rPr>
            </w:pPr>
          </w:p>
        </w:tc>
        <w:tc>
          <w:tcPr>
            <w:tcW w:w="1415" w:type="dxa"/>
            <w:tcBorders>
              <w:top w:val="single" w:sz="4" w:space="0" w:color="auto"/>
            </w:tcBorders>
          </w:tcPr>
          <w:p w14:paraId="744C88A4" w14:textId="77777777" w:rsidR="00DC0AB1" w:rsidRPr="00504DE3" w:rsidRDefault="00DC0AB1" w:rsidP="00DC0AB1">
            <w:pPr>
              <w:jc w:val="right"/>
              <w:rPr>
                <w:sz w:val="22"/>
                <w:szCs w:val="22"/>
              </w:rPr>
            </w:pPr>
          </w:p>
        </w:tc>
      </w:tr>
      <w:tr w:rsidR="009E61EB" w:rsidRPr="00396ABF" w14:paraId="355A211F" w14:textId="50DBF60B" w:rsidTr="00DC0AB1">
        <w:trPr>
          <w:gridAfter w:val="1"/>
          <w:wAfter w:w="1418" w:type="dxa"/>
          <w:trHeight w:val="248"/>
        </w:trPr>
        <w:tc>
          <w:tcPr>
            <w:tcW w:w="3989" w:type="dxa"/>
            <w:shd w:val="clear" w:color="auto" w:fill="auto"/>
            <w:vAlign w:val="bottom"/>
          </w:tcPr>
          <w:p w14:paraId="74BD9A23" w14:textId="050DCAD3" w:rsidR="009E61EB" w:rsidRPr="00396ABF" w:rsidRDefault="009E61EB" w:rsidP="009E61EB">
            <w:pPr>
              <w:rPr>
                <w:sz w:val="22"/>
                <w:szCs w:val="22"/>
              </w:rPr>
            </w:pPr>
            <w:r>
              <w:rPr>
                <w:sz w:val="22"/>
                <w:szCs w:val="22"/>
              </w:rPr>
              <w:t>At 31 March 2023</w:t>
            </w:r>
          </w:p>
        </w:tc>
        <w:tc>
          <w:tcPr>
            <w:tcW w:w="588" w:type="dxa"/>
            <w:shd w:val="clear" w:color="auto" w:fill="auto"/>
            <w:vAlign w:val="bottom"/>
          </w:tcPr>
          <w:p w14:paraId="28CF1D23" w14:textId="77777777" w:rsidR="009E61EB" w:rsidRPr="00396ABF" w:rsidRDefault="009E61EB" w:rsidP="009E61EB">
            <w:pPr>
              <w:jc w:val="center"/>
              <w:rPr>
                <w:sz w:val="22"/>
                <w:szCs w:val="22"/>
              </w:rPr>
            </w:pPr>
          </w:p>
        </w:tc>
        <w:tc>
          <w:tcPr>
            <w:tcW w:w="1663" w:type="dxa"/>
            <w:tcBorders>
              <w:bottom w:val="single" w:sz="4" w:space="0" w:color="auto"/>
            </w:tcBorders>
            <w:shd w:val="clear" w:color="auto" w:fill="auto"/>
            <w:vAlign w:val="bottom"/>
          </w:tcPr>
          <w:p w14:paraId="2C9D9B43" w14:textId="45D9078A" w:rsidR="009E61EB" w:rsidRPr="00504DE3" w:rsidRDefault="009E61EB" w:rsidP="009E61EB">
            <w:pPr>
              <w:jc w:val="right"/>
              <w:rPr>
                <w:sz w:val="22"/>
                <w:szCs w:val="22"/>
              </w:rPr>
            </w:pPr>
            <w:r>
              <w:rPr>
                <w:sz w:val="22"/>
                <w:szCs w:val="22"/>
              </w:rPr>
              <w:t>11,604</w:t>
            </w:r>
          </w:p>
        </w:tc>
        <w:tc>
          <w:tcPr>
            <w:tcW w:w="1415" w:type="dxa"/>
            <w:tcBorders>
              <w:bottom w:val="single" w:sz="4" w:space="0" w:color="auto"/>
            </w:tcBorders>
          </w:tcPr>
          <w:p w14:paraId="2E82711C" w14:textId="3C20DEF0" w:rsidR="009E61EB" w:rsidRPr="00504DE3" w:rsidRDefault="009E61EB" w:rsidP="009E61EB">
            <w:pPr>
              <w:jc w:val="right"/>
              <w:rPr>
                <w:color w:val="000000"/>
                <w:sz w:val="22"/>
                <w:szCs w:val="22"/>
              </w:rPr>
            </w:pPr>
            <w:r>
              <w:rPr>
                <w:sz w:val="22"/>
                <w:szCs w:val="22"/>
              </w:rPr>
              <w:t>550</w:t>
            </w:r>
          </w:p>
        </w:tc>
        <w:tc>
          <w:tcPr>
            <w:tcW w:w="1415" w:type="dxa"/>
            <w:tcBorders>
              <w:bottom w:val="single" w:sz="4" w:space="0" w:color="auto"/>
            </w:tcBorders>
          </w:tcPr>
          <w:p w14:paraId="04685870" w14:textId="56B21725" w:rsidR="009E61EB" w:rsidRPr="00504DE3" w:rsidRDefault="009E61EB" w:rsidP="009E61EB">
            <w:pPr>
              <w:jc w:val="right"/>
              <w:rPr>
                <w:color w:val="000000"/>
                <w:sz w:val="22"/>
                <w:szCs w:val="22"/>
              </w:rPr>
            </w:pPr>
            <w:r>
              <w:rPr>
                <w:sz w:val="22"/>
                <w:szCs w:val="22"/>
              </w:rPr>
              <w:t>12,154</w:t>
            </w:r>
          </w:p>
        </w:tc>
      </w:tr>
    </w:tbl>
    <w:p w14:paraId="5DB57C8C" w14:textId="77777777" w:rsidR="008D62B2" w:rsidRPr="006A3DB5" w:rsidRDefault="008D62B2" w:rsidP="008D62B2">
      <w:pPr>
        <w:jc w:val="both"/>
        <w:rPr>
          <w:color w:val="FF0000"/>
          <w:sz w:val="22"/>
          <w:szCs w:val="20"/>
        </w:rPr>
      </w:pPr>
    </w:p>
    <w:p w14:paraId="4E722223" w14:textId="375771E9" w:rsidR="00E730AF" w:rsidRDefault="008D62B2" w:rsidP="00795442">
      <w:pPr>
        <w:jc w:val="both"/>
        <w:rPr>
          <w:sz w:val="22"/>
        </w:rPr>
      </w:pPr>
      <w:r w:rsidRPr="006A3DB5">
        <w:rPr>
          <w:sz w:val="22"/>
        </w:rPr>
        <w:t xml:space="preserve">Market rent </w:t>
      </w:r>
      <w:r w:rsidRPr="009B007F">
        <w:rPr>
          <w:sz w:val="22"/>
        </w:rPr>
        <w:t xml:space="preserve">properties were valued at market value subject to tenancy (“MV-T”) by an independent professional adviser, </w:t>
      </w:r>
      <w:r w:rsidR="0056733B">
        <w:rPr>
          <w:sz w:val="22"/>
        </w:rPr>
        <w:t>JLL</w:t>
      </w:r>
      <w:r w:rsidR="001001EE">
        <w:rPr>
          <w:sz w:val="22"/>
        </w:rPr>
        <w:t xml:space="preserve"> on 31 March 202</w:t>
      </w:r>
      <w:r w:rsidR="009E61EB">
        <w:rPr>
          <w:sz w:val="22"/>
        </w:rPr>
        <w:t>4</w:t>
      </w:r>
      <w:r w:rsidRPr="006A3DB5">
        <w:rPr>
          <w:sz w:val="22"/>
        </w:rPr>
        <w:t xml:space="preserve">.  </w:t>
      </w:r>
    </w:p>
    <w:p w14:paraId="7E6F7902" w14:textId="77777777" w:rsidR="00BB1086" w:rsidRDefault="00BB1086" w:rsidP="00795442">
      <w:pPr>
        <w:jc w:val="both"/>
        <w:rPr>
          <w:sz w:val="22"/>
        </w:rPr>
      </w:pPr>
    </w:p>
    <w:p w14:paraId="158245AE" w14:textId="5A3BF4E7" w:rsidR="00795442" w:rsidRPr="006A3DB5" w:rsidRDefault="00795442" w:rsidP="00795442">
      <w:pPr>
        <w:jc w:val="both"/>
        <w:rPr>
          <w:sz w:val="22"/>
        </w:rPr>
      </w:pPr>
      <w:r w:rsidRPr="006A3DB5">
        <w:rPr>
          <w:sz w:val="22"/>
        </w:rPr>
        <w:t>The number of properties held for market rent</w:t>
      </w:r>
      <w:r w:rsidR="008D62B2">
        <w:rPr>
          <w:sz w:val="22"/>
        </w:rPr>
        <w:t xml:space="preserve"> by </w:t>
      </w:r>
      <w:r w:rsidR="008D62B2" w:rsidRPr="00D172A4">
        <w:rPr>
          <w:sz w:val="22"/>
        </w:rPr>
        <w:t>the Company</w:t>
      </w:r>
      <w:r w:rsidR="001168EB">
        <w:rPr>
          <w:sz w:val="22"/>
        </w:rPr>
        <w:t xml:space="preserve"> at 31 March </w:t>
      </w:r>
      <w:r w:rsidRPr="006A3DB5">
        <w:rPr>
          <w:sz w:val="22"/>
        </w:rPr>
        <w:t>was:</w:t>
      </w:r>
    </w:p>
    <w:p w14:paraId="41B7D2BE" w14:textId="77777777" w:rsidR="00795442" w:rsidRPr="006A3DB5" w:rsidRDefault="00795442" w:rsidP="00795442">
      <w:pPr>
        <w:jc w:val="both"/>
        <w:rPr>
          <w:sz w:val="22"/>
        </w:rPr>
      </w:pPr>
    </w:p>
    <w:tbl>
      <w:tblPr>
        <w:tblW w:w="9072" w:type="dxa"/>
        <w:tblLayout w:type="fixed"/>
        <w:tblLook w:val="0000" w:firstRow="0" w:lastRow="0" w:firstColumn="0" w:lastColumn="0" w:noHBand="0" w:noVBand="0"/>
      </w:tblPr>
      <w:tblGrid>
        <w:gridCol w:w="2972"/>
        <w:gridCol w:w="3265"/>
        <w:gridCol w:w="1560"/>
        <w:gridCol w:w="1275"/>
      </w:tblGrid>
      <w:tr w:rsidR="00D172A4" w:rsidRPr="00851F89" w14:paraId="5A977ACE" w14:textId="77777777" w:rsidTr="00FA61FB">
        <w:trPr>
          <w:trHeight w:val="255"/>
        </w:trPr>
        <w:tc>
          <w:tcPr>
            <w:tcW w:w="2972" w:type="dxa"/>
            <w:noWrap/>
          </w:tcPr>
          <w:p w14:paraId="682EFBA8" w14:textId="77777777" w:rsidR="00D172A4" w:rsidRPr="00851F89" w:rsidRDefault="00D172A4" w:rsidP="003A51AD">
            <w:pPr>
              <w:rPr>
                <w:sz w:val="22"/>
                <w:szCs w:val="22"/>
              </w:rPr>
            </w:pPr>
          </w:p>
        </w:tc>
        <w:tc>
          <w:tcPr>
            <w:tcW w:w="3265" w:type="dxa"/>
            <w:noWrap/>
          </w:tcPr>
          <w:p w14:paraId="6D79459A" w14:textId="77777777" w:rsidR="00D172A4" w:rsidRPr="00851F89" w:rsidRDefault="00D172A4" w:rsidP="003A51AD">
            <w:pPr>
              <w:rPr>
                <w:sz w:val="22"/>
                <w:szCs w:val="22"/>
              </w:rPr>
            </w:pPr>
          </w:p>
        </w:tc>
        <w:tc>
          <w:tcPr>
            <w:tcW w:w="1560" w:type="dxa"/>
          </w:tcPr>
          <w:p w14:paraId="3B084B8A" w14:textId="600B9D3B" w:rsidR="00D172A4" w:rsidRPr="00851F89" w:rsidRDefault="00D172A4" w:rsidP="004314D3">
            <w:pPr>
              <w:jc w:val="center"/>
              <w:rPr>
                <w:b/>
                <w:bCs/>
                <w:sz w:val="22"/>
                <w:szCs w:val="22"/>
              </w:rPr>
            </w:pPr>
            <w:r>
              <w:rPr>
                <w:b/>
                <w:bCs/>
                <w:sz w:val="22"/>
                <w:szCs w:val="22"/>
              </w:rPr>
              <w:t>202</w:t>
            </w:r>
            <w:r w:rsidR="009E61EB">
              <w:rPr>
                <w:b/>
                <w:bCs/>
                <w:sz w:val="22"/>
                <w:szCs w:val="22"/>
              </w:rPr>
              <w:t>4</w:t>
            </w:r>
          </w:p>
        </w:tc>
        <w:tc>
          <w:tcPr>
            <w:tcW w:w="1275" w:type="dxa"/>
          </w:tcPr>
          <w:p w14:paraId="4846AE3F" w14:textId="38944BC6" w:rsidR="00D172A4" w:rsidRPr="00851F89" w:rsidRDefault="00D172A4" w:rsidP="004314D3">
            <w:pPr>
              <w:jc w:val="center"/>
              <w:rPr>
                <w:b/>
                <w:bCs/>
                <w:sz w:val="22"/>
                <w:szCs w:val="22"/>
              </w:rPr>
            </w:pPr>
            <w:r>
              <w:rPr>
                <w:b/>
                <w:bCs/>
                <w:sz w:val="22"/>
                <w:szCs w:val="22"/>
              </w:rPr>
              <w:t>202</w:t>
            </w:r>
            <w:r w:rsidR="009E61EB">
              <w:rPr>
                <w:b/>
                <w:bCs/>
                <w:sz w:val="22"/>
                <w:szCs w:val="22"/>
              </w:rPr>
              <w:t>3</w:t>
            </w:r>
          </w:p>
        </w:tc>
      </w:tr>
      <w:tr w:rsidR="00D172A4" w:rsidRPr="00851F89" w14:paraId="5D86431B" w14:textId="77777777" w:rsidTr="00FA61FB">
        <w:trPr>
          <w:trHeight w:val="255"/>
        </w:trPr>
        <w:tc>
          <w:tcPr>
            <w:tcW w:w="6237" w:type="dxa"/>
            <w:gridSpan w:val="2"/>
            <w:noWrap/>
          </w:tcPr>
          <w:p w14:paraId="004F1B77" w14:textId="77777777" w:rsidR="00D172A4" w:rsidRPr="00851F89" w:rsidRDefault="00D172A4" w:rsidP="003A51AD">
            <w:pPr>
              <w:pStyle w:val="Heading7"/>
              <w:rPr>
                <w:sz w:val="22"/>
                <w:szCs w:val="22"/>
              </w:rPr>
            </w:pPr>
            <w:r w:rsidRPr="00851F89">
              <w:rPr>
                <w:sz w:val="22"/>
                <w:szCs w:val="22"/>
              </w:rPr>
              <w:t>Mid Market Rent Properties</w:t>
            </w:r>
          </w:p>
        </w:tc>
        <w:tc>
          <w:tcPr>
            <w:tcW w:w="1560" w:type="dxa"/>
          </w:tcPr>
          <w:p w14:paraId="636CD4DC" w14:textId="77777777" w:rsidR="00D172A4" w:rsidRPr="00851F89" w:rsidRDefault="00D172A4" w:rsidP="003A51AD">
            <w:pPr>
              <w:jc w:val="center"/>
              <w:rPr>
                <w:sz w:val="22"/>
                <w:szCs w:val="22"/>
              </w:rPr>
            </w:pPr>
          </w:p>
        </w:tc>
        <w:tc>
          <w:tcPr>
            <w:tcW w:w="1275" w:type="dxa"/>
          </w:tcPr>
          <w:p w14:paraId="612EDAA1" w14:textId="77777777" w:rsidR="00D172A4" w:rsidRPr="00851F89" w:rsidRDefault="00D172A4" w:rsidP="003A51AD">
            <w:pPr>
              <w:jc w:val="center"/>
              <w:rPr>
                <w:sz w:val="22"/>
                <w:szCs w:val="22"/>
              </w:rPr>
            </w:pPr>
          </w:p>
        </w:tc>
      </w:tr>
      <w:tr w:rsidR="00D172A4" w:rsidRPr="00851F89" w14:paraId="260D9373" w14:textId="77777777" w:rsidTr="00FA61FB">
        <w:trPr>
          <w:trHeight w:val="255"/>
        </w:trPr>
        <w:tc>
          <w:tcPr>
            <w:tcW w:w="2972" w:type="dxa"/>
            <w:shd w:val="clear" w:color="auto" w:fill="auto"/>
            <w:noWrap/>
          </w:tcPr>
          <w:p w14:paraId="02C93CE0" w14:textId="77777777" w:rsidR="00D172A4" w:rsidRPr="00851F89" w:rsidRDefault="00D172A4" w:rsidP="003A51AD">
            <w:pPr>
              <w:rPr>
                <w:sz w:val="22"/>
                <w:szCs w:val="22"/>
              </w:rPr>
            </w:pPr>
            <w:r w:rsidRPr="00851F89">
              <w:rPr>
                <w:sz w:val="22"/>
                <w:szCs w:val="22"/>
              </w:rPr>
              <w:t>Total Units</w:t>
            </w:r>
          </w:p>
        </w:tc>
        <w:tc>
          <w:tcPr>
            <w:tcW w:w="3265" w:type="dxa"/>
            <w:shd w:val="clear" w:color="auto" w:fill="auto"/>
            <w:noWrap/>
          </w:tcPr>
          <w:p w14:paraId="7D311D96" w14:textId="77777777" w:rsidR="00D172A4" w:rsidRPr="00851F89" w:rsidRDefault="00D172A4" w:rsidP="003A51AD">
            <w:pPr>
              <w:rPr>
                <w:sz w:val="22"/>
                <w:szCs w:val="22"/>
              </w:rPr>
            </w:pPr>
          </w:p>
        </w:tc>
        <w:tc>
          <w:tcPr>
            <w:tcW w:w="1560" w:type="dxa"/>
          </w:tcPr>
          <w:p w14:paraId="6D1D7A7E" w14:textId="6885D073" w:rsidR="00D172A4" w:rsidRPr="001618A3" w:rsidRDefault="00EF1289" w:rsidP="003A51AD">
            <w:pPr>
              <w:jc w:val="center"/>
              <w:rPr>
                <w:sz w:val="22"/>
                <w:szCs w:val="22"/>
              </w:rPr>
            </w:pPr>
            <w:r>
              <w:rPr>
                <w:sz w:val="22"/>
                <w:szCs w:val="22"/>
              </w:rPr>
              <w:t>101</w:t>
            </w:r>
          </w:p>
        </w:tc>
        <w:tc>
          <w:tcPr>
            <w:tcW w:w="1275" w:type="dxa"/>
          </w:tcPr>
          <w:p w14:paraId="1EF131BB" w14:textId="420AEB8C" w:rsidR="00D172A4" w:rsidRPr="001618A3" w:rsidRDefault="00D172A4" w:rsidP="003A51AD">
            <w:pPr>
              <w:jc w:val="center"/>
              <w:rPr>
                <w:sz w:val="22"/>
                <w:szCs w:val="22"/>
              </w:rPr>
            </w:pPr>
            <w:r w:rsidRPr="001618A3">
              <w:rPr>
                <w:sz w:val="22"/>
                <w:szCs w:val="22"/>
              </w:rPr>
              <w:t>10</w:t>
            </w:r>
            <w:r>
              <w:rPr>
                <w:sz w:val="22"/>
                <w:szCs w:val="22"/>
              </w:rPr>
              <w:t>1</w:t>
            </w:r>
          </w:p>
        </w:tc>
      </w:tr>
    </w:tbl>
    <w:p w14:paraId="71DE6550" w14:textId="77777777" w:rsidR="00370358" w:rsidRDefault="00370358" w:rsidP="00795442">
      <w:pPr>
        <w:jc w:val="both"/>
        <w:rPr>
          <w:sz w:val="22"/>
        </w:rPr>
      </w:pPr>
    </w:p>
    <w:p w14:paraId="17DC6703" w14:textId="1F6178C6" w:rsidR="00E429E0" w:rsidRDefault="00E429E0" w:rsidP="00A314AB">
      <w:pPr>
        <w:pStyle w:val="ACText"/>
        <w:rPr>
          <w:b/>
          <w:sz w:val="22"/>
          <w:szCs w:val="22"/>
        </w:rPr>
      </w:pPr>
      <w:r>
        <w:rPr>
          <w:b/>
          <w:sz w:val="22"/>
          <w:szCs w:val="22"/>
        </w:rPr>
        <w:t>1</w:t>
      </w:r>
      <w:r w:rsidR="00AF5224">
        <w:rPr>
          <w:b/>
          <w:sz w:val="22"/>
          <w:szCs w:val="22"/>
        </w:rPr>
        <w:t>7</w:t>
      </w:r>
      <w:r>
        <w:rPr>
          <w:b/>
          <w:sz w:val="22"/>
          <w:szCs w:val="22"/>
        </w:rPr>
        <w:t>.</w:t>
      </w:r>
      <w:r>
        <w:rPr>
          <w:b/>
          <w:sz w:val="22"/>
          <w:szCs w:val="22"/>
        </w:rPr>
        <w:tab/>
      </w:r>
      <w:r w:rsidR="00657046">
        <w:rPr>
          <w:b/>
          <w:sz w:val="22"/>
          <w:szCs w:val="22"/>
        </w:rPr>
        <w:t>Stock</w:t>
      </w:r>
    </w:p>
    <w:tbl>
      <w:tblPr>
        <w:tblW w:w="9025" w:type="dxa"/>
        <w:tblLayout w:type="fixed"/>
        <w:tblLook w:val="0000" w:firstRow="0" w:lastRow="0" w:firstColumn="0" w:lastColumn="0" w:noHBand="0" w:noVBand="0"/>
      </w:tblPr>
      <w:tblGrid>
        <w:gridCol w:w="2972"/>
        <w:gridCol w:w="3124"/>
        <w:gridCol w:w="1842"/>
        <w:gridCol w:w="851"/>
        <w:gridCol w:w="236"/>
      </w:tblGrid>
      <w:tr w:rsidR="00A0760E" w:rsidRPr="00851F89" w14:paraId="00F685B9" w14:textId="77777777" w:rsidTr="00BF3035">
        <w:trPr>
          <w:trHeight w:val="255"/>
        </w:trPr>
        <w:tc>
          <w:tcPr>
            <w:tcW w:w="2972" w:type="dxa"/>
            <w:noWrap/>
          </w:tcPr>
          <w:p w14:paraId="7D688B91" w14:textId="77777777" w:rsidR="00A0760E" w:rsidRPr="00851F89" w:rsidRDefault="00A0760E" w:rsidP="003162ED">
            <w:pPr>
              <w:rPr>
                <w:sz w:val="22"/>
                <w:szCs w:val="22"/>
              </w:rPr>
            </w:pPr>
          </w:p>
        </w:tc>
        <w:tc>
          <w:tcPr>
            <w:tcW w:w="3124" w:type="dxa"/>
            <w:noWrap/>
          </w:tcPr>
          <w:p w14:paraId="2EBF43B2" w14:textId="77777777" w:rsidR="00A0760E" w:rsidRPr="00851F89" w:rsidRDefault="00A0760E" w:rsidP="003162ED">
            <w:pPr>
              <w:rPr>
                <w:sz w:val="22"/>
                <w:szCs w:val="22"/>
              </w:rPr>
            </w:pPr>
          </w:p>
        </w:tc>
        <w:tc>
          <w:tcPr>
            <w:tcW w:w="2693" w:type="dxa"/>
            <w:gridSpan w:val="2"/>
          </w:tcPr>
          <w:p w14:paraId="722E037C" w14:textId="54050C47" w:rsidR="00A0760E" w:rsidRPr="00851F89" w:rsidRDefault="00A0760E" w:rsidP="003162ED">
            <w:pPr>
              <w:jc w:val="center"/>
              <w:rPr>
                <w:b/>
                <w:bCs/>
                <w:sz w:val="22"/>
                <w:szCs w:val="22"/>
              </w:rPr>
            </w:pPr>
          </w:p>
        </w:tc>
        <w:tc>
          <w:tcPr>
            <w:tcW w:w="236" w:type="dxa"/>
          </w:tcPr>
          <w:p w14:paraId="6A48ABDF" w14:textId="77777777" w:rsidR="00A0760E" w:rsidRPr="00851F89" w:rsidRDefault="00A0760E" w:rsidP="003162ED">
            <w:pPr>
              <w:jc w:val="center"/>
              <w:rPr>
                <w:b/>
                <w:bCs/>
                <w:sz w:val="22"/>
                <w:szCs w:val="22"/>
              </w:rPr>
            </w:pPr>
          </w:p>
        </w:tc>
      </w:tr>
      <w:tr w:rsidR="00A0760E" w:rsidRPr="00851F89" w14:paraId="484CC382" w14:textId="77777777" w:rsidTr="00BF3035">
        <w:trPr>
          <w:gridAfter w:val="1"/>
          <w:wAfter w:w="236" w:type="dxa"/>
          <w:trHeight w:val="255"/>
        </w:trPr>
        <w:tc>
          <w:tcPr>
            <w:tcW w:w="2972" w:type="dxa"/>
            <w:noWrap/>
          </w:tcPr>
          <w:p w14:paraId="0C74B96A" w14:textId="77777777" w:rsidR="00A0760E" w:rsidRPr="00851F89" w:rsidRDefault="00A0760E" w:rsidP="003162ED">
            <w:pPr>
              <w:rPr>
                <w:sz w:val="22"/>
                <w:szCs w:val="22"/>
              </w:rPr>
            </w:pPr>
          </w:p>
        </w:tc>
        <w:tc>
          <w:tcPr>
            <w:tcW w:w="3124" w:type="dxa"/>
            <w:noWrap/>
          </w:tcPr>
          <w:p w14:paraId="74F9DB9E" w14:textId="77777777" w:rsidR="00A0760E" w:rsidRPr="00851F89" w:rsidRDefault="00A0760E" w:rsidP="003162ED">
            <w:pPr>
              <w:rPr>
                <w:sz w:val="22"/>
                <w:szCs w:val="22"/>
              </w:rPr>
            </w:pPr>
          </w:p>
        </w:tc>
        <w:tc>
          <w:tcPr>
            <w:tcW w:w="1842" w:type="dxa"/>
          </w:tcPr>
          <w:p w14:paraId="10BB40C7" w14:textId="2747FE4F" w:rsidR="00A0760E" w:rsidRDefault="00A0760E" w:rsidP="003162ED">
            <w:pPr>
              <w:jc w:val="center"/>
              <w:rPr>
                <w:b/>
                <w:bCs/>
                <w:sz w:val="22"/>
                <w:szCs w:val="22"/>
              </w:rPr>
            </w:pPr>
            <w:r>
              <w:rPr>
                <w:b/>
                <w:bCs/>
                <w:sz w:val="22"/>
                <w:szCs w:val="22"/>
              </w:rPr>
              <w:t>202</w:t>
            </w:r>
            <w:r w:rsidR="009E61EB">
              <w:rPr>
                <w:b/>
                <w:bCs/>
                <w:sz w:val="22"/>
                <w:szCs w:val="22"/>
              </w:rPr>
              <w:t>4</w:t>
            </w:r>
          </w:p>
          <w:p w14:paraId="7AB0C6F7" w14:textId="77777777" w:rsidR="00A0760E" w:rsidRPr="00851F89" w:rsidRDefault="00A0760E" w:rsidP="003162ED">
            <w:pPr>
              <w:jc w:val="center"/>
              <w:rPr>
                <w:b/>
                <w:bCs/>
                <w:sz w:val="22"/>
                <w:szCs w:val="22"/>
              </w:rPr>
            </w:pPr>
            <w:r>
              <w:rPr>
                <w:b/>
                <w:bCs/>
                <w:sz w:val="22"/>
                <w:szCs w:val="22"/>
              </w:rPr>
              <w:t>£’000</w:t>
            </w:r>
          </w:p>
        </w:tc>
        <w:tc>
          <w:tcPr>
            <w:tcW w:w="851" w:type="dxa"/>
          </w:tcPr>
          <w:p w14:paraId="6ACDE62B" w14:textId="18F04FBA" w:rsidR="00A0760E" w:rsidRDefault="00A0760E" w:rsidP="003162ED">
            <w:pPr>
              <w:jc w:val="center"/>
              <w:rPr>
                <w:b/>
                <w:bCs/>
                <w:sz w:val="22"/>
                <w:szCs w:val="22"/>
              </w:rPr>
            </w:pPr>
            <w:r>
              <w:rPr>
                <w:b/>
                <w:bCs/>
                <w:sz w:val="22"/>
                <w:szCs w:val="22"/>
              </w:rPr>
              <w:t>202</w:t>
            </w:r>
            <w:r w:rsidR="009E61EB">
              <w:rPr>
                <w:b/>
                <w:bCs/>
                <w:sz w:val="22"/>
                <w:szCs w:val="22"/>
              </w:rPr>
              <w:t>3</w:t>
            </w:r>
          </w:p>
          <w:p w14:paraId="7803E3F2" w14:textId="77777777" w:rsidR="00A0760E" w:rsidRPr="00851F89" w:rsidRDefault="00A0760E" w:rsidP="003162ED">
            <w:pPr>
              <w:jc w:val="center"/>
              <w:rPr>
                <w:b/>
                <w:bCs/>
                <w:sz w:val="22"/>
                <w:szCs w:val="22"/>
              </w:rPr>
            </w:pPr>
            <w:r>
              <w:rPr>
                <w:b/>
                <w:bCs/>
                <w:sz w:val="22"/>
                <w:szCs w:val="22"/>
              </w:rPr>
              <w:t>£’000</w:t>
            </w:r>
          </w:p>
        </w:tc>
      </w:tr>
      <w:tr w:rsidR="00A0760E" w:rsidRPr="00851F89" w14:paraId="536A0261" w14:textId="77777777" w:rsidTr="00BF3035">
        <w:trPr>
          <w:gridAfter w:val="1"/>
          <w:wAfter w:w="236" w:type="dxa"/>
          <w:trHeight w:val="255"/>
        </w:trPr>
        <w:tc>
          <w:tcPr>
            <w:tcW w:w="6096" w:type="dxa"/>
            <w:gridSpan w:val="2"/>
            <w:noWrap/>
          </w:tcPr>
          <w:p w14:paraId="43F53129" w14:textId="77777777" w:rsidR="00A0760E" w:rsidRPr="00851F89" w:rsidRDefault="00A0760E" w:rsidP="003162ED">
            <w:pPr>
              <w:pStyle w:val="Heading7"/>
              <w:rPr>
                <w:sz w:val="22"/>
                <w:szCs w:val="22"/>
              </w:rPr>
            </w:pPr>
          </w:p>
        </w:tc>
        <w:tc>
          <w:tcPr>
            <w:tcW w:w="1842" w:type="dxa"/>
          </w:tcPr>
          <w:p w14:paraId="32ACADB9" w14:textId="77777777" w:rsidR="00A0760E" w:rsidRPr="00851F89" w:rsidRDefault="00A0760E" w:rsidP="003162ED">
            <w:pPr>
              <w:jc w:val="center"/>
              <w:rPr>
                <w:sz w:val="22"/>
                <w:szCs w:val="22"/>
              </w:rPr>
            </w:pPr>
          </w:p>
        </w:tc>
        <w:tc>
          <w:tcPr>
            <w:tcW w:w="851" w:type="dxa"/>
          </w:tcPr>
          <w:p w14:paraId="259154AC" w14:textId="77777777" w:rsidR="00A0760E" w:rsidRPr="00851F89" w:rsidRDefault="00A0760E" w:rsidP="003162ED">
            <w:pPr>
              <w:jc w:val="center"/>
              <w:rPr>
                <w:sz w:val="22"/>
                <w:szCs w:val="22"/>
              </w:rPr>
            </w:pPr>
          </w:p>
        </w:tc>
      </w:tr>
      <w:tr w:rsidR="009E61EB" w:rsidRPr="00851F89" w14:paraId="461AFE62" w14:textId="77777777" w:rsidTr="00BF3035">
        <w:trPr>
          <w:gridAfter w:val="1"/>
          <w:wAfter w:w="236" w:type="dxa"/>
          <w:trHeight w:val="255"/>
        </w:trPr>
        <w:tc>
          <w:tcPr>
            <w:tcW w:w="6096" w:type="dxa"/>
            <w:gridSpan w:val="2"/>
            <w:noWrap/>
          </w:tcPr>
          <w:p w14:paraId="24EA3069" w14:textId="77777777" w:rsidR="009E61EB" w:rsidRPr="00CF700F" w:rsidRDefault="009E61EB" w:rsidP="009E61EB">
            <w:pPr>
              <w:pStyle w:val="Heading7"/>
              <w:rPr>
                <w:b w:val="0"/>
                <w:sz w:val="22"/>
                <w:szCs w:val="22"/>
              </w:rPr>
            </w:pPr>
            <w:r w:rsidRPr="00CF700F">
              <w:rPr>
                <w:b w:val="0"/>
                <w:sz w:val="22"/>
                <w:szCs w:val="22"/>
              </w:rPr>
              <w:t>Materials on site</w:t>
            </w:r>
          </w:p>
        </w:tc>
        <w:tc>
          <w:tcPr>
            <w:tcW w:w="1842" w:type="dxa"/>
          </w:tcPr>
          <w:p w14:paraId="2FDC414E" w14:textId="0E9C3737" w:rsidR="009E61EB" w:rsidRPr="00851F89" w:rsidRDefault="00EF1289" w:rsidP="009E61EB">
            <w:pPr>
              <w:jc w:val="center"/>
              <w:rPr>
                <w:sz w:val="22"/>
                <w:szCs w:val="22"/>
              </w:rPr>
            </w:pPr>
            <w:r>
              <w:rPr>
                <w:sz w:val="22"/>
                <w:szCs w:val="22"/>
              </w:rPr>
              <w:t>7</w:t>
            </w:r>
            <w:r w:rsidR="00F560B9">
              <w:rPr>
                <w:sz w:val="22"/>
                <w:szCs w:val="22"/>
              </w:rPr>
              <w:t>6</w:t>
            </w:r>
          </w:p>
        </w:tc>
        <w:tc>
          <w:tcPr>
            <w:tcW w:w="851" w:type="dxa"/>
          </w:tcPr>
          <w:p w14:paraId="2FC2253A" w14:textId="7FF5F169" w:rsidR="009E61EB" w:rsidRPr="00851F89" w:rsidRDefault="009E61EB" w:rsidP="009E61EB">
            <w:pPr>
              <w:jc w:val="center"/>
              <w:rPr>
                <w:sz w:val="22"/>
                <w:szCs w:val="22"/>
              </w:rPr>
            </w:pPr>
            <w:r>
              <w:rPr>
                <w:sz w:val="22"/>
                <w:szCs w:val="22"/>
              </w:rPr>
              <w:t>414</w:t>
            </w:r>
          </w:p>
        </w:tc>
      </w:tr>
      <w:tr w:rsidR="009E61EB" w:rsidRPr="00851F89" w14:paraId="5ADCB718" w14:textId="77777777" w:rsidTr="00BF3035">
        <w:trPr>
          <w:gridAfter w:val="1"/>
          <w:wAfter w:w="236" w:type="dxa"/>
          <w:trHeight w:val="255"/>
        </w:trPr>
        <w:tc>
          <w:tcPr>
            <w:tcW w:w="6096" w:type="dxa"/>
            <w:gridSpan w:val="2"/>
            <w:noWrap/>
          </w:tcPr>
          <w:p w14:paraId="149DC70D" w14:textId="77777777" w:rsidR="009E61EB" w:rsidRPr="00CF700F" w:rsidRDefault="009E61EB" w:rsidP="009E61EB">
            <w:pPr>
              <w:pStyle w:val="Heading7"/>
              <w:rPr>
                <w:b w:val="0"/>
                <w:sz w:val="22"/>
                <w:szCs w:val="22"/>
              </w:rPr>
            </w:pPr>
            <w:r>
              <w:rPr>
                <w:b w:val="0"/>
                <w:sz w:val="22"/>
                <w:szCs w:val="22"/>
              </w:rPr>
              <w:t xml:space="preserve">Van stocks </w:t>
            </w:r>
          </w:p>
        </w:tc>
        <w:tc>
          <w:tcPr>
            <w:tcW w:w="1842" w:type="dxa"/>
          </w:tcPr>
          <w:p w14:paraId="5C127A19" w14:textId="4B844CF4" w:rsidR="009E61EB" w:rsidRPr="00851F89" w:rsidRDefault="00EF1289" w:rsidP="009E61EB">
            <w:pPr>
              <w:jc w:val="center"/>
              <w:rPr>
                <w:sz w:val="22"/>
                <w:szCs w:val="22"/>
              </w:rPr>
            </w:pPr>
            <w:r>
              <w:rPr>
                <w:sz w:val="22"/>
                <w:szCs w:val="22"/>
              </w:rPr>
              <w:t>821</w:t>
            </w:r>
          </w:p>
        </w:tc>
        <w:tc>
          <w:tcPr>
            <w:tcW w:w="851" w:type="dxa"/>
          </w:tcPr>
          <w:p w14:paraId="4BE2E7A0" w14:textId="1054A5B5" w:rsidR="009E61EB" w:rsidRDefault="009E61EB" w:rsidP="009E61EB">
            <w:pPr>
              <w:jc w:val="center"/>
              <w:rPr>
                <w:sz w:val="22"/>
                <w:szCs w:val="22"/>
              </w:rPr>
            </w:pPr>
            <w:r>
              <w:rPr>
                <w:sz w:val="22"/>
                <w:szCs w:val="22"/>
              </w:rPr>
              <w:t>540</w:t>
            </w:r>
          </w:p>
        </w:tc>
      </w:tr>
      <w:tr w:rsidR="009E61EB" w:rsidRPr="00851F89" w14:paraId="2E0C23BE" w14:textId="77777777" w:rsidTr="00BF3035">
        <w:trPr>
          <w:gridAfter w:val="1"/>
          <w:wAfter w:w="236" w:type="dxa"/>
          <w:trHeight w:val="255"/>
        </w:trPr>
        <w:tc>
          <w:tcPr>
            <w:tcW w:w="2972" w:type="dxa"/>
            <w:shd w:val="clear" w:color="auto" w:fill="auto"/>
            <w:noWrap/>
          </w:tcPr>
          <w:p w14:paraId="606908FB" w14:textId="77777777" w:rsidR="009E61EB" w:rsidRDefault="009E61EB" w:rsidP="009E61EB">
            <w:pPr>
              <w:rPr>
                <w:sz w:val="22"/>
                <w:szCs w:val="22"/>
              </w:rPr>
            </w:pPr>
          </w:p>
        </w:tc>
        <w:tc>
          <w:tcPr>
            <w:tcW w:w="3124" w:type="dxa"/>
            <w:shd w:val="clear" w:color="auto" w:fill="auto"/>
            <w:noWrap/>
          </w:tcPr>
          <w:p w14:paraId="388A694A" w14:textId="77777777" w:rsidR="009E61EB" w:rsidRPr="00851F89" w:rsidRDefault="009E61EB" w:rsidP="009E61EB">
            <w:pPr>
              <w:rPr>
                <w:sz w:val="22"/>
                <w:szCs w:val="22"/>
              </w:rPr>
            </w:pPr>
          </w:p>
        </w:tc>
        <w:tc>
          <w:tcPr>
            <w:tcW w:w="1842" w:type="dxa"/>
            <w:tcBorders>
              <w:bottom w:val="single" w:sz="4" w:space="0" w:color="auto"/>
            </w:tcBorders>
          </w:tcPr>
          <w:p w14:paraId="68E6B27F" w14:textId="77777777" w:rsidR="009E61EB" w:rsidRPr="00E429E0" w:rsidRDefault="009E61EB" w:rsidP="009E61EB">
            <w:pPr>
              <w:jc w:val="center"/>
              <w:rPr>
                <w:sz w:val="22"/>
                <w:szCs w:val="22"/>
              </w:rPr>
            </w:pPr>
          </w:p>
        </w:tc>
        <w:tc>
          <w:tcPr>
            <w:tcW w:w="851" w:type="dxa"/>
            <w:tcBorders>
              <w:bottom w:val="single" w:sz="4" w:space="0" w:color="auto"/>
            </w:tcBorders>
          </w:tcPr>
          <w:p w14:paraId="755A8E25" w14:textId="77777777" w:rsidR="009E61EB" w:rsidRPr="00E429E0" w:rsidRDefault="009E61EB" w:rsidP="009E61EB">
            <w:pPr>
              <w:jc w:val="center"/>
              <w:rPr>
                <w:sz w:val="22"/>
                <w:szCs w:val="22"/>
              </w:rPr>
            </w:pPr>
          </w:p>
        </w:tc>
      </w:tr>
      <w:tr w:rsidR="009E61EB" w:rsidRPr="00851F89" w14:paraId="4F9C84F1" w14:textId="77777777" w:rsidTr="00BF3035">
        <w:trPr>
          <w:gridAfter w:val="1"/>
          <w:wAfter w:w="236" w:type="dxa"/>
          <w:trHeight w:val="255"/>
        </w:trPr>
        <w:tc>
          <w:tcPr>
            <w:tcW w:w="2972" w:type="dxa"/>
            <w:shd w:val="clear" w:color="auto" w:fill="auto"/>
            <w:noWrap/>
          </w:tcPr>
          <w:p w14:paraId="22C40512" w14:textId="77777777" w:rsidR="009E61EB" w:rsidRDefault="009E61EB" w:rsidP="009E61EB">
            <w:pPr>
              <w:rPr>
                <w:sz w:val="22"/>
                <w:szCs w:val="22"/>
              </w:rPr>
            </w:pPr>
          </w:p>
        </w:tc>
        <w:tc>
          <w:tcPr>
            <w:tcW w:w="3124" w:type="dxa"/>
            <w:shd w:val="clear" w:color="auto" w:fill="auto"/>
            <w:noWrap/>
          </w:tcPr>
          <w:p w14:paraId="55033D3C" w14:textId="77777777" w:rsidR="009E61EB" w:rsidRPr="00851F89" w:rsidRDefault="009E61EB" w:rsidP="009E61EB">
            <w:pPr>
              <w:rPr>
                <w:sz w:val="22"/>
                <w:szCs w:val="22"/>
              </w:rPr>
            </w:pPr>
          </w:p>
        </w:tc>
        <w:tc>
          <w:tcPr>
            <w:tcW w:w="1842" w:type="dxa"/>
            <w:tcBorders>
              <w:top w:val="single" w:sz="4" w:space="0" w:color="auto"/>
              <w:bottom w:val="single" w:sz="4" w:space="0" w:color="auto"/>
            </w:tcBorders>
          </w:tcPr>
          <w:p w14:paraId="1C426F83" w14:textId="0EA29AC0" w:rsidR="009E61EB" w:rsidRPr="00E429E0" w:rsidRDefault="00EF1289" w:rsidP="009E61EB">
            <w:pPr>
              <w:jc w:val="center"/>
              <w:rPr>
                <w:sz w:val="22"/>
                <w:szCs w:val="22"/>
              </w:rPr>
            </w:pPr>
            <w:r>
              <w:rPr>
                <w:sz w:val="22"/>
                <w:szCs w:val="22"/>
              </w:rPr>
              <w:t>89</w:t>
            </w:r>
            <w:r w:rsidR="00F560B9">
              <w:rPr>
                <w:sz w:val="22"/>
                <w:szCs w:val="22"/>
              </w:rPr>
              <w:t>7</w:t>
            </w:r>
          </w:p>
        </w:tc>
        <w:tc>
          <w:tcPr>
            <w:tcW w:w="851" w:type="dxa"/>
            <w:tcBorders>
              <w:top w:val="single" w:sz="4" w:space="0" w:color="auto"/>
              <w:bottom w:val="single" w:sz="4" w:space="0" w:color="auto"/>
            </w:tcBorders>
          </w:tcPr>
          <w:p w14:paraId="3BBCA897" w14:textId="2DFC1FFA" w:rsidR="009E61EB" w:rsidRPr="00E429E0" w:rsidRDefault="00D9330A" w:rsidP="009E61EB">
            <w:pPr>
              <w:jc w:val="center"/>
              <w:rPr>
                <w:sz w:val="22"/>
                <w:szCs w:val="22"/>
              </w:rPr>
            </w:pPr>
            <w:r>
              <w:rPr>
                <w:sz w:val="22"/>
                <w:szCs w:val="22"/>
              </w:rPr>
              <w:t>954</w:t>
            </w:r>
          </w:p>
        </w:tc>
      </w:tr>
    </w:tbl>
    <w:p w14:paraId="42A4F475" w14:textId="77777777" w:rsidR="00E429E0" w:rsidRDefault="00E429E0" w:rsidP="00A314AB">
      <w:pPr>
        <w:pStyle w:val="ACTex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4D42FD5A" w14:textId="77777777" w:rsidR="00CF700F" w:rsidRDefault="00CF700F" w:rsidP="00CF700F">
      <w:pPr>
        <w:jc w:val="both"/>
        <w:rPr>
          <w:sz w:val="22"/>
          <w:szCs w:val="22"/>
        </w:rPr>
      </w:pPr>
      <w:r>
        <w:rPr>
          <w:sz w:val="22"/>
          <w:szCs w:val="22"/>
        </w:rPr>
        <w:t xml:space="preserve">Materials on site relates to items held but not yet installed into housing properties as part of the investment programme. </w:t>
      </w:r>
    </w:p>
    <w:p w14:paraId="1DFE3F29" w14:textId="77777777" w:rsidR="00E429E0" w:rsidRDefault="009274B3" w:rsidP="00CF700F">
      <w:pPr>
        <w:pStyle w:val="ACText"/>
        <w:rPr>
          <w:b/>
          <w:sz w:val="22"/>
          <w:szCs w:val="22"/>
        </w:rPr>
      </w:pPr>
      <w:r>
        <w:rPr>
          <w:sz w:val="22"/>
          <w:szCs w:val="22"/>
        </w:rPr>
        <w:t xml:space="preserve">Van </w:t>
      </w:r>
      <w:r w:rsidR="00F86B3F">
        <w:rPr>
          <w:sz w:val="22"/>
          <w:szCs w:val="22"/>
        </w:rPr>
        <w:t>s</w:t>
      </w:r>
      <w:r>
        <w:rPr>
          <w:sz w:val="22"/>
          <w:szCs w:val="22"/>
        </w:rPr>
        <w:t xml:space="preserve">tocks are repairs materials for use by the </w:t>
      </w:r>
      <w:r w:rsidR="00657046">
        <w:rPr>
          <w:sz w:val="22"/>
          <w:szCs w:val="22"/>
        </w:rPr>
        <w:t>i</w:t>
      </w:r>
      <w:r>
        <w:rPr>
          <w:sz w:val="22"/>
          <w:szCs w:val="22"/>
        </w:rPr>
        <w:t>n</w:t>
      </w:r>
      <w:r w:rsidR="00657046">
        <w:rPr>
          <w:sz w:val="22"/>
          <w:szCs w:val="22"/>
        </w:rPr>
        <w:t>-</w:t>
      </w:r>
      <w:r>
        <w:rPr>
          <w:sz w:val="22"/>
          <w:szCs w:val="22"/>
        </w:rPr>
        <w:t>house repairs service an</w:t>
      </w:r>
      <w:r w:rsidR="002D519E">
        <w:rPr>
          <w:sz w:val="22"/>
          <w:szCs w:val="22"/>
        </w:rPr>
        <w:t>d are held at average cost.</w:t>
      </w:r>
    </w:p>
    <w:p w14:paraId="3DC9DD17" w14:textId="77777777" w:rsidR="00E429E0" w:rsidRDefault="00E429E0" w:rsidP="00A314AB">
      <w:pPr>
        <w:pStyle w:val="ACText"/>
        <w:rPr>
          <w:b/>
          <w:sz w:val="22"/>
          <w:szCs w:val="22"/>
        </w:rPr>
      </w:pPr>
    </w:p>
    <w:p w14:paraId="5450D655" w14:textId="77777777" w:rsidR="00A0760E" w:rsidRDefault="00A0760E" w:rsidP="00A314AB">
      <w:pPr>
        <w:pStyle w:val="ACText"/>
        <w:rPr>
          <w:b/>
          <w:sz w:val="22"/>
          <w:szCs w:val="22"/>
        </w:rPr>
      </w:pPr>
    </w:p>
    <w:p w14:paraId="06AA7EED" w14:textId="77777777" w:rsidR="00D172A4" w:rsidRDefault="00D172A4" w:rsidP="00A314AB">
      <w:pPr>
        <w:pStyle w:val="ACText"/>
        <w:rPr>
          <w:b/>
          <w:sz w:val="22"/>
          <w:szCs w:val="22"/>
        </w:rPr>
      </w:pPr>
    </w:p>
    <w:p w14:paraId="3FB6CD75" w14:textId="77777777" w:rsidR="00D172A4" w:rsidRDefault="00D172A4" w:rsidP="00A314AB">
      <w:pPr>
        <w:pStyle w:val="ACText"/>
        <w:rPr>
          <w:b/>
          <w:sz w:val="22"/>
          <w:szCs w:val="22"/>
        </w:rPr>
      </w:pPr>
    </w:p>
    <w:p w14:paraId="4ED9DE3A" w14:textId="77777777" w:rsidR="00A0760E" w:rsidRDefault="00A0760E" w:rsidP="00A314AB">
      <w:pPr>
        <w:pStyle w:val="ACText"/>
        <w:rPr>
          <w:b/>
          <w:sz w:val="22"/>
          <w:szCs w:val="22"/>
        </w:rPr>
      </w:pPr>
    </w:p>
    <w:p w14:paraId="61921D49" w14:textId="527B9C9D" w:rsidR="00D172A4" w:rsidRPr="00141127" w:rsidRDefault="00D172A4" w:rsidP="00D172A4">
      <w:pPr>
        <w:pStyle w:val="BodyText"/>
        <w:jc w:val="both"/>
        <w:rPr>
          <w:b/>
          <w:bCs/>
          <w:sz w:val="22"/>
          <w:szCs w:val="22"/>
        </w:rPr>
      </w:pPr>
      <w:r w:rsidRPr="00141127">
        <w:rPr>
          <w:b/>
          <w:bCs/>
          <w:sz w:val="22"/>
          <w:szCs w:val="22"/>
        </w:rPr>
        <w:lastRenderedPageBreak/>
        <w:t>NOTES TO THE FINANCIAL STATEMENTS FOR THE YEAR ENDED 31 MARCH 202</w:t>
      </w:r>
      <w:r w:rsidR="00D9330A">
        <w:rPr>
          <w:b/>
          <w:bCs/>
          <w:sz w:val="22"/>
          <w:szCs w:val="22"/>
        </w:rPr>
        <w:t>4</w:t>
      </w:r>
      <w:r w:rsidRPr="00141127">
        <w:rPr>
          <w:b/>
          <w:bCs/>
          <w:sz w:val="22"/>
          <w:szCs w:val="22"/>
        </w:rPr>
        <w:t xml:space="preserve"> (continued)</w:t>
      </w:r>
    </w:p>
    <w:p w14:paraId="4ECD1ACC" w14:textId="77777777" w:rsidR="00CB2F7E" w:rsidRPr="00141127" w:rsidRDefault="00CB2F7E" w:rsidP="00D172A4">
      <w:pPr>
        <w:pStyle w:val="BodyText"/>
        <w:jc w:val="both"/>
        <w:rPr>
          <w:b/>
          <w:bCs/>
          <w:sz w:val="22"/>
          <w:szCs w:val="22"/>
        </w:rPr>
      </w:pPr>
    </w:p>
    <w:p w14:paraId="043382FE" w14:textId="644167E2" w:rsidR="00D30B37" w:rsidRPr="00223E50" w:rsidRDefault="00A13F81" w:rsidP="00A314AB">
      <w:pPr>
        <w:pStyle w:val="ACText"/>
        <w:rPr>
          <w:b/>
          <w:sz w:val="22"/>
          <w:szCs w:val="22"/>
        </w:rPr>
      </w:pPr>
      <w:r>
        <w:rPr>
          <w:b/>
          <w:sz w:val="22"/>
          <w:szCs w:val="22"/>
        </w:rPr>
        <w:t>1</w:t>
      </w:r>
      <w:r w:rsidR="00AF5224">
        <w:rPr>
          <w:b/>
          <w:sz w:val="22"/>
          <w:szCs w:val="22"/>
        </w:rPr>
        <w:t>8</w:t>
      </w:r>
      <w:r w:rsidR="00AA77F2" w:rsidRPr="00223E50">
        <w:rPr>
          <w:b/>
          <w:sz w:val="22"/>
          <w:szCs w:val="22"/>
        </w:rPr>
        <w:t>.</w:t>
      </w:r>
      <w:r w:rsidR="00AA77F2" w:rsidRPr="00223E50">
        <w:rPr>
          <w:b/>
          <w:sz w:val="22"/>
          <w:szCs w:val="22"/>
        </w:rPr>
        <w:tab/>
      </w:r>
      <w:r w:rsidR="00AD7122">
        <w:rPr>
          <w:b/>
          <w:sz w:val="22"/>
          <w:szCs w:val="22"/>
        </w:rPr>
        <w:t>Debtors</w:t>
      </w:r>
    </w:p>
    <w:tbl>
      <w:tblPr>
        <w:tblW w:w="8507" w:type="dxa"/>
        <w:tblInd w:w="93" w:type="dxa"/>
        <w:tblLook w:val="04A0" w:firstRow="1" w:lastRow="0" w:firstColumn="1" w:lastColumn="0" w:noHBand="0" w:noVBand="1"/>
      </w:tblPr>
      <w:tblGrid>
        <w:gridCol w:w="2118"/>
        <w:gridCol w:w="2779"/>
        <w:gridCol w:w="309"/>
        <w:gridCol w:w="1384"/>
        <w:gridCol w:w="309"/>
        <w:gridCol w:w="1608"/>
      </w:tblGrid>
      <w:tr w:rsidR="00A0760E" w:rsidRPr="00223E50" w14:paraId="2FA3D35E" w14:textId="77777777" w:rsidTr="005312E4">
        <w:trPr>
          <w:trHeight w:val="329"/>
        </w:trPr>
        <w:tc>
          <w:tcPr>
            <w:tcW w:w="2118" w:type="dxa"/>
            <w:shd w:val="clear" w:color="auto" w:fill="auto"/>
            <w:noWrap/>
            <w:vAlign w:val="bottom"/>
          </w:tcPr>
          <w:p w14:paraId="78579410" w14:textId="77777777" w:rsidR="00A0760E" w:rsidRPr="00223E50" w:rsidRDefault="00A0760E">
            <w:pPr>
              <w:rPr>
                <w:sz w:val="22"/>
                <w:szCs w:val="22"/>
              </w:rPr>
            </w:pPr>
          </w:p>
        </w:tc>
        <w:tc>
          <w:tcPr>
            <w:tcW w:w="2779" w:type="dxa"/>
            <w:shd w:val="clear" w:color="auto" w:fill="auto"/>
            <w:noWrap/>
            <w:vAlign w:val="bottom"/>
          </w:tcPr>
          <w:p w14:paraId="52D811E3" w14:textId="77777777" w:rsidR="00A0760E" w:rsidRPr="00223E50" w:rsidRDefault="00A0760E">
            <w:pPr>
              <w:rPr>
                <w:sz w:val="22"/>
                <w:szCs w:val="22"/>
              </w:rPr>
            </w:pPr>
          </w:p>
        </w:tc>
        <w:tc>
          <w:tcPr>
            <w:tcW w:w="309" w:type="dxa"/>
            <w:vAlign w:val="center"/>
          </w:tcPr>
          <w:p w14:paraId="0B33A35A" w14:textId="77777777" w:rsidR="00A0760E" w:rsidRPr="00223E50" w:rsidRDefault="00A0760E" w:rsidP="000F34EB">
            <w:pPr>
              <w:jc w:val="right"/>
              <w:rPr>
                <w:b/>
                <w:sz w:val="22"/>
                <w:szCs w:val="22"/>
              </w:rPr>
            </w:pPr>
          </w:p>
        </w:tc>
        <w:tc>
          <w:tcPr>
            <w:tcW w:w="1384" w:type="dxa"/>
            <w:vAlign w:val="center"/>
          </w:tcPr>
          <w:p w14:paraId="570E7A5A" w14:textId="47771831" w:rsidR="00A0760E" w:rsidRPr="00223E50" w:rsidRDefault="00A0760E" w:rsidP="004314D3">
            <w:pPr>
              <w:jc w:val="right"/>
              <w:rPr>
                <w:b/>
                <w:sz w:val="22"/>
                <w:szCs w:val="22"/>
              </w:rPr>
            </w:pPr>
            <w:r>
              <w:rPr>
                <w:b/>
                <w:sz w:val="22"/>
                <w:szCs w:val="22"/>
              </w:rPr>
              <w:t>202</w:t>
            </w:r>
            <w:r w:rsidR="00D9330A">
              <w:rPr>
                <w:b/>
                <w:sz w:val="22"/>
                <w:szCs w:val="22"/>
              </w:rPr>
              <w:t>4</w:t>
            </w:r>
          </w:p>
        </w:tc>
        <w:tc>
          <w:tcPr>
            <w:tcW w:w="309" w:type="dxa"/>
            <w:vAlign w:val="center"/>
          </w:tcPr>
          <w:p w14:paraId="6178B38C" w14:textId="77777777" w:rsidR="00A0760E" w:rsidRPr="00223E50" w:rsidRDefault="00A0760E" w:rsidP="000F34EB">
            <w:pPr>
              <w:jc w:val="right"/>
              <w:rPr>
                <w:b/>
                <w:sz w:val="22"/>
                <w:szCs w:val="22"/>
              </w:rPr>
            </w:pPr>
          </w:p>
        </w:tc>
        <w:tc>
          <w:tcPr>
            <w:tcW w:w="1608" w:type="dxa"/>
            <w:vAlign w:val="center"/>
          </w:tcPr>
          <w:p w14:paraId="6E8CEE6E" w14:textId="63AFF697" w:rsidR="00A0760E" w:rsidRPr="00223E50" w:rsidRDefault="00A0760E" w:rsidP="004314D3">
            <w:pPr>
              <w:jc w:val="right"/>
              <w:rPr>
                <w:b/>
                <w:sz w:val="22"/>
                <w:szCs w:val="22"/>
              </w:rPr>
            </w:pPr>
            <w:r>
              <w:rPr>
                <w:b/>
                <w:sz w:val="22"/>
                <w:szCs w:val="22"/>
              </w:rPr>
              <w:t>202</w:t>
            </w:r>
            <w:r w:rsidR="00D9330A">
              <w:rPr>
                <w:b/>
                <w:sz w:val="22"/>
                <w:szCs w:val="22"/>
              </w:rPr>
              <w:t>3</w:t>
            </w:r>
          </w:p>
        </w:tc>
      </w:tr>
      <w:tr w:rsidR="00A0760E" w:rsidRPr="00223E50" w14:paraId="653F9689" w14:textId="77777777" w:rsidTr="005312E4">
        <w:trPr>
          <w:trHeight w:val="329"/>
        </w:trPr>
        <w:tc>
          <w:tcPr>
            <w:tcW w:w="2118" w:type="dxa"/>
            <w:shd w:val="clear" w:color="auto" w:fill="auto"/>
            <w:noWrap/>
            <w:vAlign w:val="bottom"/>
            <w:hideMark/>
          </w:tcPr>
          <w:p w14:paraId="3AF09C15" w14:textId="77777777" w:rsidR="00A0760E" w:rsidRPr="00223E50" w:rsidRDefault="00A0760E">
            <w:pPr>
              <w:rPr>
                <w:sz w:val="22"/>
                <w:szCs w:val="22"/>
              </w:rPr>
            </w:pPr>
          </w:p>
        </w:tc>
        <w:tc>
          <w:tcPr>
            <w:tcW w:w="2779" w:type="dxa"/>
            <w:shd w:val="clear" w:color="auto" w:fill="auto"/>
            <w:noWrap/>
            <w:vAlign w:val="bottom"/>
            <w:hideMark/>
          </w:tcPr>
          <w:p w14:paraId="3BA0B0CA" w14:textId="77777777" w:rsidR="00A0760E" w:rsidRPr="00223E50" w:rsidRDefault="00A0760E">
            <w:pPr>
              <w:rPr>
                <w:sz w:val="22"/>
                <w:szCs w:val="22"/>
              </w:rPr>
            </w:pPr>
          </w:p>
        </w:tc>
        <w:tc>
          <w:tcPr>
            <w:tcW w:w="309" w:type="dxa"/>
            <w:vAlign w:val="center"/>
          </w:tcPr>
          <w:p w14:paraId="35194EDE" w14:textId="77777777" w:rsidR="00A0760E" w:rsidRPr="00223E50" w:rsidRDefault="00A0760E" w:rsidP="000F34EB">
            <w:pPr>
              <w:jc w:val="right"/>
              <w:rPr>
                <w:b/>
                <w:sz w:val="22"/>
                <w:szCs w:val="22"/>
              </w:rPr>
            </w:pPr>
          </w:p>
        </w:tc>
        <w:tc>
          <w:tcPr>
            <w:tcW w:w="1384" w:type="dxa"/>
            <w:vAlign w:val="center"/>
          </w:tcPr>
          <w:p w14:paraId="26F36175" w14:textId="77777777" w:rsidR="00A0760E" w:rsidRPr="00223E50" w:rsidRDefault="00A0760E" w:rsidP="000F34EB">
            <w:pPr>
              <w:jc w:val="right"/>
              <w:rPr>
                <w:b/>
                <w:bCs/>
                <w:sz w:val="22"/>
                <w:szCs w:val="22"/>
              </w:rPr>
            </w:pPr>
            <w:r w:rsidRPr="00223E50">
              <w:rPr>
                <w:b/>
                <w:sz w:val="22"/>
                <w:szCs w:val="22"/>
              </w:rPr>
              <w:t>£’000</w:t>
            </w:r>
          </w:p>
        </w:tc>
        <w:tc>
          <w:tcPr>
            <w:tcW w:w="309" w:type="dxa"/>
            <w:vAlign w:val="center"/>
          </w:tcPr>
          <w:p w14:paraId="61EE91EE" w14:textId="77777777" w:rsidR="00A0760E" w:rsidRPr="00223E50" w:rsidRDefault="00A0760E" w:rsidP="000F34EB">
            <w:pPr>
              <w:jc w:val="right"/>
              <w:rPr>
                <w:b/>
                <w:sz w:val="22"/>
                <w:szCs w:val="22"/>
              </w:rPr>
            </w:pPr>
          </w:p>
        </w:tc>
        <w:tc>
          <w:tcPr>
            <w:tcW w:w="1608" w:type="dxa"/>
            <w:vAlign w:val="center"/>
          </w:tcPr>
          <w:p w14:paraId="18613BCB" w14:textId="77777777" w:rsidR="00A0760E" w:rsidRPr="00223E50" w:rsidRDefault="00A0760E" w:rsidP="000F34EB">
            <w:pPr>
              <w:jc w:val="right"/>
              <w:rPr>
                <w:b/>
                <w:bCs/>
                <w:sz w:val="22"/>
                <w:szCs w:val="22"/>
              </w:rPr>
            </w:pPr>
            <w:r w:rsidRPr="00223E50">
              <w:rPr>
                <w:b/>
                <w:sz w:val="22"/>
                <w:szCs w:val="22"/>
              </w:rPr>
              <w:t>£’000</w:t>
            </w:r>
          </w:p>
        </w:tc>
      </w:tr>
      <w:tr w:rsidR="005312E4" w:rsidRPr="00223E50" w14:paraId="6265977B" w14:textId="77777777" w:rsidTr="001B5121">
        <w:trPr>
          <w:trHeight w:val="329"/>
        </w:trPr>
        <w:tc>
          <w:tcPr>
            <w:tcW w:w="4897" w:type="dxa"/>
            <w:gridSpan w:val="2"/>
            <w:shd w:val="clear" w:color="auto" w:fill="auto"/>
            <w:noWrap/>
            <w:vAlign w:val="bottom"/>
            <w:hideMark/>
          </w:tcPr>
          <w:p w14:paraId="537F0406" w14:textId="77777777" w:rsidR="005312E4" w:rsidRPr="00223E50" w:rsidRDefault="005312E4" w:rsidP="005312E4">
            <w:pPr>
              <w:rPr>
                <w:sz w:val="22"/>
                <w:szCs w:val="22"/>
              </w:rPr>
            </w:pPr>
            <w:r w:rsidRPr="00223E50">
              <w:rPr>
                <w:sz w:val="22"/>
                <w:szCs w:val="22"/>
              </w:rPr>
              <w:t>Arrears of rent &amp; service charges</w:t>
            </w:r>
          </w:p>
        </w:tc>
        <w:tc>
          <w:tcPr>
            <w:tcW w:w="309" w:type="dxa"/>
            <w:vAlign w:val="center"/>
          </w:tcPr>
          <w:p w14:paraId="4DB97E63" w14:textId="77777777" w:rsidR="005312E4" w:rsidRPr="00223E50" w:rsidRDefault="005312E4" w:rsidP="005312E4">
            <w:pPr>
              <w:jc w:val="right"/>
              <w:rPr>
                <w:sz w:val="22"/>
                <w:szCs w:val="22"/>
              </w:rPr>
            </w:pPr>
          </w:p>
        </w:tc>
        <w:tc>
          <w:tcPr>
            <w:tcW w:w="1384" w:type="dxa"/>
            <w:vAlign w:val="center"/>
          </w:tcPr>
          <w:p w14:paraId="60328D08" w14:textId="335621CC" w:rsidR="005312E4" w:rsidRPr="001725C8" w:rsidRDefault="00A32B00" w:rsidP="005312E4">
            <w:pPr>
              <w:jc w:val="right"/>
              <w:rPr>
                <w:sz w:val="22"/>
                <w:szCs w:val="22"/>
              </w:rPr>
            </w:pPr>
            <w:r>
              <w:rPr>
                <w:sz w:val="22"/>
                <w:szCs w:val="22"/>
              </w:rPr>
              <w:t>3,1</w:t>
            </w:r>
            <w:r w:rsidR="00D04898">
              <w:rPr>
                <w:sz w:val="22"/>
                <w:szCs w:val="22"/>
              </w:rPr>
              <w:t>16</w:t>
            </w:r>
          </w:p>
        </w:tc>
        <w:tc>
          <w:tcPr>
            <w:tcW w:w="309" w:type="dxa"/>
            <w:vAlign w:val="center"/>
          </w:tcPr>
          <w:p w14:paraId="0E59496C" w14:textId="77777777" w:rsidR="005312E4" w:rsidRPr="00223E50" w:rsidRDefault="005312E4" w:rsidP="005312E4">
            <w:pPr>
              <w:jc w:val="right"/>
              <w:rPr>
                <w:sz w:val="22"/>
                <w:szCs w:val="22"/>
              </w:rPr>
            </w:pPr>
          </w:p>
        </w:tc>
        <w:tc>
          <w:tcPr>
            <w:tcW w:w="1608" w:type="dxa"/>
            <w:vAlign w:val="center"/>
          </w:tcPr>
          <w:p w14:paraId="12625BBA" w14:textId="29349BD7" w:rsidR="005312E4" w:rsidRPr="00223E50" w:rsidRDefault="005312E4" w:rsidP="005312E4">
            <w:pPr>
              <w:jc w:val="right"/>
              <w:rPr>
                <w:sz w:val="22"/>
                <w:szCs w:val="22"/>
              </w:rPr>
            </w:pPr>
            <w:r>
              <w:rPr>
                <w:sz w:val="22"/>
                <w:szCs w:val="22"/>
              </w:rPr>
              <w:t>3,022</w:t>
            </w:r>
          </w:p>
        </w:tc>
      </w:tr>
      <w:tr w:rsidR="005312E4" w:rsidRPr="00223E50" w14:paraId="0AABA43E" w14:textId="77777777" w:rsidTr="001B5121">
        <w:trPr>
          <w:trHeight w:val="329"/>
        </w:trPr>
        <w:tc>
          <w:tcPr>
            <w:tcW w:w="4897" w:type="dxa"/>
            <w:gridSpan w:val="2"/>
            <w:shd w:val="clear" w:color="auto" w:fill="auto"/>
            <w:noWrap/>
            <w:vAlign w:val="bottom"/>
            <w:hideMark/>
          </w:tcPr>
          <w:p w14:paraId="6E712A43" w14:textId="77777777" w:rsidR="005312E4" w:rsidRPr="00223E50" w:rsidRDefault="005312E4" w:rsidP="005312E4">
            <w:pPr>
              <w:rPr>
                <w:sz w:val="22"/>
                <w:szCs w:val="22"/>
              </w:rPr>
            </w:pPr>
            <w:r w:rsidRPr="00223E50">
              <w:rPr>
                <w:sz w:val="22"/>
                <w:szCs w:val="22"/>
              </w:rPr>
              <w:t>Less: Provision for bad and doubtful debts</w:t>
            </w:r>
          </w:p>
        </w:tc>
        <w:tc>
          <w:tcPr>
            <w:tcW w:w="309" w:type="dxa"/>
            <w:vAlign w:val="center"/>
          </w:tcPr>
          <w:p w14:paraId="6848F074" w14:textId="77777777" w:rsidR="005312E4" w:rsidRPr="00223E50" w:rsidRDefault="005312E4" w:rsidP="005312E4">
            <w:pPr>
              <w:jc w:val="right"/>
              <w:rPr>
                <w:sz w:val="22"/>
                <w:szCs w:val="22"/>
              </w:rPr>
            </w:pPr>
          </w:p>
        </w:tc>
        <w:tc>
          <w:tcPr>
            <w:tcW w:w="1384" w:type="dxa"/>
            <w:tcBorders>
              <w:bottom w:val="single" w:sz="4" w:space="0" w:color="auto"/>
            </w:tcBorders>
            <w:vAlign w:val="center"/>
          </w:tcPr>
          <w:p w14:paraId="513D8561" w14:textId="5572E57C" w:rsidR="005312E4" w:rsidRPr="001725C8" w:rsidRDefault="00A32B00" w:rsidP="005312E4">
            <w:pPr>
              <w:jc w:val="right"/>
              <w:rPr>
                <w:sz w:val="22"/>
                <w:szCs w:val="22"/>
              </w:rPr>
            </w:pPr>
            <w:r>
              <w:rPr>
                <w:sz w:val="22"/>
                <w:szCs w:val="22"/>
              </w:rPr>
              <w:t>(1,</w:t>
            </w:r>
            <w:r w:rsidR="005D06CD">
              <w:rPr>
                <w:sz w:val="22"/>
                <w:szCs w:val="22"/>
              </w:rPr>
              <w:t>285</w:t>
            </w:r>
            <w:r>
              <w:rPr>
                <w:sz w:val="22"/>
                <w:szCs w:val="22"/>
              </w:rPr>
              <w:t>)</w:t>
            </w:r>
          </w:p>
        </w:tc>
        <w:tc>
          <w:tcPr>
            <w:tcW w:w="309" w:type="dxa"/>
            <w:vAlign w:val="center"/>
          </w:tcPr>
          <w:p w14:paraId="4032C204" w14:textId="77777777" w:rsidR="005312E4" w:rsidRPr="00223E50" w:rsidRDefault="005312E4" w:rsidP="005312E4">
            <w:pPr>
              <w:jc w:val="right"/>
              <w:rPr>
                <w:sz w:val="22"/>
                <w:szCs w:val="22"/>
              </w:rPr>
            </w:pPr>
          </w:p>
        </w:tc>
        <w:tc>
          <w:tcPr>
            <w:tcW w:w="1608" w:type="dxa"/>
            <w:tcBorders>
              <w:bottom w:val="single" w:sz="4" w:space="0" w:color="auto"/>
            </w:tcBorders>
            <w:vAlign w:val="center"/>
          </w:tcPr>
          <w:p w14:paraId="7649DCE1" w14:textId="7C88E6FC" w:rsidR="005312E4" w:rsidRPr="00223E50" w:rsidRDefault="005312E4" w:rsidP="005312E4">
            <w:pPr>
              <w:jc w:val="right"/>
              <w:rPr>
                <w:sz w:val="22"/>
                <w:szCs w:val="22"/>
              </w:rPr>
            </w:pPr>
            <w:r>
              <w:rPr>
                <w:sz w:val="22"/>
                <w:szCs w:val="22"/>
              </w:rPr>
              <w:t>(930)</w:t>
            </w:r>
          </w:p>
        </w:tc>
      </w:tr>
      <w:tr w:rsidR="005312E4" w:rsidRPr="00476884" w14:paraId="1E8D95C6" w14:textId="77777777" w:rsidTr="005312E4">
        <w:trPr>
          <w:trHeight w:val="329"/>
        </w:trPr>
        <w:tc>
          <w:tcPr>
            <w:tcW w:w="2118" w:type="dxa"/>
            <w:shd w:val="clear" w:color="auto" w:fill="auto"/>
            <w:noWrap/>
            <w:vAlign w:val="bottom"/>
            <w:hideMark/>
          </w:tcPr>
          <w:p w14:paraId="75C8A5C7" w14:textId="77777777" w:rsidR="005312E4" w:rsidRPr="00223E50" w:rsidRDefault="005312E4" w:rsidP="005312E4">
            <w:pPr>
              <w:rPr>
                <w:sz w:val="22"/>
                <w:szCs w:val="22"/>
              </w:rPr>
            </w:pPr>
          </w:p>
        </w:tc>
        <w:tc>
          <w:tcPr>
            <w:tcW w:w="2779" w:type="dxa"/>
            <w:shd w:val="clear" w:color="auto" w:fill="auto"/>
            <w:noWrap/>
            <w:vAlign w:val="bottom"/>
            <w:hideMark/>
          </w:tcPr>
          <w:p w14:paraId="2D8CB988" w14:textId="77777777" w:rsidR="005312E4" w:rsidRPr="00223E50" w:rsidRDefault="005312E4" w:rsidP="005312E4">
            <w:pPr>
              <w:rPr>
                <w:sz w:val="22"/>
                <w:szCs w:val="22"/>
              </w:rPr>
            </w:pPr>
          </w:p>
        </w:tc>
        <w:tc>
          <w:tcPr>
            <w:tcW w:w="309" w:type="dxa"/>
            <w:vAlign w:val="center"/>
          </w:tcPr>
          <w:p w14:paraId="1F50BEB6" w14:textId="77777777" w:rsidR="005312E4" w:rsidRPr="00476884" w:rsidRDefault="005312E4" w:rsidP="005312E4">
            <w:pPr>
              <w:jc w:val="right"/>
              <w:rPr>
                <w:sz w:val="22"/>
                <w:szCs w:val="22"/>
              </w:rPr>
            </w:pPr>
          </w:p>
        </w:tc>
        <w:tc>
          <w:tcPr>
            <w:tcW w:w="1384" w:type="dxa"/>
            <w:tcBorders>
              <w:top w:val="single" w:sz="4" w:space="0" w:color="auto"/>
            </w:tcBorders>
            <w:vAlign w:val="center"/>
          </w:tcPr>
          <w:p w14:paraId="77B121C2" w14:textId="066C8F4F" w:rsidR="005312E4" w:rsidRPr="001725C8" w:rsidRDefault="00A32B00" w:rsidP="005312E4">
            <w:pPr>
              <w:jc w:val="right"/>
              <w:rPr>
                <w:sz w:val="22"/>
                <w:szCs w:val="22"/>
              </w:rPr>
            </w:pPr>
            <w:r>
              <w:rPr>
                <w:sz w:val="22"/>
                <w:szCs w:val="22"/>
              </w:rPr>
              <w:t>1,</w:t>
            </w:r>
            <w:r w:rsidR="00292C72">
              <w:rPr>
                <w:sz w:val="22"/>
                <w:szCs w:val="22"/>
              </w:rPr>
              <w:t>831</w:t>
            </w:r>
          </w:p>
        </w:tc>
        <w:tc>
          <w:tcPr>
            <w:tcW w:w="309" w:type="dxa"/>
            <w:vAlign w:val="center"/>
          </w:tcPr>
          <w:p w14:paraId="616900EB" w14:textId="2EABCB97" w:rsidR="005312E4" w:rsidRPr="00476884" w:rsidRDefault="005312E4" w:rsidP="005312E4">
            <w:pPr>
              <w:jc w:val="right"/>
              <w:rPr>
                <w:sz w:val="22"/>
                <w:szCs w:val="22"/>
              </w:rPr>
            </w:pPr>
          </w:p>
        </w:tc>
        <w:tc>
          <w:tcPr>
            <w:tcW w:w="1608" w:type="dxa"/>
            <w:tcBorders>
              <w:top w:val="single" w:sz="4" w:space="0" w:color="auto"/>
            </w:tcBorders>
            <w:vAlign w:val="center"/>
          </w:tcPr>
          <w:p w14:paraId="14551183" w14:textId="1A590DCC" w:rsidR="005312E4" w:rsidRPr="00476884" w:rsidRDefault="005312E4" w:rsidP="005312E4">
            <w:pPr>
              <w:jc w:val="right"/>
              <w:rPr>
                <w:sz w:val="22"/>
                <w:szCs w:val="22"/>
              </w:rPr>
            </w:pPr>
            <w:r>
              <w:rPr>
                <w:sz w:val="22"/>
                <w:szCs w:val="22"/>
              </w:rPr>
              <w:t>2,092</w:t>
            </w:r>
          </w:p>
        </w:tc>
      </w:tr>
      <w:tr w:rsidR="005312E4" w:rsidRPr="00476884" w14:paraId="2A2142EB" w14:textId="77777777" w:rsidTr="001B5121">
        <w:trPr>
          <w:trHeight w:val="329"/>
        </w:trPr>
        <w:tc>
          <w:tcPr>
            <w:tcW w:w="4897" w:type="dxa"/>
            <w:gridSpan w:val="2"/>
            <w:shd w:val="clear" w:color="auto" w:fill="auto"/>
            <w:noWrap/>
            <w:vAlign w:val="bottom"/>
          </w:tcPr>
          <w:p w14:paraId="38B795D6" w14:textId="77777777" w:rsidR="005312E4" w:rsidRPr="00476884" w:rsidRDefault="005312E4" w:rsidP="005312E4">
            <w:pPr>
              <w:rPr>
                <w:sz w:val="22"/>
                <w:szCs w:val="22"/>
              </w:rPr>
            </w:pPr>
          </w:p>
        </w:tc>
        <w:tc>
          <w:tcPr>
            <w:tcW w:w="309" w:type="dxa"/>
            <w:vAlign w:val="center"/>
          </w:tcPr>
          <w:p w14:paraId="2B817702" w14:textId="77777777" w:rsidR="005312E4" w:rsidRPr="00476884" w:rsidRDefault="005312E4" w:rsidP="005312E4">
            <w:pPr>
              <w:jc w:val="right"/>
              <w:rPr>
                <w:sz w:val="22"/>
                <w:szCs w:val="22"/>
              </w:rPr>
            </w:pPr>
          </w:p>
        </w:tc>
        <w:tc>
          <w:tcPr>
            <w:tcW w:w="1384" w:type="dxa"/>
            <w:vAlign w:val="center"/>
          </w:tcPr>
          <w:p w14:paraId="20BF5E6C" w14:textId="77777777" w:rsidR="005312E4" w:rsidRPr="001725C8" w:rsidRDefault="005312E4" w:rsidP="005312E4">
            <w:pPr>
              <w:jc w:val="right"/>
              <w:rPr>
                <w:sz w:val="22"/>
                <w:szCs w:val="22"/>
              </w:rPr>
            </w:pPr>
          </w:p>
        </w:tc>
        <w:tc>
          <w:tcPr>
            <w:tcW w:w="309" w:type="dxa"/>
            <w:vAlign w:val="center"/>
          </w:tcPr>
          <w:p w14:paraId="68960EC7" w14:textId="77777777" w:rsidR="005312E4" w:rsidRPr="00476884" w:rsidRDefault="005312E4" w:rsidP="005312E4">
            <w:pPr>
              <w:jc w:val="right"/>
              <w:rPr>
                <w:sz w:val="22"/>
                <w:szCs w:val="22"/>
              </w:rPr>
            </w:pPr>
          </w:p>
        </w:tc>
        <w:tc>
          <w:tcPr>
            <w:tcW w:w="1608" w:type="dxa"/>
            <w:vAlign w:val="center"/>
          </w:tcPr>
          <w:p w14:paraId="5FC1D550" w14:textId="77777777" w:rsidR="005312E4" w:rsidRPr="00476884" w:rsidRDefault="005312E4" w:rsidP="005312E4">
            <w:pPr>
              <w:jc w:val="right"/>
              <w:rPr>
                <w:sz w:val="22"/>
                <w:szCs w:val="22"/>
              </w:rPr>
            </w:pPr>
          </w:p>
        </w:tc>
      </w:tr>
      <w:tr w:rsidR="005312E4" w:rsidRPr="00F4705F" w14:paraId="0A97EAA8" w14:textId="77777777" w:rsidTr="001B5121">
        <w:trPr>
          <w:trHeight w:val="329"/>
        </w:trPr>
        <w:tc>
          <w:tcPr>
            <w:tcW w:w="4897" w:type="dxa"/>
            <w:gridSpan w:val="2"/>
            <w:shd w:val="clear" w:color="auto" w:fill="auto"/>
            <w:noWrap/>
            <w:vAlign w:val="bottom"/>
          </w:tcPr>
          <w:p w14:paraId="5910F794" w14:textId="77777777" w:rsidR="005312E4" w:rsidRPr="00F4705F" w:rsidRDefault="005312E4" w:rsidP="005312E4">
            <w:pPr>
              <w:rPr>
                <w:sz w:val="22"/>
                <w:szCs w:val="22"/>
              </w:rPr>
            </w:pPr>
            <w:r w:rsidRPr="00F4705F">
              <w:rPr>
                <w:sz w:val="22"/>
                <w:szCs w:val="22"/>
              </w:rPr>
              <w:t>Prepayments and accrued income</w:t>
            </w:r>
          </w:p>
        </w:tc>
        <w:tc>
          <w:tcPr>
            <w:tcW w:w="309" w:type="dxa"/>
            <w:vAlign w:val="center"/>
          </w:tcPr>
          <w:p w14:paraId="7BE7A4F9" w14:textId="77777777" w:rsidR="005312E4" w:rsidRPr="00F4705F" w:rsidRDefault="005312E4" w:rsidP="005312E4">
            <w:pPr>
              <w:jc w:val="right"/>
              <w:rPr>
                <w:sz w:val="22"/>
                <w:szCs w:val="22"/>
              </w:rPr>
            </w:pPr>
          </w:p>
        </w:tc>
        <w:tc>
          <w:tcPr>
            <w:tcW w:w="1384" w:type="dxa"/>
            <w:vAlign w:val="center"/>
          </w:tcPr>
          <w:p w14:paraId="00B0EE67" w14:textId="5EB26D62" w:rsidR="005312E4" w:rsidRPr="00F4705F" w:rsidRDefault="00A32B00" w:rsidP="005312E4">
            <w:pPr>
              <w:jc w:val="right"/>
              <w:rPr>
                <w:sz w:val="22"/>
                <w:szCs w:val="22"/>
              </w:rPr>
            </w:pPr>
            <w:r w:rsidRPr="00F4705F">
              <w:rPr>
                <w:sz w:val="22"/>
                <w:szCs w:val="22"/>
              </w:rPr>
              <w:t>2,</w:t>
            </w:r>
            <w:r w:rsidR="00527845" w:rsidRPr="00F4705F">
              <w:rPr>
                <w:sz w:val="22"/>
                <w:szCs w:val="22"/>
              </w:rPr>
              <w:t>13</w:t>
            </w:r>
            <w:r w:rsidR="00CA44D1" w:rsidRPr="00F4705F">
              <w:rPr>
                <w:sz w:val="22"/>
                <w:szCs w:val="22"/>
              </w:rPr>
              <w:t>9</w:t>
            </w:r>
          </w:p>
        </w:tc>
        <w:tc>
          <w:tcPr>
            <w:tcW w:w="309" w:type="dxa"/>
            <w:vAlign w:val="center"/>
          </w:tcPr>
          <w:p w14:paraId="1EB6A855" w14:textId="77777777" w:rsidR="005312E4" w:rsidRPr="00F4705F" w:rsidRDefault="005312E4" w:rsidP="005312E4">
            <w:pPr>
              <w:jc w:val="right"/>
              <w:rPr>
                <w:sz w:val="22"/>
                <w:szCs w:val="22"/>
              </w:rPr>
            </w:pPr>
          </w:p>
        </w:tc>
        <w:tc>
          <w:tcPr>
            <w:tcW w:w="1608" w:type="dxa"/>
            <w:vAlign w:val="center"/>
          </w:tcPr>
          <w:p w14:paraId="60648039" w14:textId="1721532F" w:rsidR="005312E4" w:rsidRPr="00F4705F" w:rsidRDefault="005312E4" w:rsidP="005312E4">
            <w:pPr>
              <w:jc w:val="right"/>
              <w:rPr>
                <w:sz w:val="22"/>
                <w:szCs w:val="22"/>
              </w:rPr>
            </w:pPr>
            <w:r w:rsidRPr="00F4705F">
              <w:rPr>
                <w:sz w:val="22"/>
                <w:szCs w:val="22"/>
              </w:rPr>
              <w:t>3,360</w:t>
            </w:r>
          </w:p>
        </w:tc>
      </w:tr>
      <w:tr w:rsidR="005312E4" w:rsidRPr="00F4705F" w14:paraId="4F530EB7" w14:textId="77777777" w:rsidTr="001B5121">
        <w:trPr>
          <w:trHeight w:val="329"/>
        </w:trPr>
        <w:tc>
          <w:tcPr>
            <w:tcW w:w="4897" w:type="dxa"/>
            <w:gridSpan w:val="2"/>
            <w:shd w:val="clear" w:color="auto" w:fill="auto"/>
            <w:noWrap/>
            <w:vAlign w:val="bottom"/>
            <w:hideMark/>
          </w:tcPr>
          <w:p w14:paraId="0111E608" w14:textId="77777777" w:rsidR="005312E4" w:rsidRPr="00F4705F" w:rsidRDefault="005312E4" w:rsidP="005312E4">
            <w:pPr>
              <w:rPr>
                <w:sz w:val="22"/>
                <w:szCs w:val="22"/>
              </w:rPr>
            </w:pPr>
            <w:r w:rsidRPr="00F4705F">
              <w:rPr>
                <w:sz w:val="22"/>
                <w:szCs w:val="22"/>
              </w:rPr>
              <w:t>Other debtors</w:t>
            </w:r>
          </w:p>
        </w:tc>
        <w:tc>
          <w:tcPr>
            <w:tcW w:w="309" w:type="dxa"/>
            <w:vAlign w:val="center"/>
          </w:tcPr>
          <w:p w14:paraId="2C914F53" w14:textId="77777777" w:rsidR="005312E4" w:rsidRPr="00F4705F" w:rsidRDefault="005312E4" w:rsidP="005312E4">
            <w:pPr>
              <w:jc w:val="right"/>
              <w:rPr>
                <w:sz w:val="22"/>
                <w:szCs w:val="22"/>
              </w:rPr>
            </w:pPr>
          </w:p>
        </w:tc>
        <w:tc>
          <w:tcPr>
            <w:tcW w:w="1384" w:type="dxa"/>
            <w:vAlign w:val="center"/>
          </w:tcPr>
          <w:p w14:paraId="5D9CE623" w14:textId="522A9FDD" w:rsidR="005312E4" w:rsidRPr="00F4705F" w:rsidRDefault="002474C4" w:rsidP="005312E4">
            <w:pPr>
              <w:jc w:val="right"/>
              <w:rPr>
                <w:sz w:val="22"/>
                <w:szCs w:val="22"/>
              </w:rPr>
            </w:pPr>
            <w:r w:rsidRPr="00F4705F">
              <w:rPr>
                <w:sz w:val="22"/>
                <w:szCs w:val="22"/>
              </w:rPr>
              <w:t>3,</w:t>
            </w:r>
            <w:r w:rsidR="00527845" w:rsidRPr="00F4705F">
              <w:rPr>
                <w:sz w:val="22"/>
                <w:szCs w:val="22"/>
              </w:rPr>
              <w:t>84</w:t>
            </w:r>
            <w:r w:rsidR="004D6675" w:rsidRPr="00F4705F">
              <w:rPr>
                <w:sz w:val="22"/>
                <w:szCs w:val="22"/>
              </w:rPr>
              <w:t>7</w:t>
            </w:r>
          </w:p>
        </w:tc>
        <w:tc>
          <w:tcPr>
            <w:tcW w:w="309" w:type="dxa"/>
            <w:vAlign w:val="center"/>
          </w:tcPr>
          <w:p w14:paraId="6735B563" w14:textId="77777777" w:rsidR="005312E4" w:rsidRPr="00F4705F" w:rsidRDefault="005312E4" w:rsidP="005312E4">
            <w:pPr>
              <w:jc w:val="right"/>
              <w:rPr>
                <w:sz w:val="22"/>
                <w:szCs w:val="22"/>
              </w:rPr>
            </w:pPr>
          </w:p>
        </w:tc>
        <w:tc>
          <w:tcPr>
            <w:tcW w:w="1608" w:type="dxa"/>
            <w:vAlign w:val="center"/>
          </w:tcPr>
          <w:p w14:paraId="127C8DA8" w14:textId="140974D3" w:rsidR="005312E4" w:rsidRPr="00F4705F" w:rsidRDefault="005312E4" w:rsidP="005312E4">
            <w:pPr>
              <w:jc w:val="right"/>
              <w:rPr>
                <w:sz w:val="22"/>
                <w:szCs w:val="22"/>
              </w:rPr>
            </w:pPr>
            <w:r w:rsidRPr="00F4705F">
              <w:rPr>
                <w:sz w:val="22"/>
                <w:szCs w:val="22"/>
              </w:rPr>
              <w:t>3,199</w:t>
            </w:r>
          </w:p>
        </w:tc>
      </w:tr>
      <w:tr w:rsidR="005312E4" w:rsidRPr="00F4705F" w14:paraId="342C3AFA" w14:textId="77777777" w:rsidTr="001B5121">
        <w:trPr>
          <w:trHeight w:val="329"/>
        </w:trPr>
        <w:tc>
          <w:tcPr>
            <w:tcW w:w="4897" w:type="dxa"/>
            <w:gridSpan w:val="2"/>
            <w:shd w:val="clear" w:color="auto" w:fill="auto"/>
            <w:noWrap/>
            <w:vAlign w:val="bottom"/>
          </w:tcPr>
          <w:p w14:paraId="40687486" w14:textId="77777777" w:rsidR="005312E4" w:rsidRPr="00F4705F" w:rsidRDefault="005312E4" w:rsidP="005312E4">
            <w:pPr>
              <w:rPr>
                <w:sz w:val="22"/>
                <w:szCs w:val="22"/>
              </w:rPr>
            </w:pPr>
            <w:r w:rsidRPr="00F4705F">
              <w:rPr>
                <w:sz w:val="22"/>
                <w:szCs w:val="22"/>
              </w:rPr>
              <w:t>Due from other group companies</w:t>
            </w:r>
          </w:p>
        </w:tc>
        <w:tc>
          <w:tcPr>
            <w:tcW w:w="309" w:type="dxa"/>
            <w:vAlign w:val="center"/>
          </w:tcPr>
          <w:p w14:paraId="72DC7ED4" w14:textId="77777777" w:rsidR="005312E4" w:rsidRPr="00F4705F" w:rsidRDefault="005312E4" w:rsidP="005312E4">
            <w:pPr>
              <w:jc w:val="right"/>
              <w:rPr>
                <w:sz w:val="22"/>
                <w:szCs w:val="22"/>
              </w:rPr>
            </w:pPr>
          </w:p>
        </w:tc>
        <w:tc>
          <w:tcPr>
            <w:tcW w:w="1384" w:type="dxa"/>
            <w:tcBorders>
              <w:bottom w:val="single" w:sz="4" w:space="0" w:color="auto"/>
            </w:tcBorders>
            <w:vAlign w:val="center"/>
          </w:tcPr>
          <w:p w14:paraId="0FFA8800" w14:textId="5B3CE354" w:rsidR="005312E4" w:rsidRPr="00F4705F" w:rsidRDefault="00756AEE" w:rsidP="005312E4">
            <w:pPr>
              <w:jc w:val="right"/>
              <w:rPr>
                <w:sz w:val="22"/>
                <w:szCs w:val="22"/>
              </w:rPr>
            </w:pPr>
            <w:r w:rsidRPr="00F4705F">
              <w:rPr>
                <w:sz w:val="22"/>
                <w:szCs w:val="22"/>
              </w:rPr>
              <w:t>25</w:t>
            </w:r>
            <w:r w:rsidR="004D6675" w:rsidRPr="00F4705F">
              <w:rPr>
                <w:sz w:val="22"/>
                <w:szCs w:val="22"/>
              </w:rPr>
              <w:t>2</w:t>
            </w:r>
          </w:p>
        </w:tc>
        <w:tc>
          <w:tcPr>
            <w:tcW w:w="309" w:type="dxa"/>
            <w:vAlign w:val="center"/>
          </w:tcPr>
          <w:p w14:paraId="19401A94" w14:textId="77777777" w:rsidR="005312E4" w:rsidRPr="00F4705F" w:rsidRDefault="005312E4" w:rsidP="005312E4">
            <w:pPr>
              <w:jc w:val="right"/>
              <w:rPr>
                <w:sz w:val="22"/>
                <w:szCs w:val="22"/>
              </w:rPr>
            </w:pPr>
          </w:p>
        </w:tc>
        <w:tc>
          <w:tcPr>
            <w:tcW w:w="1608" w:type="dxa"/>
            <w:tcBorders>
              <w:bottom w:val="single" w:sz="4" w:space="0" w:color="auto"/>
            </w:tcBorders>
            <w:vAlign w:val="center"/>
          </w:tcPr>
          <w:p w14:paraId="4B486A8B" w14:textId="4FC6A8E7" w:rsidR="005312E4" w:rsidRPr="00F4705F" w:rsidRDefault="005312E4" w:rsidP="005312E4">
            <w:pPr>
              <w:jc w:val="right"/>
              <w:rPr>
                <w:sz w:val="22"/>
                <w:szCs w:val="22"/>
              </w:rPr>
            </w:pPr>
            <w:r w:rsidRPr="00F4705F">
              <w:rPr>
                <w:sz w:val="22"/>
                <w:szCs w:val="22"/>
              </w:rPr>
              <w:t>68</w:t>
            </w:r>
          </w:p>
        </w:tc>
      </w:tr>
      <w:tr w:rsidR="005312E4" w:rsidRPr="00F4705F" w14:paraId="30C8D411" w14:textId="77777777" w:rsidTr="001B5121">
        <w:trPr>
          <w:trHeight w:val="346"/>
        </w:trPr>
        <w:tc>
          <w:tcPr>
            <w:tcW w:w="4897" w:type="dxa"/>
            <w:gridSpan w:val="2"/>
            <w:shd w:val="clear" w:color="auto" w:fill="auto"/>
            <w:noWrap/>
            <w:vAlign w:val="bottom"/>
            <w:hideMark/>
          </w:tcPr>
          <w:p w14:paraId="1FDF528D" w14:textId="77777777" w:rsidR="005312E4" w:rsidRPr="00F4705F" w:rsidRDefault="005312E4" w:rsidP="005312E4">
            <w:pPr>
              <w:rPr>
                <w:sz w:val="22"/>
                <w:szCs w:val="22"/>
              </w:rPr>
            </w:pPr>
          </w:p>
        </w:tc>
        <w:tc>
          <w:tcPr>
            <w:tcW w:w="309" w:type="dxa"/>
            <w:vAlign w:val="center"/>
          </w:tcPr>
          <w:p w14:paraId="76F0F955" w14:textId="77777777" w:rsidR="005312E4" w:rsidRPr="00F4705F" w:rsidRDefault="005312E4" w:rsidP="005312E4">
            <w:pPr>
              <w:jc w:val="right"/>
              <w:rPr>
                <w:sz w:val="22"/>
                <w:szCs w:val="22"/>
              </w:rPr>
            </w:pPr>
          </w:p>
        </w:tc>
        <w:tc>
          <w:tcPr>
            <w:tcW w:w="1384" w:type="dxa"/>
            <w:tcBorders>
              <w:top w:val="single" w:sz="4" w:space="0" w:color="auto"/>
              <w:bottom w:val="single" w:sz="4" w:space="0" w:color="auto"/>
            </w:tcBorders>
            <w:vAlign w:val="center"/>
          </w:tcPr>
          <w:p w14:paraId="159A3694" w14:textId="210BBDD7" w:rsidR="005312E4" w:rsidRPr="00F4705F" w:rsidRDefault="00756AEE" w:rsidP="005312E4">
            <w:pPr>
              <w:jc w:val="right"/>
              <w:rPr>
                <w:sz w:val="22"/>
                <w:szCs w:val="22"/>
              </w:rPr>
            </w:pPr>
            <w:r w:rsidRPr="00F4705F">
              <w:rPr>
                <w:sz w:val="22"/>
                <w:szCs w:val="22"/>
              </w:rPr>
              <w:t>8,06</w:t>
            </w:r>
            <w:r w:rsidR="001A0DE3" w:rsidRPr="00F4705F">
              <w:rPr>
                <w:sz w:val="22"/>
                <w:szCs w:val="22"/>
              </w:rPr>
              <w:t>9</w:t>
            </w:r>
          </w:p>
        </w:tc>
        <w:tc>
          <w:tcPr>
            <w:tcW w:w="309" w:type="dxa"/>
            <w:vAlign w:val="center"/>
          </w:tcPr>
          <w:p w14:paraId="582C999D" w14:textId="77777777" w:rsidR="005312E4" w:rsidRPr="00F4705F" w:rsidRDefault="005312E4" w:rsidP="005312E4">
            <w:pPr>
              <w:jc w:val="right"/>
              <w:rPr>
                <w:sz w:val="22"/>
                <w:szCs w:val="22"/>
              </w:rPr>
            </w:pPr>
          </w:p>
        </w:tc>
        <w:tc>
          <w:tcPr>
            <w:tcW w:w="1608" w:type="dxa"/>
            <w:tcBorders>
              <w:top w:val="single" w:sz="4" w:space="0" w:color="auto"/>
              <w:bottom w:val="single" w:sz="4" w:space="0" w:color="auto"/>
            </w:tcBorders>
            <w:vAlign w:val="center"/>
          </w:tcPr>
          <w:p w14:paraId="420E11AC" w14:textId="2C19C6E4" w:rsidR="005312E4" w:rsidRPr="00F4705F" w:rsidRDefault="005312E4" w:rsidP="005312E4">
            <w:pPr>
              <w:jc w:val="right"/>
              <w:rPr>
                <w:sz w:val="22"/>
                <w:szCs w:val="22"/>
              </w:rPr>
            </w:pPr>
            <w:r w:rsidRPr="00F4705F">
              <w:rPr>
                <w:sz w:val="22"/>
                <w:szCs w:val="22"/>
              </w:rPr>
              <w:t>8,719</w:t>
            </w:r>
          </w:p>
        </w:tc>
      </w:tr>
    </w:tbl>
    <w:p w14:paraId="237C6F30" w14:textId="77777777" w:rsidR="00616245" w:rsidRPr="00F4705F" w:rsidRDefault="00616245" w:rsidP="00E7090F">
      <w:pPr>
        <w:pStyle w:val="BodyText"/>
        <w:jc w:val="both"/>
        <w:rPr>
          <w:b/>
          <w:bCs/>
          <w:sz w:val="24"/>
        </w:rPr>
      </w:pPr>
    </w:p>
    <w:p w14:paraId="77C24433" w14:textId="77777777" w:rsidR="00AA1DE6" w:rsidRPr="00F4705F" w:rsidRDefault="00AA1DE6" w:rsidP="00AA1DE6">
      <w:pPr>
        <w:rPr>
          <w:sz w:val="22"/>
          <w:szCs w:val="22"/>
        </w:rPr>
      </w:pPr>
      <w:r w:rsidRPr="00F4705F">
        <w:rPr>
          <w:sz w:val="22"/>
          <w:szCs w:val="22"/>
        </w:rPr>
        <w:t>Amounts owed by group undertakings are unsecured, interest free, have no fixed date of repayment and are repayable on demand.</w:t>
      </w:r>
    </w:p>
    <w:p w14:paraId="1E32E25F" w14:textId="77777777" w:rsidR="00E02D97" w:rsidRPr="00F4705F" w:rsidRDefault="00E02D97" w:rsidP="00BB1086">
      <w:pPr>
        <w:pStyle w:val="ACText"/>
        <w:spacing w:before="0"/>
        <w:rPr>
          <w:b/>
          <w:sz w:val="22"/>
          <w:szCs w:val="22"/>
        </w:rPr>
      </w:pPr>
    </w:p>
    <w:p w14:paraId="1EA77798" w14:textId="4698281D" w:rsidR="00D30B37" w:rsidRPr="00F4705F" w:rsidRDefault="008E5E91" w:rsidP="00A314AB">
      <w:pPr>
        <w:pStyle w:val="ACText"/>
        <w:rPr>
          <w:b/>
          <w:sz w:val="22"/>
          <w:szCs w:val="22"/>
        </w:rPr>
      </w:pPr>
      <w:r w:rsidRPr="00F4705F">
        <w:rPr>
          <w:b/>
          <w:sz w:val="22"/>
          <w:szCs w:val="22"/>
        </w:rPr>
        <w:t>1</w:t>
      </w:r>
      <w:r w:rsidR="00AF5224" w:rsidRPr="00F4705F">
        <w:rPr>
          <w:b/>
          <w:sz w:val="22"/>
          <w:szCs w:val="22"/>
        </w:rPr>
        <w:t>9</w:t>
      </w:r>
      <w:r w:rsidR="006D0933" w:rsidRPr="00F4705F">
        <w:rPr>
          <w:b/>
          <w:sz w:val="22"/>
          <w:szCs w:val="22"/>
        </w:rPr>
        <w:t>.</w:t>
      </w:r>
      <w:r w:rsidR="0038601D" w:rsidRPr="00F4705F">
        <w:rPr>
          <w:b/>
          <w:sz w:val="22"/>
          <w:szCs w:val="22"/>
        </w:rPr>
        <w:tab/>
        <w:t xml:space="preserve">Creditors: </w:t>
      </w:r>
      <w:r w:rsidR="00D30B37" w:rsidRPr="00F4705F">
        <w:rPr>
          <w:b/>
          <w:sz w:val="22"/>
          <w:szCs w:val="22"/>
        </w:rPr>
        <w:t>amounts falling due within one year</w:t>
      </w:r>
    </w:p>
    <w:tbl>
      <w:tblPr>
        <w:tblpPr w:leftFromText="180" w:rightFromText="180" w:vertAnchor="text" w:horzAnchor="margin" w:tblpY="247"/>
        <w:tblW w:w="8616" w:type="dxa"/>
        <w:tblLook w:val="04A0" w:firstRow="1" w:lastRow="0" w:firstColumn="1" w:lastColumn="0" w:noHBand="0" w:noVBand="1"/>
      </w:tblPr>
      <w:tblGrid>
        <w:gridCol w:w="4606"/>
        <w:gridCol w:w="572"/>
        <w:gridCol w:w="1528"/>
        <w:gridCol w:w="572"/>
        <w:gridCol w:w="1338"/>
      </w:tblGrid>
      <w:tr w:rsidR="00E53DF3" w:rsidRPr="00F4705F" w14:paraId="6C64A61C" w14:textId="77777777" w:rsidTr="001B5121">
        <w:trPr>
          <w:trHeight w:val="301"/>
        </w:trPr>
        <w:tc>
          <w:tcPr>
            <w:tcW w:w="4606" w:type="dxa"/>
          </w:tcPr>
          <w:p w14:paraId="2A8EC0CE" w14:textId="77777777" w:rsidR="00E53DF3" w:rsidRPr="00F4705F" w:rsidRDefault="00E53DF3" w:rsidP="00E02D97">
            <w:pPr>
              <w:rPr>
                <w:sz w:val="22"/>
                <w:szCs w:val="22"/>
              </w:rPr>
            </w:pPr>
          </w:p>
        </w:tc>
        <w:tc>
          <w:tcPr>
            <w:tcW w:w="572" w:type="dxa"/>
            <w:vAlign w:val="center"/>
          </w:tcPr>
          <w:p w14:paraId="5562AD9D" w14:textId="77777777" w:rsidR="00E53DF3" w:rsidRPr="00F4705F" w:rsidRDefault="00E53DF3" w:rsidP="00E02D97">
            <w:pPr>
              <w:jc w:val="right"/>
              <w:rPr>
                <w:b/>
                <w:bCs/>
                <w:sz w:val="22"/>
                <w:szCs w:val="22"/>
              </w:rPr>
            </w:pPr>
          </w:p>
        </w:tc>
        <w:tc>
          <w:tcPr>
            <w:tcW w:w="1528" w:type="dxa"/>
            <w:vAlign w:val="center"/>
          </w:tcPr>
          <w:p w14:paraId="45AB4065" w14:textId="1341C3F3" w:rsidR="00E53DF3" w:rsidRPr="00F4705F" w:rsidRDefault="00E53DF3" w:rsidP="00E02D97">
            <w:pPr>
              <w:jc w:val="right"/>
              <w:rPr>
                <w:b/>
                <w:bCs/>
                <w:sz w:val="22"/>
                <w:szCs w:val="22"/>
              </w:rPr>
            </w:pPr>
            <w:r w:rsidRPr="00F4705F">
              <w:rPr>
                <w:b/>
                <w:bCs/>
                <w:sz w:val="22"/>
                <w:szCs w:val="22"/>
              </w:rPr>
              <w:t>202</w:t>
            </w:r>
            <w:r w:rsidR="001F47A8" w:rsidRPr="00F4705F">
              <w:rPr>
                <w:b/>
                <w:bCs/>
                <w:sz w:val="22"/>
                <w:szCs w:val="22"/>
              </w:rPr>
              <w:t>4</w:t>
            </w:r>
          </w:p>
          <w:p w14:paraId="55D22CCB" w14:textId="77777777" w:rsidR="00E53DF3" w:rsidRPr="00F4705F" w:rsidRDefault="00E53DF3" w:rsidP="00E02D97">
            <w:pPr>
              <w:jc w:val="right"/>
              <w:rPr>
                <w:b/>
                <w:bCs/>
                <w:sz w:val="22"/>
                <w:szCs w:val="22"/>
              </w:rPr>
            </w:pPr>
          </w:p>
        </w:tc>
        <w:tc>
          <w:tcPr>
            <w:tcW w:w="572" w:type="dxa"/>
            <w:vAlign w:val="center"/>
          </w:tcPr>
          <w:p w14:paraId="7B0D5A3C" w14:textId="77777777" w:rsidR="00E53DF3" w:rsidRPr="00F4705F" w:rsidRDefault="00E53DF3" w:rsidP="00E02D97">
            <w:pPr>
              <w:jc w:val="right"/>
              <w:rPr>
                <w:b/>
                <w:bCs/>
                <w:sz w:val="22"/>
                <w:szCs w:val="22"/>
              </w:rPr>
            </w:pPr>
          </w:p>
        </w:tc>
        <w:tc>
          <w:tcPr>
            <w:tcW w:w="1338" w:type="dxa"/>
            <w:vAlign w:val="center"/>
          </w:tcPr>
          <w:p w14:paraId="4A4B9E9E" w14:textId="6DEE4D09" w:rsidR="00E53DF3" w:rsidRPr="00F4705F" w:rsidRDefault="00E53DF3" w:rsidP="00E02D97">
            <w:pPr>
              <w:jc w:val="right"/>
              <w:rPr>
                <w:b/>
                <w:bCs/>
                <w:sz w:val="22"/>
                <w:szCs w:val="22"/>
              </w:rPr>
            </w:pPr>
            <w:r w:rsidRPr="00F4705F">
              <w:rPr>
                <w:b/>
                <w:bCs/>
                <w:sz w:val="22"/>
                <w:szCs w:val="22"/>
              </w:rPr>
              <w:t>202</w:t>
            </w:r>
            <w:r w:rsidR="001F47A8" w:rsidRPr="00F4705F">
              <w:rPr>
                <w:b/>
                <w:bCs/>
                <w:sz w:val="22"/>
                <w:szCs w:val="22"/>
              </w:rPr>
              <w:t>3</w:t>
            </w:r>
          </w:p>
          <w:p w14:paraId="5210DFC0" w14:textId="77777777" w:rsidR="00E53DF3" w:rsidRPr="00F4705F" w:rsidRDefault="00E53DF3" w:rsidP="00E02D97">
            <w:pPr>
              <w:jc w:val="right"/>
              <w:rPr>
                <w:b/>
                <w:bCs/>
                <w:sz w:val="22"/>
                <w:szCs w:val="22"/>
              </w:rPr>
            </w:pPr>
          </w:p>
        </w:tc>
      </w:tr>
      <w:tr w:rsidR="00E53DF3" w:rsidRPr="00F4705F" w14:paraId="440A37B3" w14:textId="77777777" w:rsidTr="001B5121">
        <w:trPr>
          <w:trHeight w:val="301"/>
        </w:trPr>
        <w:tc>
          <w:tcPr>
            <w:tcW w:w="4606" w:type="dxa"/>
          </w:tcPr>
          <w:p w14:paraId="6C456672" w14:textId="77777777" w:rsidR="00E53DF3" w:rsidRPr="00F4705F" w:rsidRDefault="00E53DF3" w:rsidP="00E02D97">
            <w:pPr>
              <w:rPr>
                <w:sz w:val="22"/>
                <w:szCs w:val="22"/>
              </w:rPr>
            </w:pPr>
          </w:p>
        </w:tc>
        <w:tc>
          <w:tcPr>
            <w:tcW w:w="572" w:type="dxa"/>
            <w:vAlign w:val="center"/>
          </w:tcPr>
          <w:p w14:paraId="33E8617F" w14:textId="77777777" w:rsidR="00E53DF3" w:rsidRPr="00F4705F" w:rsidRDefault="00E53DF3" w:rsidP="00E02D97">
            <w:pPr>
              <w:jc w:val="right"/>
              <w:rPr>
                <w:b/>
                <w:bCs/>
                <w:sz w:val="22"/>
                <w:szCs w:val="22"/>
              </w:rPr>
            </w:pPr>
          </w:p>
        </w:tc>
        <w:tc>
          <w:tcPr>
            <w:tcW w:w="1528" w:type="dxa"/>
            <w:vAlign w:val="center"/>
          </w:tcPr>
          <w:p w14:paraId="74F107D2" w14:textId="77777777" w:rsidR="00E53DF3" w:rsidRPr="00F4705F" w:rsidRDefault="00E53DF3" w:rsidP="00E02D97">
            <w:pPr>
              <w:jc w:val="right"/>
              <w:rPr>
                <w:b/>
                <w:bCs/>
                <w:sz w:val="22"/>
                <w:szCs w:val="22"/>
              </w:rPr>
            </w:pPr>
            <w:r w:rsidRPr="00F4705F">
              <w:rPr>
                <w:b/>
                <w:bCs/>
                <w:sz w:val="22"/>
                <w:szCs w:val="22"/>
              </w:rPr>
              <w:t>£’000</w:t>
            </w:r>
          </w:p>
        </w:tc>
        <w:tc>
          <w:tcPr>
            <w:tcW w:w="572" w:type="dxa"/>
            <w:vAlign w:val="center"/>
          </w:tcPr>
          <w:p w14:paraId="5DC5F674" w14:textId="77777777" w:rsidR="00E53DF3" w:rsidRPr="00F4705F" w:rsidRDefault="00E53DF3" w:rsidP="00E02D97">
            <w:pPr>
              <w:jc w:val="right"/>
              <w:rPr>
                <w:b/>
                <w:bCs/>
                <w:sz w:val="22"/>
                <w:szCs w:val="22"/>
              </w:rPr>
            </w:pPr>
          </w:p>
        </w:tc>
        <w:tc>
          <w:tcPr>
            <w:tcW w:w="1338" w:type="dxa"/>
            <w:vAlign w:val="center"/>
          </w:tcPr>
          <w:p w14:paraId="0E8CA107" w14:textId="77777777" w:rsidR="00E53DF3" w:rsidRPr="00F4705F" w:rsidRDefault="00E53DF3" w:rsidP="00E02D97">
            <w:pPr>
              <w:jc w:val="right"/>
              <w:rPr>
                <w:b/>
                <w:bCs/>
                <w:sz w:val="22"/>
                <w:szCs w:val="22"/>
              </w:rPr>
            </w:pPr>
            <w:r w:rsidRPr="00F4705F">
              <w:rPr>
                <w:b/>
                <w:bCs/>
                <w:sz w:val="22"/>
                <w:szCs w:val="22"/>
              </w:rPr>
              <w:t>£’000</w:t>
            </w:r>
          </w:p>
        </w:tc>
      </w:tr>
      <w:tr w:rsidR="001F47A8" w:rsidRPr="00F4705F" w14:paraId="095A625E" w14:textId="77777777" w:rsidTr="001B5121">
        <w:trPr>
          <w:trHeight w:val="301"/>
        </w:trPr>
        <w:tc>
          <w:tcPr>
            <w:tcW w:w="4606" w:type="dxa"/>
            <w:vAlign w:val="center"/>
          </w:tcPr>
          <w:p w14:paraId="5707A3AB" w14:textId="77777777" w:rsidR="001F47A8" w:rsidRPr="00F4705F" w:rsidRDefault="001F47A8" w:rsidP="001F47A8">
            <w:pPr>
              <w:rPr>
                <w:sz w:val="22"/>
                <w:szCs w:val="22"/>
              </w:rPr>
            </w:pPr>
            <w:r w:rsidRPr="00F4705F">
              <w:rPr>
                <w:sz w:val="22"/>
                <w:szCs w:val="22"/>
              </w:rPr>
              <w:t>Trade creditors</w:t>
            </w:r>
          </w:p>
        </w:tc>
        <w:tc>
          <w:tcPr>
            <w:tcW w:w="572" w:type="dxa"/>
            <w:vAlign w:val="center"/>
          </w:tcPr>
          <w:p w14:paraId="09AF9048" w14:textId="77777777" w:rsidR="001F47A8" w:rsidRPr="00F4705F" w:rsidRDefault="001F47A8" w:rsidP="001F47A8">
            <w:pPr>
              <w:jc w:val="right"/>
              <w:rPr>
                <w:sz w:val="22"/>
                <w:szCs w:val="22"/>
              </w:rPr>
            </w:pPr>
          </w:p>
        </w:tc>
        <w:tc>
          <w:tcPr>
            <w:tcW w:w="1528" w:type="dxa"/>
            <w:shd w:val="clear" w:color="auto" w:fill="auto"/>
            <w:vAlign w:val="center"/>
          </w:tcPr>
          <w:p w14:paraId="2F3EC2C5" w14:textId="668578F4" w:rsidR="001F47A8" w:rsidRPr="00F4705F" w:rsidRDefault="006A74B1" w:rsidP="001F47A8">
            <w:pPr>
              <w:jc w:val="right"/>
              <w:rPr>
                <w:sz w:val="22"/>
                <w:szCs w:val="22"/>
              </w:rPr>
            </w:pPr>
            <w:r w:rsidRPr="00F4705F">
              <w:rPr>
                <w:sz w:val="22"/>
                <w:szCs w:val="22"/>
              </w:rPr>
              <w:t>2,3</w:t>
            </w:r>
            <w:r w:rsidR="005C20FA" w:rsidRPr="00F4705F">
              <w:rPr>
                <w:sz w:val="22"/>
                <w:szCs w:val="22"/>
              </w:rPr>
              <w:t>53</w:t>
            </w:r>
          </w:p>
        </w:tc>
        <w:tc>
          <w:tcPr>
            <w:tcW w:w="572" w:type="dxa"/>
            <w:shd w:val="clear" w:color="auto" w:fill="auto"/>
            <w:vAlign w:val="center"/>
          </w:tcPr>
          <w:p w14:paraId="15C2C447" w14:textId="77777777" w:rsidR="001F47A8" w:rsidRPr="00F4705F" w:rsidRDefault="001F47A8" w:rsidP="001F47A8">
            <w:pPr>
              <w:jc w:val="right"/>
              <w:rPr>
                <w:sz w:val="22"/>
                <w:szCs w:val="22"/>
              </w:rPr>
            </w:pPr>
          </w:p>
        </w:tc>
        <w:tc>
          <w:tcPr>
            <w:tcW w:w="1338" w:type="dxa"/>
            <w:shd w:val="clear" w:color="auto" w:fill="auto"/>
            <w:vAlign w:val="center"/>
          </w:tcPr>
          <w:p w14:paraId="6BF0A0EC" w14:textId="339984DF" w:rsidR="001F47A8" w:rsidRPr="00F4705F" w:rsidRDefault="001F47A8" w:rsidP="001F47A8">
            <w:pPr>
              <w:jc w:val="right"/>
              <w:rPr>
                <w:sz w:val="22"/>
                <w:szCs w:val="22"/>
              </w:rPr>
            </w:pPr>
            <w:r w:rsidRPr="00F4705F">
              <w:rPr>
                <w:sz w:val="22"/>
                <w:szCs w:val="22"/>
              </w:rPr>
              <w:t>967</w:t>
            </w:r>
          </w:p>
        </w:tc>
      </w:tr>
      <w:tr w:rsidR="001F47A8" w:rsidRPr="00AA583E" w14:paraId="7D86E54A" w14:textId="77777777" w:rsidTr="001B5121">
        <w:trPr>
          <w:trHeight w:val="301"/>
        </w:trPr>
        <w:tc>
          <w:tcPr>
            <w:tcW w:w="4606" w:type="dxa"/>
            <w:vAlign w:val="center"/>
          </w:tcPr>
          <w:p w14:paraId="5FC37C26" w14:textId="77777777" w:rsidR="001F47A8" w:rsidRPr="00AA583E" w:rsidRDefault="001F47A8" w:rsidP="001F47A8">
            <w:pPr>
              <w:rPr>
                <w:sz w:val="22"/>
                <w:szCs w:val="22"/>
              </w:rPr>
            </w:pPr>
            <w:r w:rsidRPr="00AA583E">
              <w:rPr>
                <w:sz w:val="22"/>
                <w:szCs w:val="22"/>
              </w:rPr>
              <w:t>Accruals</w:t>
            </w:r>
          </w:p>
        </w:tc>
        <w:tc>
          <w:tcPr>
            <w:tcW w:w="572" w:type="dxa"/>
            <w:vAlign w:val="center"/>
          </w:tcPr>
          <w:p w14:paraId="7154389A" w14:textId="77777777" w:rsidR="001F47A8" w:rsidRPr="00AA583E" w:rsidRDefault="001F47A8" w:rsidP="001F47A8">
            <w:pPr>
              <w:jc w:val="right"/>
              <w:rPr>
                <w:sz w:val="22"/>
                <w:szCs w:val="22"/>
              </w:rPr>
            </w:pPr>
          </w:p>
        </w:tc>
        <w:tc>
          <w:tcPr>
            <w:tcW w:w="1528" w:type="dxa"/>
            <w:shd w:val="clear" w:color="auto" w:fill="auto"/>
            <w:vAlign w:val="center"/>
          </w:tcPr>
          <w:p w14:paraId="470C7331" w14:textId="7713C375" w:rsidR="001F47A8" w:rsidRPr="00AA583E" w:rsidRDefault="006A74B1" w:rsidP="001F47A8">
            <w:pPr>
              <w:jc w:val="right"/>
              <w:rPr>
                <w:sz w:val="22"/>
                <w:szCs w:val="22"/>
              </w:rPr>
            </w:pPr>
            <w:r w:rsidRPr="00AA583E">
              <w:rPr>
                <w:sz w:val="22"/>
                <w:szCs w:val="22"/>
              </w:rPr>
              <w:t>2,</w:t>
            </w:r>
            <w:r w:rsidR="005C20FA" w:rsidRPr="00AA583E">
              <w:rPr>
                <w:sz w:val="22"/>
                <w:szCs w:val="22"/>
              </w:rPr>
              <w:t>1</w:t>
            </w:r>
            <w:r w:rsidR="00B830B3" w:rsidRPr="00AA583E">
              <w:rPr>
                <w:sz w:val="22"/>
                <w:szCs w:val="22"/>
              </w:rPr>
              <w:t>74</w:t>
            </w:r>
          </w:p>
        </w:tc>
        <w:tc>
          <w:tcPr>
            <w:tcW w:w="572" w:type="dxa"/>
            <w:shd w:val="clear" w:color="auto" w:fill="auto"/>
            <w:vAlign w:val="center"/>
          </w:tcPr>
          <w:p w14:paraId="43ABF365" w14:textId="77777777" w:rsidR="001F47A8" w:rsidRPr="00AA583E" w:rsidRDefault="001F47A8" w:rsidP="001F47A8">
            <w:pPr>
              <w:jc w:val="right"/>
              <w:rPr>
                <w:sz w:val="22"/>
                <w:szCs w:val="22"/>
              </w:rPr>
            </w:pPr>
          </w:p>
        </w:tc>
        <w:tc>
          <w:tcPr>
            <w:tcW w:w="1338" w:type="dxa"/>
            <w:shd w:val="clear" w:color="auto" w:fill="auto"/>
            <w:vAlign w:val="center"/>
          </w:tcPr>
          <w:p w14:paraId="36A5464E" w14:textId="2B03238E" w:rsidR="001F47A8" w:rsidRPr="00AA583E" w:rsidRDefault="001F47A8" w:rsidP="001F47A8">
            <w:pPr>
              <w:jc w:val="right"/>
              <w:rPr>
                <w:sz w:val="22"/>
                <w:szCs w:val="22"/>
              </w:rPr>
            </w:pPr>
            <w:r w:rsidRPr="00AA583E">
              <w:rPr>
                <w:sz w:val="22"/>
                <w:szCs w:val="22"/>
              </w:rPr>
              <w:t>7,458</w:t>
            </w:r>
          </w:p>
        </w:tc>
      </w:tr>
      <w:tr w:rsidR="001F47A8" w:rsidRPr="00AA583E" w14:paraId="36D14CB1" w14:textId="77777777" w:rsidTr="001B5121">
        <w:trPr>
          <w:trHeight w:val="301"/>
        </w:trPr>
        <w:tc>
          <w:tcPr>
            <w:tcW w:w="4606" w:type="dxa"/>
            <w:vAlign w:val="center"/>
          </w:tcPr>
          <w:p w14:paraId="3B17489C" w14:textId="77777777" w:rsidR="001F47A8" w:rsidRPr="00AA583E" w:rsidRDefault="001F47A8" w:rsidP="001F47A8">
            <w:pPr>
              <w:rPr>
                <w:sz w:val="22"/>
                <w:szCs w:val="22"/>
              </w:rPr>
            </w:pPr>
            <w:r w:rsidRPr="00AA583E">
              <w:rPr>
                <w:sz w:val="22"/>
                <w:szCs w:val="22"/>
              </w:rPr>
              <w:t>Deferred income</w:t>
            </w:r>
          </w:p>
        </w:tc>
        <w:tc>
          <w:tcPr>
            <w:tcW w:w="572" w:type="dxa"/>
            <w:vAlign w:val="center"/>
          </w:tcPr>
          <w:p w14:paraId="0F1586A7" w14:textId="77777777" w:rsidR="001F47A8" w:rsidRPr="00AA583E" w:rsidRDefault="001F47A8" w:rsidP="001F47A8">
            <w:pPr>
              <w:jc w:val="right"/>
              <w:rPr>
                <w:sz w:val="22"/>
                <w:szCs w:val="22"/>
              </w:rPr>
            </w:pPr>
          </w:p>
        </w:tc>
        <w:tc>
          <w:tcPr>
            <w:tcW w:w="1528" w:type="dxa"/>
            <w:vAlign w:val="center"/>
          </w:tcPr>
          <w:p w14:paraId="47DB5C74" w14:textId="59BC32FF" w:rsidR="001F47A8" w:rsidRPr="00AA583E" w:rsidRDefault="00FC2083" w:rsidP="001F47A8">
            <w:pPr>
              <w:jc w:val="right"/>
              <w:rPr>
                <w:sz w:val="22"/>
                <w:szCs w:val="22"/>
              </w:rPr>
            </w:pPr>
            <w:r w:rsidRPr="00AA583E">
              <w:rPr>
                <w:sz w:val="22"/>
                <w:szCs w:val="22"/>
              </w:rPr>
              <w:t>16,417</w:t>
            </w:r>
          </w:p>
        </w:tc>
        <w:tc>
          <w:tcPr>
            <w:tcW w:w="572" w:type="dxa"/>
            <w:vAlign w:val="center"/>
          </w:tcPr>
          <w:p w14:paraId="4576B94A" w14:textId="77777777" w:rsidR="001F47A8" w:rsidRPr="00AA583E" w:rsidRDefault="001F47A8" w:rsidP="001F47A8">
            <w:pPr>
              <w:jc w:val="right"/>
              <w:rPr>
                <w:sz w:val="22"/>
                <w:szCs w:val="22"/>
              </w:rPr>
            </w:pPr>
          </w:p>
        </w:tc>
        <w:tc>
          <w:tcPr>
            <w:tcW w:w="1338" w:type="dxa"/>
            <w:vAlign w:val="center"/>
          </w:tcPr>
          <w:p w14:paraId="76AF1BFA" w14:textId="39608EA9" w:rsidR="001F47A8" w:rsidRPr="00AA583E" w:rsidRDefault="001F47A8" w:rsidP="001F47A8">
            <w:pPr>
              <w:jc w:val="right"/>
              <w:rPr>
                <w:sz w:val="22"/>
                <w:szCs w:val="22"/>
              </w:rPr>
            </w:pPr>
            <w:r w:rsidRPr="00AA583E">
              <w:rPr>
                <w:sz w:val="22"/>
                <w:szCs w:val="22"/>
              </w:rPr>
              <w:t>6,599</w:t>
            </w:r>
          </w:p>
        </w:tc>
      </w:tr>
      <w:tr w:rsidR="001F47A8" w:rsidRPr="00AA583E" w14:paraId="080D4300" w14:textId="77777777" w:rsidTr="001B5121">
        <w:trPr>
          <w:trHeight w:val="301"/>
        </w:trPr>
        <w:tc>
          <w:tcPr>
            <w:tcW w:w="4606" w:type="dxa"/>
            <w:vAlign w:val="center"/>
          </w:tcPr>
          <w:p w14:paraId="1677FA58" w14:textId="77777777" w:rsidR="001F47A8" w:rsidRPr="00AA583E" w:rsidRDefault="001F47A8" w:rsidP="001F47A8">
            <w:pPr>
              <w:rPr>
                <w:sz w:val="22"/>
                <w:szCs w:val="22"/>
              </w:rPr>
            </w:pPr>
            <w:r w:rsidRPr="00AA583E">
              <w:rPr>
                <w:sz w:val="22"/>
                <w:szCs w:val="22"/>
              </w:rPr>
              <w:t>Rent and service charges received in advance</w:t>
            </w:r>
          </w:p>
        </w:tc>
        <w:tc>
          <w:tcPr>
            <w:tcW w:w="572" w:type="dxa"/>
            <w:vAlign w:val="center"/>
          </w:tcPr>
          <w:p w14:paraId="1627733C" w14:textId="77777777" w:rsidR="001F47A8" w:rsidRPr="00AA583E" w:rsidRDefault="001F47A8" w:rsidP="001F47A8">
            <w:pPr>
              <w:jc w:val="right"/>
              <w:rPr>
                <w:sz w:val="22"/>
                <w:szCs w:val="22"/>
              </w:rPr>
            </w:pPr>
          </w:p>
        </w:tc>
        <w:tc>
          <w:tcPr>
            <w:tcW w:w="1528" w:type="dxa"/>
            <w:vAlign w:val="center"/>
          </w:tcPr>
          <w:p w14:paraId="027C8C95" w14:textId="5B93AA66" w:rsidR="001F47A8" w:rsidRPr="00AA583E" w:rsidRDefault="00FC2083" w:rsidP="001F47A8">
            <w:pPr>
              <w:jc w:val="right"/>
              <w:rPr>
                <w:sz w:val="22"/>
                <w:szCs w:val="22"/>
              </w:rPr>
            </w:pPr>
            <w:r w:rsidRPr="00AA583E">
              <w:rPr>
                <w:sz w:val="22"/>
                <w:szCs w:val="22"/>
              </w:rPr>
              <w:t>990</w:t>
            </w:r>
          </w:p>
        </w:tc>
        <w:tc>
          <w:tcPr>
            <w:tcW w:w="572" w:type="dxa"/>
            <w:vAlign w:val="center"/>
          </w:tcPr>
          <w:p w14:paraId="7F29E40D" w14:textId="77777777" w:rsidR="001F47A8" w:rsidRPr="00AA583E" w:rsidRDefault="001F47A8" w:rsidP="001F47A8">
            <w:pPr>
              <w:jc w:val="right"/>
              <w:rPr>
                <w:sz w:val="22"/>
                <w:szCs w:val="22"/>
              </w:rPr>
            </w:pPr>
          </w:p>
        </w:tc>
        <w:tc>
          <w:tcPr>
            <w:tcW w:w="1338" w:type="dxa"/>
            <w:vAlign w:val="center"/>
          </w:tcPr>
          <w:p w14:paraId="051EC236" w14:textId="68F75599" w:rsidR="001F47A8" w:rsidRPr="00AA583E" w:rsidRDefault="001F47A8" w:rsidP="001F47A8">
            <w:pPr>
              <w:jc w:val="right"/>
              <w:rPr>
                <w:sz w:val="22"/>
                <w:szCs w:val="22"/>
              </w:rPr>
            </w:pPr>
            <w:r w:rsidRPr="00AA583E">
              <w:rPr>
                <w:sz w:val="22"/>
                <w:szCs w:val="22"/>
              </w:rPr>
              <w:t>884</w:t>
            </w:r>
          </w:p>
        </w:tc>
      </w:tr>
      <w:tr w:rsidR="001F47A8" w:rsidRPr="00AA583E" w14:paraId="2EB1B43D" w14:textId="77777777" w:rsidTr="001B5121">
        <w:trPr>
          <w:trHeight w:val="301"/>
        </w:trPr>
        <w:tc>
          <w:tcPr>
            <w:tcW w:w="4606" w:type="dxa"/>
            <w:vAlign w:val="center"/>
          </w:tcPr>
          <w:p w14:paraId="7FCFFF02" w14:textId="77777777" w:rsidR="001F47A8" w:rsidRPr="00AA583E" w:rsidRDefault="001F47A8" w:rsidP="001F47A8">
            <w:pPr>
              <w:rPr>
                <w:sz w:val="22"/>
                <w:szCs w:val="22"/>
              </w:rPr>
            </w:pPr>
            <w:r w:rsidRPr="00AA583E">
              <w:rPr>
                <w:sz w:val="22"/>
                <w:szCs w:val="22"/>
              </w:rPr>
              <w:t>Tax and social security</w:t>
            </w:r>
          </w:p>
        </w:tc>
        <w:tc>
          <w:tcPr>
            <w:tcW w:w="572" w:type="dxa"/>
            <w:vAlign w:val="center"/>
          </w:tcPr>
          <w:p w14:paraId="21C9A4BC" w14:textId="77777777" w:rsidR="001F47A8" w:rsidRPr="00AA583E" w:rsidRDefault="001F47A8" w:rsidP="001F47A8">
            <w:pPr>
              <w:jc w:val="right"/>
              <w:rPr>
                <w:sz w:val="22"/>
                <w:szCs w:val="22"/>
              </w:rPr>
            </w:pPr>
          </w:p>
        </w:tc>
        <w:tc>
          <w:tcPr>
            <w:tcW w:w="1528" w:type="dxa"/>
            <w:vAlign w:val="center"/>
          </w:tcPr>
          <w:p w14:paraId="4FC19377" w14:textId="663CE14D" w:rsidR="001F47A8" w:rsidRPr="00AA583E" w:rsidRDefault="00FC2083" w:rsidP="001F47A8">
            <w:pPr>
              <w:jc w:val="right"/>
              <w:rPr>
                <w:sz w:val="22"/>
                <w:szCs w:val="22"/>
              </w:rPr>
            </w:pPr>
            <w:r w:rsidRPr="00AA583E">
              <w:rPr>
                <w:sz w:val="22"/>
                <w:szCs w:val="22"/>
              </w:rPr>
              <w:t>437</w:t>
            </w:r>
          </w:p>
        </w:tc>
        <w:tc>
          <w:tcPr>
            <w:tcW w:w="572" w:type="dxa"/>
            <w:vAlign w:val="center"/>
          </w:tcPr>
          <w:p w14:paraId="50432DE5" w14:textId="77777777" w:rsidR="001F47A8" w:rsidRPr="00AA583E" w:rsidRDefault="001F47A8" w:rsidP="001F47A8">
            <w:pPr>
              <w:jc w:val="right"/>
              <w:rPr>
                <w:sz w:val="22"/>
                <w:szCs w:val="22"/>
              </w:rPr>
            </w:pPr>
          </w:p>
        </w:tc>
        <w:tc>
          <w:tcPr>
            <w:tcW w:w="1338" w:type="dxa"/>
            <w:vAlign w:val="center"/>
          </w:tcPr>
          <w:p w14:paraId="3C449916" w14:textId="38CC440D" w:rsidR="001F47A8" w:rsidRPr="00AA583E" w:rsidRDefault="001F47A8" w:rsidP="001F47A8">
            <w:pPr>
              <w:jc w:val="right"/>
              <w:rPr>
                <w:sz w:val="22"/>
                <w:szCs w:val="22"/>
              </w:rPr>
            </w:pPr>
            <w:r w:rsidRPr="00AA583E">
              <w:rPr>
                <w:sz w:val="22"/>
                <w:szCs w:val="22"/>
              </w:rPr>
              <w:t>417</w:t>
            </w:r>
          </w:p>
        </w:tc>
      </w:tr>
      <w:tr w:rsidR="001F47A8" w:rsidRPr="00AA583E" w14:paraId="3D427D00" w14:textId="77777777" w:rsidTr="001B5121">
        <w:trPr>
          <w:trHeight w:val="301"/>
        </w:trPr>
        <w:tc>
          <w:tcPr>
            <w:tcW w:w="4606" w:type="dxa"/>
            <w:vAlign w:val="center"/>
          </w:tcPr>
          <w:p w14:paraId="725C5A6E" w14:textId="77777777" w:rsidR="001F47A8" w:rsidRPr="00AA583E" w:rsidRDefault="001F47A8" w:rsidP="001F47A8">
            <w:pPr>
              <w:rPr>
                <w:sz w:val="22"/>
                <w:szCs w:val="22"/>
              </w:rPr>
            </w:pPr>
            <w:r w:rsidRPr="00AA583E">
              <w:rPr>
                <w:sz w:val="22"/>
                <w:szCs w:val="22"/>
              </w:rPr>
              <w:t>Other creditors</w:t>
            </w:r>
          </w:p>
        </w:tc>
        <w:tc>
          <w:tcPr>
            <w:tcW w:w="572" w:type="dxa"/>
            <w:vAlign w:val="center"/>
          </w:tcPr>
          <w:p w14:paraId="39FFC252" w14:textId="77777777" w:rsidR="001F47A8" w:rsidRPr="00AA583E" w:rsidRDefault="001F47A8" w:rsidP="001F47A8">
            <w:pPr>
              <w:jc w:val="right"/>
              <w:rPr>
                <w:sz w:val="22"/>
                <w:szCs w:val="22"/>
              </w:rPr>
            </w:pPr>
          </w:p>
        </w:tc>
        <w:tc>
          <w:tcPr>
            <w:tcW w:w="1528" w:type="dxa"/>
            <w:vAlign w:val="center"/>
          </w:tcPr>
          <w:p w14:paraId="23CE99A9" w14:textId="1E01C75B" w:rsidR="001F47A8" w:rsidRPr="00AA583E" w:rsidRDefault="00FC2083" w:rsidP="001F47A8">
            <w:pPr>
              <w:jc w:val="right"/>
              <w:rPr>
                <w:sz w:val="22"/>
                <w:szCs w:val="22"/>
              </w:rPr>
            </w:pPr>
            <w:r w:rsidRPr="00AA583E">
              <w:rPr>
                <w:sz w:val="22"/>
                <w:szCs w:val="22"/>
              </w:rPr>
              <w:t>2</w:t>
            </w:r>
            <w:r w:rsidR="00B61732" w:rsidRPr="00AA583E">
              <w:rPr>
                <w:sz w:val="22"/>
                <w:szCs w:val="22"/>
              </w:rPr>
              <w:t>70</w:t>
            </w:r>
          </w:p>
        </w:tc>
        <w:tc>
          <w:tcPr>
            <w:tcW w:w="572" w:type="dxa"/>
            <w:vAlign w:val="center"/>
          </w:tcPr>
          <w:p w14:paraId="47E9A204" w14:textId="77777777" w:rsidR="001F47A8" w:rsidRPr="00AA583E" w:rsidRDefault="001F47A8" w:rsidP="001F47A8">
            <w:pPr>
              <w:jc w:val="right"/>
              <w:rPr>
                <w:sz w:val="22"/>
                <w:szCs w:val="22"/>
              </w:rPr>
            </w:pPr>
          </w:p>
        </w:tc>
        <w:tc>
          <w:tcPr>
            <w:tcW w:w="1338" w:type="dxa"/>
            <w:vAlign w:val="center"/>
          </w:tcPr>
          <w:p w14:paraId="68F94114" w14:textId="40C80F5E" w:rsidR="001F47A8" w:rsidRPr="00AA583E" w:rsidRDefault="001F47A8" w:rsidP="001F47A8">
            <w:pPr>
              <w:jc w:val="right"/>
              <w:rPr>
                <w:sz w:val="22"/>
                <w:szCs w:val="22"/>
              </w:rPr>
            </w:pPr>
            <w:r w:rsidRPr="00AA583E">
              <w:rPr>
                <w:sz w:val="22"/>
                <w:szCs w:val="22"/>
              </w:rPr>
              <w:t>138</w:t>
            </w:r>
          </w:p>
        </w:tc>
      </w:tr>
      <w:tr w:rsidR="001F47A8" w:rsidRPr="00AA583E" w14:paraId="7A2707B0" w14:textId="77777777" w:rsidTr="001B5121">
        <w:trPr>
          <w:trHeight w:val="301"/>
        </w:trPr>
        <w:tc>
          <w:tcPr>
            <w:tcW w:w="4606" w:type="dxa"/>
            <w:vAlign w:val="center"/>
          </w:tcPr>
          <w:p w14:paraId="167D597B" w14:textId="77777777" w:rsidR="001F47A8" w:rsidRPr="00AA583E" w:rsidRDefault="001F47A8" w:rsidP="001F47A8">
            <w:pPr>
              <w:rPr>
                <w:sz w:val="22"/>
                <w:szCs w:val="22"/>
              </w:rPr>
            </w:pPr>
            <w:r w:rsidRPr="00AA583E">
              <w:rPr>
                <w:sz w:val="22"/>
                <w:szCs w:val="22"/>
              </w:rPr>
              <w:t xml:space="preserve">Due to other group companies </w:t>
            </w:r>
          </w:p>
        </w:tc>
        <w:tc>
          <w:tcPr>
            <w:tcW w:w="572" w:type="dxa"/>
            <w:vAlign w:val="center"/>
          </w:tcPr>
          <w:p w14:paraId="5BB45284" w14:textId="77777777" w:rsidR="001F47A8" w:rsidRPr="00AA583E" w:rsidRDefault="001F47A8" w:rsidP="001F47A8">
            <w:pPr>
              <w:jc w:val="right"/>
              <w:rPr>
                <w:sz w:val="22"/>
                <w:szCs w:val="22"/>
              </w:rPr>
            </w:pPr>
          </w:p>
        </w:tc>
        <w:tc>
          <w:tcPr>
            <w:tcW w:w="1528" w:type="dxa"/>
            <w:tcBorders>
              <w:bottom w:val="single" w:sz="4" w:space="0" w:color="auto"/>
            </w:tcBorders>
            <w:vAlign w:val="center"/>
          </w:tcPr>
          <w:p w14:paraId="2FCE6F2A" w14:textId="17A42A04" w:rsidR="001F47A8" w:rsidRPr="00AA583E" w:rsidRDefault="006A74B1" w:rsidP="001F47A8">
            <w:pPr>
              <w:jc w:val="right"/>
              <w:rPr>
                <w:sz w:val="22"/>
                <w:szCs w:val="22"/>
              </w:rPr>
            </w:pPr>
            <w:r w:rsidRPr="00AA583E">
              <w:rPr>
                <w:sz w:val="22"/>
                <w:szCs w:val="22"/>
              </w:rPr>
              <w:t>6,501</w:t>
            </w:r>
          </w:p>
        </w:tc>
        <w:tc>
          <w:tcPr>
            <w:tcW w:w="572" w:type="dxa"/>
            <w:vAlign w:val="center"/>
          </w:tcPr>
          <w:p w14:paraId="1D8B769A" w14:textId="77777777" w:rsidR="001F47A8" w:rsidRPr="00AA583E" w:rsidRDefault="001F47A8" w:rsidP="001F47A8">
            <w:pPr>
              <w:jc w:val="right"/>
              <w:rPr>
                <w:sz w:val="22"/>
                <w:szCs w:val="22"/>
              </w:rPr>
            </w:pPr>
          </w:p>
        </w:tc>
        <w:tc>
          <w:tcPr>
            <w:tcW w:w="1338" w:type="dxa"/>
            <w:tcBorders>
              <w:bottom w:val="single" w:sz="4" w:space="0" w:color="auto"/>
            </w:tcBorders>
            <w:vAlign w:val="center"/>
          </w:tcPr>
          <w:p w14:paraId="0A51AB58" w14:textId="36B2FD87" w:rsidR="001F47A8" w:rsidRPr="00AA583E" w:rsidRDefault="001F47A8" w:rsidP="001F47A8">
            <w:pPr>
              <w:jc w:val="right"/>
              <w:rPr>
                <w:color w:val="FF0000"/>
                <w:sz w:val="22"/>
                <w:szCs w:val="22"/>
              </w:rPr>
            </w:pPr>
            <w:r w:rsidRPr="00AA583E">
              <w:rPr>
                <w:sz w:val="22"/>
                <w:szCs w:val="22"/>
              </w:rPr>
              <w:t>5,022</w:t>
            </w:r>
          </w:p>
        </w:tc>
      </w:tr>
      <w:tr w:rsidR="001F47A8" w:rsidRPr="002D5556" w14:paraId="2578331A" w14:textId="77777777" w:rsidTr="001B5121">
        <w:trPr>
          <w:trHeight w:val="316"/>
        </w:trPr>
        <w:tc>
          <w:tcPr>
            <w:tcW w:w="4606" w:type="dxa"/>
          </w:tcPr>
          <w:p w14:paraId="465ED808" w14:textId="77777777" w:rsidR="001F47A8" w:rsidRPr="00AA583E" w:rsidRDefault="001F47A8" w:rsidP="001F47A8">
            <w:pPr>
              <w:rPr>
                <w:sz w:val="22"/>
                <w:szCs w:val="22"/>
              </w:rPr>
            </w:pPr>
          </w:p>
        </w:tc>
        <w:tc>
          <w:tcPr>
            <w:tcW w:w="572" w:type="dxa"/>
            <w:vAlign w:val="center"/>
          </w:tcPr>
          <w:p w14:paraId="00B73C13" w14:textId="77777777" w:rsidR="001F47A8" w:rsidRPr="00AA583E" w:rsidRDefault="001F47A8" w:rsidP="001F47A8">
            <w:pPr>
              <w:jc w:val="right"/>
              <w:rPr>
                <w:sz w:val="22"/>
                <w:szCs w:val="22"/>
              </w:rPr>
            </w:pPr>
          </w:p>
        </w:tc>
        <w:tc>
          <w:tcPr>
            <w:tcW w:w="1528" w:type="dxa"/>
            <w:tcBorders>
              <w:top w:val="single" w:sz="4" w:space="0" w:color="auto"/>
              <w:bottom w:val="single" w:sz="4" w:space="0" w:color="auto"/>
            </w:tcBorders>
            <w:vAlign w:val="center"/>
          </w:tcPr>
          <w:p w14:paraId="10885010" w14:textId="755D49B1" w:rsidR="001F47A8" w:rsidRPr="00AA583E" w:rsidRDefault="00B61732" w:rsidP="001F47A8">
            <w:pPr>
              <w:jc w:val="right"/>
              <w:rPr>
                <w:sz w:val="22"/>
                <w:szCs w:val="22"/>
              </w:rPr>
            </w:pPr>
            <w:r w:rsidRPr="00AA583E">
              <w:rPr>
                <w:sz w:val="22"/>
                <w:szCs w:val="22"/>
              </w:rPr>
              <w:t>29,</w:t>
            </w:r>
            <w:r w:rsidR="00B830B3" w:rsidRPr="00AA583E">
              <w:rPr>
                <w:sz w:val="22"/>
                <w:szCs w:val="22"/>
              </w:rPr>
              <w:t>142</w:t>
            </w:r>
          </w:p>
        </w:tc>
        <w:tc>
          <w:tcPr>
            <w:tcW w:w="572" w:type="dxa"/>
            <w:vAlign w:val="center"/>
          </w:tcPr>
          <w:p w14:paraId="58744144" w14:textId="77777777" w:rsidR="001F47A8" w:rsidRPr="00AA583E" w:rsidRDefault="001F47A8" w:rsidP="001F47A8">
            <w:pPr>
              <w:jc w:val="right"/>
              <w:rPr>
                <w:sz w:val="22"/>
                <w:szCs w:val="22"/>
              </w:rPr>
            </w:pPr>
          </w:p>
        </w:tc>
        <w:tc>
          <w:tcPr>
            <w:tcW w:w="1338" w:type="dxa"/>
            <w:tcBorders>
              <w:top w:val="single" w:sz="4" w:space="0" w:color="auto"/>
              <w:bottom w:val="single" w:sz="4" w:space="0" w:color="auto"/>
            </w:tcBorders>
            <w:vAlign w:val="center"/>
          </w:tcPr>
          <w:p w14:paraId="7EF8AFAB" w14:textId="39881842" w:rsidR="001F47A8" w:rsidRPr="002D5556" w:rsidRDefault="001F47A8" w:rsidP="001F47A8">
            <w:pPr>
              <w:jc w:val="right"/>
              <w:rPr>
                <w:sz w:val="22"/>
                <w:szCs w:val="22"/>
              </w:rPr>
            </w:pPr>
            <w:r w:rsidRPr="00AA583E">
              <w:rPr>
                <w:sz w:val="22"/>
                <w:szCs w:val="22"/>
              </w:rPr>
              <w:t>21,485</w:t>
            </w:r>
          </w:p>
        </w:tc>
      </w:tr>
    </w:tbl>
    <w:p w14:paraId="19A3B65F" w14:textId="77777777" w:rsidR="001B5121" w:rsidRDefault="001B5121" w:rsidP="0058646E">
      <w:pPr>
        <w:rPr>
          <w:sz w:val="22"/>
          <w:szCs w:val="22"/>
        </w:rPr>
      </w:pPr>
    </w:p>
    <w:p w14:paraId="63715DB7" w14:textId="32F05DFC" w:rsidR="0058646E" w:rsidRDefault="00AA1DE6" w:rsidP="0058646E">
      <w:pPr>
        <w:rPr>
          <w:sz w:val="22"/>
          <w:szCs w:val="22"/>
        </w:rPr>
      </w:pPr>
      <w:r w:rsidRPr="00223E50">
        <w:rPr>
          <w:sz w:val="22"/>
          <w:szCs w:val="22"/>
        </w:rPr>
        <w:t>Amounts owed to group undertakings are unsecured, interest free, have no fixed date of repayment and are repayable on demand.</w:t>
      </w:r>
    </w:p>
    <w:p w14:paraId="378790C9" w14:textId="77777777" w:rsidR="00141127" w:rsidRPr="0058646E" w:rsidRDefault="00141127" w:rsidP="0058646E">
      <w:pPr>
        <w:rPr>
          <w:sz w:val="22"/>
          <w:szCs w:val="22"/>
        </w:rPr>
      </w:pPr>
    </w:p>
    <w:p w14:paraId="6E95B0CC" w14:textId="64D5322A" w:rsidR="00D8289A" w:rsidRPr="00E803CA" w:rsidRDefault="00AF5224" w:rsidP="00795442">
      <w:pPr>
        <w:pStyle w:val="ACText"/>
        <w:rPr>
          <w:b/>
          <w:sz w:val="22"/>
          <w:szCs w:val="22"/>
        </w:rPr>
      </w:pPr>
      <w:r>
        <w:rPr>
          <w:b/>
          <w:sz w:val="22"/>
          <w:szCs w:val="22"/>
        </w:rPr>
        <w:t>20</w:t>
      </w:r>
      <w:r w:rsidR="00795442" w:rsidRPr="00223E50">
        <w:rPr>
          <w:b/>
          <w:sz w:val="22"/>
          <w:szCs w:val="22"/>
        </w:rPr>
        <w:t>.</w:t>
      </w:r>
      <w:r w:rsidR="00795442" w:rsidRPr="00223E50">
        <w:rPr>
          <w:b/>
          <w:sz w:val="22"/>
          <w:szCs w:val="22"/>
        </w:rPr>
        <w:tab/>
      </w:r>
      <w:r w:rsidR="00795442" w:rsidRPr="00E803CA">
        <w:rPr>
          <w:b/>
          <w:sz w:val="22"/>
          <w:szCs w:val="22"/>
        </w:rPr>
        <w:t xml:space="preserve">Creditors: amounts falling due after more than </w:t>
      </w:r>
      <w:r w:rsidR="00D8289A" w:rsidRPr="00E803CA">
        <w:rPr>
          <w:b/>
          <w:sz w:val="22"/>
          <w:szCs w:val="22"/>
        </w:rPr>
        <w:t>one year</w:t>
      </w:r>
    </w:p>
    <w:tbl>
      <w:tblPr>
        <w:tblW w:w="8609" w:type="dxa"/>
        <w:tblInd w:w="93" w:type="dxa"/>
        <w:tblLook w:val="04A0" w:firstRow="1" w:lastRow="0" w:firstColumn="1" w:lastColumn="0" w:noHBand="0" w:noVBand="1"/>
      </w:tblPr>
      <w:tblGrid>
        <w:gridCol w:w="4677"/>
        <w:gridCol w:w="584"/>
        <w:gridCol w:w="1476"/>
        <w:gridCol w:w="584"/>
        <w:gridCol w:w="1288"/>
      </w:tblGrid>
      <w:tr w:rsidR="00357FE7" w:rsidRPr="00E803CA" w14:paraId="49D711C1" w14:textId="77777777" w:rsidTr="001B5121">
        <w:trPr>
          <w:trHeight w:val="326"/>
        </w:trPr>
        <w:tc>
          <w:tcPr>
            <w:tcW w:w="4677" w:type="dxa"/>
          </w:tcPr>
          <w:p w14:paraId="2A614413" w14:textId="77777777" w:rsidR="00357FE7" w:rsidRPr="00E803CA" w:rsidRDefault="00357FE7" w:rsidP="003162ED">
            <w:pPr>
              <w:rPr>
                <w:sz w:val="22"/>
                <w:szCs w:val="22"/>
              </w:rPr>
            </w:pPr>
          </w:p>
        </w:tc>
        <w:tc>
          <w:tcPr>
            <w:tcW w:w="584" w:type="dxa"/>
            <w:vAlign w:val="center"/>
          </w:tcPr>
          <w:p w14:paraId="3B8C8077" w14:textId="77777777" w:rsidR="00357FE7" w:rsidRPr="00E803CA" w:rsidRDefault="00357FE7" w:rsidP="003162ED">
            <w:pPr>
              <w:jc w:val="right"/>
              <w:rPr>
                <w:b/>
                <w:bCs/>
                <w:sz w:val="22"/>
                <w:szCs w:val="22"/>
              </w:rPr>
            </w:pPr>
          </w:p>
        </w:tc>
        <w:tc>
          <w:tcPr>
            <w:tcW w:w="1476" w:type="dxa"/>
            <w:vAlign w:val="center"/>
          </w:tcPr>
          <w:p w14:paraId="18292D20" w14:textId="50C2094A" w:rsidR="00357FE7" w:rsidRPr="00E803CA" w:rsidRDefault="00357FE7" w:rsidP="003162ED">
            <w:pPr>
              <w:jc w:val="right"/>
              <w:rPr>
                <w:b/>
                <w:bCs/>
                <w:sz w:val="22"/>
                <w:szCs w:val="22"/>
              </w:rPr>
            </w:pPr>
            <w:r w:rsidRPr="00E803CA">
              <w:rPr>
                <w:b/>
                <w:bCs/>
                <w:sz w:val="22"/>
                <w:szCs w:val="22"/>
              </w:rPr>
              <w:t>202</w:t>
            </w:r>
            <w:r w:rsidR="00F81843">
              <w:rPr>
                <w:b/>
                <w:bCs/>
                <w:sz w:val="22"/>
                <w:szCs w:val="22"/>
              </w:rPr>
              <w:t>4</w:t>
            </w:r>
          </w:p>
        </w:tc>
        <w:tc>
          <w:tcPr>
            <w:tcW w:w="584" w:type="dxa"/>
            <w:vAlign w:val="center"/>
          </w:tcPr>
          <w:p w14:paraId="7EB4DA92" w14:textId="77777777" w:rsidR="00357FE7" w:rsidRPr="00E803CA" w:rsidRDefault="00357FE7" w:rsidP="003162ED">
            <w:pPr>
              <w:jc w:val="right"/>
              <w:rPr>
                <w:b/>
                <w:bCs/>
                <w:sz w:val="22"/>
                <w:szCs w:val="22"/>
              </w:rPr>
            </w:pPr>
          </w:p>
        </w:tc>
        <w:tc>
          <w:tcPr>
            <w:tcW w:w="1288" w:type="dxa"/>
            <w:vAlign w:val="center"/>
          </w:tcPr>
          <w:p w14:paraId="7B320AD9" w14:textId="5F64D84B" w:rsidR="00357FE7" w:rsidRPr="00E803CA" w:rsidRDefault="00357FE7" w:rsidP="000721EA">
            <w:pPr>
              <w:jc w:val="right"/>
              <w:rPr>
                <w:b/>
                <w:bCs/>
                <w:sz w:val="22"/>
                <w:szCs w:val="22"/>
              </w:rPr>
            </w:pPr>
            <w:r w:rsidRPr="00E803CA">
              <w:rPr>
                <w:b/>
                <w:bCs/>
                <w:sz w:val="22"/>
                <w:szCs w:val="22"/>
              </w:rPr>
              <w:t>202</w:t>
            </w:r>
            <w:r w:rsidR="00F81843">
              <w:rPr>
                <w:b/>
                <w:bCs/>
                <w:sz w:val="22"/>
                <w:szCs w:val="22"/>
              </w:rPr>
              <w:t>3</w:t>
            </w:r>
          </w:p>
        </w:tc>
      </w:tr>
      <w:tr w:rsidR="00357FE7" w:rsidRPr="00E803CA" w14:paraId="4102CADA" w14:textId="77777777" w:rsidTr="001B5121">
        <w:trPr>
          <w:trHeight w:val="326"/>
        </w:trPr>
        <w:tc>
          <w:tcPr>
            <w:tcW w:w="4677" w:type="dxa"/>
          </w:tcPr>
          <w:p w14:paraId="5AD0FABE" w14:textId="77777777" w:rsidR="00357FE7" w:rsidRPr="00E803CA" w:rsidRDefault="00357FE7" w:rsidP="003162ED">
            <w:pPr>
              <w:rPr>
                <w:sz w:val="22"/>
                <w:szCs w:val="22"/>
              </w:rPr>
            </w:pPr>
          </w:p>
        </w:tc>
        <w:tc>
          <w:tcPr>
            <w:tcW w:w="584" w:type="dxa"/>
            <w:vAlign w:val="center"/>
          </w:tcPr>
          <w:p w14:paraId="40825247" w14:textId="77777777" w:rsidR="00357FE7" w:rsidRPr="00E803CA" w:rsidRDefault="00357FE7" w:rsidP="003162ED">
            <w:pPr>
              <w:jc w:val="right"/>
              <w:rPr>
                <w:b/>
                <w:bCs/>
                <w:sz w:val="22"/>
                <w:szCs w:val="22"/>
              </w:rPr>
            </w:pPr>
          </w:p>
        </w:tc>
        <w:tc>
          <w:tcPr>
            <w:tcW w:w="1476" w:type="dxa"/>
            <w:vAlign w:val="center"/>
          </w:tcPr>
          <w:p w14:paraId="629B3F2A" w14:textId="77777777" w:rsidR="00357FE7" w:rsidRPr="00E803CA" w:rsidRDefault="00357FE7" w:rsidP="003162ED">
            <w:pPr>
              <w:jc w:val="right"/>
              <w:rPr>
                <w:b/>
                <w:bCs/>
                <w:sz w:val="22"/>
                <w:szCs w:val="22"/>
              </w:rPr>
            </w:pPr>
            <w:r w:rsidRPr="00E803CA">
              <w:rPr>
                <w:b/>
                <w:bCs/>
                <w:sz w:val="22"/>
                <w:szCs w:val="22"/>
              </w:rPr>
              <w:t>£’000</w:t>
            </w:r>
          </w:p>
        </w:tc>
        <w:tc>
          <w:tcPr>
            <w:tcW w:w="584" w:type="dxa"/>
            <w:vAlign w:val="center"/>
          </w:tcPr>
          <w:p w14:paraId="78D31222" w14:textId="77777777" w:rsidR="00357FE7" w:rsidRPr="00E803CA" w:rsidRDefault="00357FE7" w:rsidP="003162ED">
            <w:pPr>
              <w:jc w:val="right"/>
              <w:rPr>
                <w:b/>
                <w:bCs/>
                <w:sz w:val="22"/>
                <w:szCs w:val="22"/>
              </w:rPr>
            </w:pPr>
          </w:p>
        </w:tc>
        <w:tc>
          <w:tcPr>
            <w:tcW w:w="1288" w:type="dxa"/>
            <w:vAlign w:val="center"/>
          </w:tcPr>
          <w:p w14:paraId="546BA76C" w14:textId="77777777" w:rsidR="00357FE7" w:rsidRPr="00E803CA" w:rsidRDefault="00357FE7" w:rsidP="003162ED">
            <w:pPr>
              <w:jc w:val="right"/>
              <w:rPr>
                <w:b/>
                <w:bCs/>
                <w:sz w:val="22"/>
                <w:szCs w:val="22"/>
              </w:rPr>
            </w:pPr>
            <w:r w:rsidRPr="00E803CA">
              <w:rPr>
                <w:b/>
                <w:bCs/>
                <w:sz w:val="22"/>
                <w:szCs w:val="22"/>
              </w:rPr>
              <w:t>£’000</w:t>
            </w:r>
          </w:p>
        </w:tc>
      </w:tr>
      <w:tr w:rsidR="00F81843" w:rsidRPr="00E803CA" w14:paraId="2C5C820D" w14:textId="77777777" w:rsidTr="001B5121">
        <w:trPr>
          <w:trHeight w:val="326"/>
        </w:trPr>
        <w:tc>
          <w:tcPr>
            <w:tcW w:w="4677" w:type="dxa"/>
            <w:vAlign w:val="center"/>
          </w:tcPr>
          <w:p w14:paraId="232CE743" w14:textId="55793741" w:rsidR="00F81843" w:rsidRPr="00E803CA" w:rsidRDefault="00882E92" w:rsidP="00F81843">
            <w:pPr>
              <w:rPr>
                <w:sz w:val="22"/>
                <w:szCs w:val="22"/>
              </w:rPr>
            </w:pPr>
            <w:r>
              <w:rPr>
                <w:sz w:val="22"/>
                <w:szCs w:val="22"/>
              </w:rPr>
              <w:t>Bank</w:t>
            </w:r>
            <w:r w:rsidR="00F81843" w:rsidRPr="00E803CA">
              <w:rPr>
                <w:sz w:val="22"/>
                <w:szCs w:val="22"/>
              </w:rPr>
              <w:t xml:space="preserve"> loans</w:t>
            </w:r>
          </w:p>
        </w:tc>
        <w:tc>
          <w:tcPr>
            <w:tcW w:w="584" w:type="dxa"/>
            <w:vAlign w:val="center"/>
          </w:tcPr>
          <w:p w14:paraId="3A74123A" w14:textId="77777777" w:rsidR="00F81843" w:rsidRPr="00E803CA" w:rsidRDefault="00F81843" w:rsidP="00F81843">
            <w:pPr>
              <w:jc w:val="right"/>
              <w:rPr>
                <w:sz w:val="22"/>
                <w:szCs w:val="22"/>
              </w:rPr>
            </w:pPr>
          </w:p>
        </w:tc>
        <w:tc>
          <w:tcPr>
            <w:tcW w:w="1476" w:type="dxa"/>
            <w:shd w:val="clear" w:color="auto" w:fill="auto"/>
            <w:vAlign w:val="center"/>
          </w:tcPr>
          <w:p w14:paraId="11EC1D01" w14:textId="4C9619F8" w:rsidR="00F81843" w:rsidRPr="00E803CA" w:rsidRDefault="00D86A6C" w:rsidP="00F81843">
            <w:pPr>
              <w:jc w:val="right"/>
              <w:rPr>
                <w:sz w:val="22"/>
                <w:szCs w:val="22"/>
              </w:rPr>
            </w:pPr>
            <w:r>
              <w:rPr>
                <w:sz w:val="22"/>
                <w:szCs w:val="22"/>
              </w:rPr>
              <w:t>79,885</w:t>
            </w:r>
          </w:p>
        </w:tc>
        <w:tc>
          <w:tcPr>
            <w:tcW w:w="584" w:type="dxa"/>
            <w:shd w:val="clear" w:color="auto" w:fill="auto"/>
            <w:vAlign w:val="center"/>
          </w:tcPr>
          <w:p w14:paraId="2A21725A" w14:textId="77777777" w:rsidR="00F81843" w:rsidRPr="00E803CA" w:rsidRDefault="00F81843" w:rsidP="00F81843">
            <w:pPr>
              <w:jc w:val="right"/>
              <w:rPr>
                <w:sz w:val="22"/>
                <w:szCs w:val="22"/>
              </w:rPr>
            </w:pPr>
          </w:p>
        </w:tc>
        <w:tc>
          <w:tcPr>
            <w:tcW w:w="1288" w:type="dxa"/>
            <w:shd w:val="clear" w:color="auto" w:fill="auto"/>
            <w:vAlign w:val="center"/>
          </w:tcPr>
          <w:p w14:paraId="602CA901" w14:textId="3F097E4A" w:rsidR="00F81843" w:rsidRPr="00E803CA" w:rsidRDefault="00F81843" w:rsidP="00F81843">
            <w:pPr>
              <w:jc w:val="right"/>
              <w:rPr>
                <w:sz w:val="22"/>
                <w:szCs w:val="22"/>
              </w:rPr>
            </w:pPr>
            <w:r w:rsidRPr="00E803CA">
              <w:rPr>
                <w:sz w:val="22"/>
                <w:szCs w:val="22"/>
              </w:rPr>
              <w:t>78,772</w:t>
            </w:r>
          </w:p>
        </w:tc>
      </w:tr>
      <w:tr w:rsidR="00F81843" w:rsidRPr="00E803CA" w14:paraId="77430C3D" w14:textId="77777777" w:rsidTr="001B5121">
        <w:trPr>
          <w:trHeight w:val="326"/>
        </w:trPr>
        <w:tc>
          <w:tcPr>
            <w:tcW w:w="4677" w:type="dxa"/>
            <w:vAlign w:val="center"/>
          </w:tcPr>
          <w:p w14:paraId="65ED1769" w14:textId="4C4D3C1E" w:rsidR="00F81843" w:rsidRPr="00E803CA" w:rsidRDefault="00F81843" w:rsidP="00F81843">
            <w:pPr>
              <w:rPr>
                <w:sz w:val="22"/>
                <w:szCs w:val="22"/>
              </w:rPr>
            </w:pPr>
            <w:r w:rsidRPr="00E803CA">
              <w:rPr>
                <w:sz w:val="22"/>
                <w:szCs w:val="22"/>
              </w:rPr>
              <w:t>Due to other group companies</w:t>
            </w:r>
          </w:p>
        </w:tc>
        <w:tc>
          <w:tcPr>
            <w:tcW w:w="584" w:type="dxa"/>
            <w:vAlign w:val="center"/>
          </w:tcPr>
          <w:p w14:paraId="53A80477" w14:textId="77777777" w:rsidR="00F81843" w:rsidRPr="00E803CA" w:rsidRDefault="00F81843" w:rsidP="00F81843">
            <w:pPr>
              <w:jc w:val="right"/>
              <w:rPr>
                <w:sz w:val="22"/>
                <w:szCs w:val="22"/>
              </w:rPr>
            </w:pPr>
          </w:p>
        </w:tc>
        <w:tc>
          <w:tcPr>
            <w:tcW w:w="1476" w:type="dxa"/>
            <w:shd w:val="clear" w:color="auto" w:fill="auto"/>
            <w:vAlign w:val="center"/>
          </w:tcPr>
          <w:p w14:paraId="6FC02397" w14:textId="05EB2649" w:rsidR="00F81843" w:rsidRPr="00E803CA" w:rsidRDefault="00D86A6C" w:rsidP="00F81843">
            <w:pPr>
              <w:jc w:val="right"/>
              <w:rPr>
                <w:sz w:val="22"/>
                <w:szCs w:val="22"/>
              </w:rPr>
            </w:pPr>
            <w:r>
              <w:rPr>
                <w:sz w:val="22"/>
                <w:szCs w:val="22"/>
              </w:rPr>
              <w:t>92,500</w:t>
            </w:r>
          </w:p>
        </w:tc>
        <w:tc>
          <w:tcPr>
            <w:tcW w:w="584" w:type="dxa"/>
            <w:shd w:val="clear" w:color="auto" w:fill="auto"/>
            <w:vAlign w:val="center"/>
          </w:tcPr>
          <w:p w14:paraId="39225A4E" w14:textId="77777777" w:rsidR="00F81843" w:rsidRPr="00E803CA" w:rsidRDefault="00F81843" w:rsidP="00F81843">
            <w:pPr>
              <w:jc w:val="right"/>
              <w:rPr>
                <w:sz w:val="22"/>
                <w:szCs w:val="22"/>
              </w:rPr>
            </w:pPr>
          </w:p>
        </w:tc>
        <w:tc>
          <w:tcPr>
            <w:tcW w:w="1288" w:type="dxa"/>
            <w:shd w:val="clear" w:color="auto" w:fill="auto"/>
            <w:vAlign w:val="center"/>
          </w:tcPr>
          <w:p w14:paraId="75EF4550" w14:textId="00512746" w:rsidR="00F81843" w:rsidRPr="00E803CA" w:rsidRDefault="00F81843" w:rsidP="00F81843">
            <w:pPr>
              <w:jc w:val="right"/>
              <w:rPr>
                <w:sz w:val="22"/>
                <w:szCs w:val="22"/>
              </w:rPr>
            </w:pPr>
            <w:r w:rsidRPr="00E803CA">
              <w:rPr>
                <w:sz w:val="22"/>
                <w:szCs w:val="22"/>
              </w:rPr>
              <w:t>83,500</w:t>
            </w:r>
          </w:p>
        </w:tc>
      </w:tr>
      <w:tr w:rsidR="00F81843" w:rsidRPr="002D5556" w14:paraId="6B46A268" w14:textId="77777777" w:rsidTr="001B5121">
        <w:trPr>
          <w:trHeight w:val="326"/>
        </w:trPr>
        <w:tc>
          <w:tcPr>
            <w:tcW w:w="4677" w:type="dxa"/>
            <w:vAlign w:val="center"/>
          </w:tcPr>
          <w:p w14:paraId="73F5FBC5" w14:textId="77777777" w:rsidR="00F81843" w:rsidRPr="00E803CA" w:rsidRDefault="00F81843" w:rsidP="00F81843">
            <w:pPr>
              <w:rPr>
                <w:sz w:val="22"/>
                <w:szCs w:val="22"/>
              </w:rPr>
            </w:pPr>
            <w:r w:rsidRPr="00E803CA">
              <w:rPr>
                <w:sz w:val="22"/>
                <w:szCs w:val="22"/>
              </w:rPr>
              <w:t>Deferred income</w:t>
            </w:r>
          </w:p>
        </w:tc>
        <w:tc>
          <w:tcPr>
            <w:tcW w:w="584" w:type="dxa"/>
            <w:vAlign w:val="center"/>
          </w:tcPr>
          <w:p w14:paraId="04E748E9" w14:textId="77777777" w:rsidR="00F81843" w:rsidRPr="00E803CA" w:rsidRDefault="00F81843" w:rsidP="00F81843">
            <w:pPr>
              <w:jc w:val="right"/>
              <w:rPr>
                <w:sz w:val="22"/>
                <w:szCs w:val="22"/>
              </w:rPr>
            </w:pPr>
          </w:p>
        </w:tc>
        <w:tc>
          <w:tcPr>
            <w:tcW w:w="1476" w:type="dxa"/>
            <w:vAlign w:val="center"/>
          </w:tcPr>
          <w:p w14:paraId="37E4C632" w14:textId="73BEAB30" w:rsidR="00F81843" w:rsidRPr="00E803CA" w:rsidRDefault="00D86A6C" w:rsidP="00F81843">
            <w:pPr>
              <w:jc w:val="right"/>
              <w:rPr>
                <w:sz w:val="22"/>
                <w:szCs w:val="22"/>
              </w:rPr>
            </w:pPr>
            <w:r>
              <w:rPr>
                <w:sz w:val="22"/>
                <w:szCs w:val="22"/>
              </w:rPr>
              <w:t>3,967</w:t>
            </w:r>
          </w:p>
        </w:tc>
        <w:tc>
          <w:tcPr>
            <w:tcW w:w="584" w:type="dxa"/>
            <w:vAlign w:val="center"/>
          </w:tcPr>
          <w:p w14:paraId="5E9444CD" w14:textId="77777777" w:rsidR="00F81843" w:rsidRPr="00E803CA" w:rsidRDefault="00F81843" w:rsidP="00F81843">
            <w:pPr>
              <w:jc w:val="right"/>
              <w:rPr>
                <w:sz w:val="22"/>
                <w:szCs w:val="22"/>
              </w:rPr>
            </w:pPr>
          </w:p>
        </w:tc>
        <w:tc>
          <w:tcPr>
            <w:tcW w:w="1288" w:type="dxa"/>
            <w:vAlign w:val="center"/>
          </w:tcPr>
          <w:p w14:paraId="7920681A" w14:textId="2794B591" w:rsidR="00F81843" w:rsidRPr="002D5556" w:rsidRDefault="00F81843" w:rsidP="00F81843">
            <w:pPr>
              <w:jc w:val="right"/>
              <w:rPr>
                <w:sz w:val="22"/>
                <w:szCs w:val="22"/>
              </w:rPr>
            </w:pPr>
            <w:r w:rsidRPr="00E803CA">
              <w:rPr>
                <w:sz w:val="22"/>
                <w:szCs w:val="22"/>
              </w:rPr>
              <w:t>6,645</w:t>
            </w:r>
          </w:p>
        </w:tc>
      </w:tr>
      <w:tr w:rsidR="00F81843" w:rsidRPr="002D5556" w14:paraId="10007225" w14:textId="77777777" w:rsidTr="001B5121">
        <w:trPr>
          <w:trHeight w:val="343"/>
        </w:trPr>
        <w:tc>
          <w:tcPr>
            <w:tcW w:w="4677" w:type="dxa"/>
          </w:tcPr>
          <w:p w14:paraId="0FD15E74" w14:textId="77777777" w:rsidR="00F81843" w:rsidRPr="002D5556" w:rsidRDefault="00F81843" w:rsidP="00F81843">
            <w:pPr>
              <w:rPr>
                <w:sz w:val="22"/>
                <w:szCs w:val="22"/>
              </w:rPr>
            </w:pPr>
          </w:p>
        </w:tc>
        <w:tc>
          <w:tcPr>
            <w:tcW w:w="584" w:type="dxa"/>
            <w:vAlign w:val="center"/>
          </w:tcPr>
          <w:p w14:paraId="6026934A" w14:textId="77777777" w:rsidR="00F81843" w:rsidRPr="00F031D5" w:rsidRDefault="00F81843" w:rsidP="00F81843">
            <w:pPr>
              <w:jc w:val="right"/>
              <w:rPr>
                <w:sz w:val="22"/>
                <w:szCs w:val="22"/>
              </w:rPr>
            </w:pPr>
          </w:p>
        </w:tc>
        <w:tc>
          <w:tcPr>
            <w:tcW w:w="1476" w:type="dxa"/>
            <w:tcBorders>
              <w:top w:val="single" w:sz="4" w:space="0" w:color="auto"/>
              <w:bottom w:val="single" w:sz="4" w:space="0" w:color="auto"/>
            </w:tcBorders>
            <w:vAlign w:val="center"/>
          </w:tcPr>
          <w:p w14:paraId="42ED6090" w14:textId="2DE0AB86" w:rsidR="00F81843" w:rsidRPr="00F031D5" w:rsidRDefault="00D86A6C" w:rsidP="00F81843">
            <w:pPr>
              <w:jc w:val="right"/>
              <w:rPr>
                <w:sz w:val="22"/>
                <w:szCs w:val="22"/>
              </w:rPr>
            </w:pPr>
            <w:r>
              <w:rPr>
                <w:sz w:val="22"/>
                <w:szCs w:val="22"/>
              </w:rPr>
              <w:t>176,35</w:t>
            </w:r>
            <w:r w:rsidR="00980A10">
              <w:rPr>
                <w:sz w:val="22"/>
                <w:szCs w:val="22"/>
              </w:rPr>
              <w:t>2</w:t>
            </w:r>
          </w:p>
        </w:tc>
        <w:tc>
          <w:tcPr>
            <w:tcW w:w="584" w:type="dxa"/>
            <w:vAlign w:val="center"/>
          </w:tcPr>
          <w:p w14:paraId="279E569F" w14:textId="77777777" w:rsidR="00F81843" w:rsidRPr="002D5556" w:rsidRDefault="00F81843" w:rsidP="00F81843">
            <w:pPr>
              <w:jc w:val="right"/>
              <w:rPr>
                <w:sz w:val="22"/>
                <w:szCs w:val="22"/>
              </w:rPr>
            </w:pPr>
          </w:p>
        </w:tc>
        <w:tc>
          <w:tcPr>
            <w:tcW w:w="1288" w:type="dxa"/>
            <w:tcBorders>
              <w:top w:val="single" w:sz="4" w:space="0" w:color="auto"/>
              <w:bottom w:val="single" w:sz="4" w:space="0" w:color="auto"/>
            </w:tcBorders>
            <w:vAlign w:val="center"/>
          </w:tcPr>
          <w:p w14:paraId="006DD13B" w14:textId="7EA1766D" w:rsidR="00F81843" w:rsidRPr="002D5556" w:rsidRDefault="00F81843" w:rsidP="00F81843">
            <w:pPr>
              <w:jc w:val="right"/>
              <w:rPr>
                <w:sz w:val="22"/>
                <w:szCs w:val="22"/>
              </w:rPr>
            </w:pPr>
            <w:r>
              <w:rPr>
                <w:sz w:val="22"/>
                <w:szCs w:val="22"/>
              </w:rPr>
              <w:t>168,917</w:t>
            </w:r>
          </w:p>
        </w:tc>
      </w:tr>
    </w:tbl>
    <w:p w14:paraId="10F18568" w14:textId="77777777" w:rsidR="00D172A4" w:rsidRDefault="00D172A4" w:rsidP="00D172A4">
      <w:pPr>
        <w:pStyle w:val="BodyText"/>
        <w:jc w:val="both"/>
        <w:rPr>
          <w:b/>
          <w:bCs/>
          <w:sz w:val="24"/>
        </w:rPr>
      </w:pPr>
    </w:p>
    <w:p w14:paraId="01EB4649" w14:textId="77777777" w:rsidR="00D172A4" w:rsidRDefault="00D172A4" w:rsidP="00D172A4">
      <w:pPr>
        <w:pStyle w:val="BodyText"/>
        <w:jc w:val="both"/>
        <w:rPr>
          <w:b/>
          <w:bCs/>
          <w:sz w:val="24"/>
        </w:rPr>
      </w:pPr>
    </w:p>
    <w:p w14:paraId="67152CDD" w14:textId="77777777" w:rsidR="008E5E91" w:rsidRDefault="008E5E91">
      <w:pPr>
        <w:rPr>
          <w:b/>
          <w:bCs/>
          <w:sz w:val="22"/>
          <w:szCs w:val="22"/>
        </w:rPr>
      </w:pPr>
      <w:r>
        <w:rPr>
          <w:b/>
          <w:bCs/>
          <w:sz w:val="22"/>
          <w:szCs w:val="22"/>
        </w:rPr>
        <w:br w:type="page"/>
      </w:r>
    </w:p>
    <w:p w14:paraId="65F13E9C" w14:textId="2BB8E225" w:rsidR="00D172A4" w:rsidRPr="0072162D" w:rsidRDefault="00D172A4" w:rsidP="00D172A4">
      <w:pPr>
        <w:pStyle w:val="BodyText"/>
        <w:jc w:val="both"/>
        <w:rPr>
          <w:b/>
          <w:bCs/>
          <w:sz w:val="22"/>
          <w:szCs w:val="22"/>
        </w:rPr>
      </w:pPr>
      <w:r w:rsidRPr="0072162D">
        <w:rPr>
          <w:b/>
          <w:bCs/>
          <w:sz w:val="22"/>
          <w:szCs w:val="22"/>
        </w:rPr>
        <w:lastRenderedPageBreak/>
        <w:t>NOTES TO THE FINANCIAL STATEMENTS FOR THE YEAR ENDED 31 MARCH 202</w:t>
      </w:r>
      <w:r w:rsidR="00B45C26">
        <w:rPr>
          <w:b/>
          <w:bCs/>
          <w:sz w:val="22"/>
          <w:szCs w:val="22"/>
        </w:rPr>
        <w:t>4</w:t>
      </w:r>
      <w:r w:rsidRPr="0072162D">
        <w:rPr>
          <w:b/>
          <w:bCs/>
          <w:sz w:val="22"/>
          <w:szCs w:val="22"/>
        </w:rPr>
        <w:t xml:space="preserve"> (continued)</w:t>
      </w:r>
    </w:p>
    <w:p w14:paraId="2DD40343" w14:textId="77777777" w:rsidR="00703632" w:rsidRPr="0072162D" w:rsidRDefault="00703632" w:rsidP="00D172A4">
      <w:pPr>
        <w:pStyle w:val="BodyText"/>
        <w:jc w:val="both"/>
        <w:rPr>
          <w:b/>
          <w:bCs/>
          <w:sz w:val="22"/>
          <w:szCs w:val="22"/>
        </w:rPr>
      </w:pPr>
    </w:p>
    <w:p w14:paraId="0F4B6B94" w14:textId="6DA4F60E" w:rsidR="00D172A4" w:rsidRDefault="00AF5224" w:rsidP="00D172A4">
      <w:pPr>
        <w:pStyle w:val="ACText"/>
        <w:rPr>
          <w:b/>
          <w:sz w:val="22"/>
          <w:szCs w:val="22"/>
        </w:rPr>
      </w:pPr>
      <w:r>
        <w:rPr>
          <w:b/>
          <w:sz w:val="22"/>
          <w:szCs w:val="22"/>
        </w:rPr>
        <w:t>20</w:t>
      </w:r>
      <w:r w:rsidR="00D172A4" w:rsidRPr="00223E50">
        <w:rPr>
          <w:b/>
          <w:sz w:val="22"/>
          <w:szCs w:val="22"/>
        </w:rPr>
        <w:t>.</w:t>
      </w:r>
      <w:r w:rsidR="00D172A4" w:rsidRPr="00223E50">
        <w:rPr>
          <w:b/>
          <w:sz w:val="22"/>
          <w:szCs w:val="22"/>
        </w:rPr>
        <w:tab/>
        <w:t xml:space="preserve">Creditors: amounts falling due after more than </w:t>
      </w:r>
      <w:r w:rsidR="00D172A4">
        <w:rPr>
          <w:b/>
          <w:sz w:val="22"/>
          <w:szCs w:val="22"/>
        </w:rPr>
        <w:t>one year (continued)</w:t>
      </w:r>
    </w:p>
    <w:p w14:paraId="549C67EA" w14:textId="77777777" w:rsidR="00D172A4" w:rsidRDefault="00D172A4" w:rsidP="00590184">
      <w:pPr>
        <w:jc w:val="both"/>
        <w:rPr>
          <w:b/>
          <w:sz w:val="22"/>
        </w:rPr>
      </w:pPr>
    </w:p>
    <w:p w14:paraId="1762E9BD" w14:textId="5A1AE3A7" w:rsidR="00590184" w:rsidRPr="00223E50" w:rsidRDefault="00590184" w:rsidP="00590184">
      <w:pPr>
        <w:jc w:val="both"/>
        <w:rPr>
          <w:b/>
          <w:sz w:val="22"/>
        </w:rPr>
      </w:pPr>
      <w:r w:rsidRPr="00223E50">
        <w:rPr>
          <w:b/>
          <w:sz w:val="22"/>
        </w:rPr>
        <w:t>Bank lending facility</w:t>
      </w:r>
    </w:p>
    <w:p w14:paraId="42761A3A" w14:textId="7398A022" w:rsidR="00EB6377" w:rsidRDefault="00962C75" w:rsidP="006C0224">
      <w:pPr>
        <w:pStyle w:val="ACText"/>
        <w:rPr>
          <w:sz w:val="22"/>
          <w:szCs w:val="22"/>
        </w:rPr>
      </w:pPr>
      <w:r w:rsidRPr="09D900A0">
        <w:rPr>
          <w:sz w:val="22"/>
          <w:szCs w:val="22"/>
        </w:rPr>
        <w:t>Borrowing</w:t>
      </w:r>
      <w:r w:rsidR="00866378" w:rsidRPr="09D900A0">
        <w:rPr>
          <w:sz w:val="22"/>
          <w:szCs w:val="22"/>
        </w:rPr>
        <w:t xml:space="preserve"> arrangements</w:t>
      </w:r>
      <w:r w:rsidR="00D96749" w:rsidRPr="09D900A0">
        <w:rPr>
          <w:sz w:val="22"/>
          <w:szCs w:val="22"/>
        </w:rPr>
        <w:t xml:space="preserve"> are</w:t>
      </w:r>
      <w:r w:rsidR="00866378" w:rsidRPr="09D900A0">
        <w:rPr>
          <w:sz w:val="22"/>
          <w:szCs w:val="22"/>
        </w:rPr>
        <w:t xml:space="preserve"> in place via a Group facility consisting of bank and capital markets debt, secured on charged properties belonging to each of the RSLs within the Wheatley Housing Group. This facility was made up of a committed facility of £</w:t>
      </w:r>
      <w:r w:rsidR="00D96749" w:rsidRPr="09D900A0">
        <w:rPr>
          <w:sz w:val="22"/>
          <w:szCs w:val="22"/>
        </w:rPr>
        <w:t>672.</w:t>
      </w:r>
      <w:r w:rsidR="00D96749">
        <w:rPr>
          <w:sz w:val="22"/>
          <w:szCs w:val="22"/>
        </w:rPr>
        <w:t>8</w:t>
      </w:r>
      <w:r w:rsidR="00D96749" w:rsidRPr="007F156C">
        <w:rPr>
          <w:sz w:val="22"/>
          <w:szCs w:val="22"/>
        </w:rPr>
        <w:t>m</w:t>
      </w:r>
      <w:r w:rsidR="00D96749" w:rsidRPr="09D900A0">
        <w:rPr>
          <w:sz w:val="22"/>
          <w:szCs w:val="22"/>
        </w:rPr>
        <w:t xml:space="preserve"> </w:t>
      </w:r>
      <w:r w:rsidR="00866378" w:rsidRPr="09D900A0">
        <w:rPr>
          <w:sz w:val="22"/>
          <w:szCs w:val="22"/>
        </w:rPr>
        <w:t>from a syndicate of commercial banks, two committed facilities totalling £270.</w:t>
      </w:r>
      <w:r w:rsidR="00D96749" w:rsidRPr="007F156C">
        <w:rPr>
          <w:sz w:val="22"/>
          <w:szCs w:val="22"/>
        </w:rPr>
        <w:t>7m</w:t>
      </w:r>
      <w:r w:rsidR="00D96749" w:rsidRPr="09D900A0">
        <w:rPr>
          <w:sz w:val="22"/>
          <w:szCs w:val="22"/>
        </w:rPr>
        <w:t xml:space="preserve"> </w:t>
      </w:r>
      <w:r w:rsidR="00866378" w:rsidRPr="09D900A0">
        <w:rPr>
          <w:sz w:val="22"/>
          <w:szCs w:val="22"/>
        </w:rPr>
        <w:t xml:space="preserve">from the European Investment Bank, £300.0m raised through the issue of a public bond, £264.0m private placement loan notes with BlackRock Real Assets and M&amp;G Investment Management, a £50.0m facility with Barclays, a £35.0m facility with RBS, and </w:t>
      </w:r>
      <w:r w:rsidR="00D96749" w:rsidRPr="09D900A0">
        <w:rPr>
          <w:sz w:val="22"/>
          <w:szCs w:val="22"/>
        </w:rPr>
        <w:t>£75</w:t>
      </w:r>
      <w:r w:rsidR="00D96749">
        <w:rPr>
          <w:sz w:val="22"/>
          <w:szCs w:val="22"/>
        </w:rPr>
        <w:t>.0</w:t>
      </w:r>
      <w:r w:rsidR="00D96749" w:rsidRPr="09D900A0">
        <w:rPr>
          <w:sz w:val="22"/>
          <w:szCs w:val="22"/>
        </w:rPr>
        <w:t xml:space="preserve">m </w:t>
      </w:r>
      <w:r w:rsidR="00866378" w:rsidRPr="09D900A0">
        <w:rPr>
          <w:sz w:val="22"/>
          <w:szCs w:val="22"/>
        </w:rPr>
        <w:t xml:space="preserve">charitable </w:t>
      </w:r>
      <w:r w:rsidR="00D96749" w:rsidRPr="09D900A0">
        <w:rPr>
          <w:sz w:val="22"/>
          <w:szCs w:val="22"/>
        </w:rPr>
        <w:t>bonds</w:t>
      </w:r>
      <w:r w:rsidR="00866378" w:rsidRPr="09D900A0">
        <w:rPr>
          <w:sz w:val="22"/>
          <w:szCs w:val="22"/>
        </w:rPr>
        <w:t xml:space="preserve"> via Allia Social Impact Investments.</w:t>
      </w:r>
      <w:r w:rsidR="00D96749" w:rsidRPr="09D900A0">
        <w:rPr>
          <w:sz w:val="22"/>
          <w:szCs w:val="22"/>
        </w:rPr>
        <w:t xml:space="preserve"> </w:t>
      </w:r>
      <w:r w:rsidR="00866378" w:rsidRPr="09D900A0">
        <w:rPr>
          <w:sz w:val="22"/>
          <w:szCs w:val="22"/>
        </w:rPr>
        <w:t xml:space="preserve"> This provided total facilities of £1,</w:t>
      </w:r>
      <w:r w:rsidR="00D96749" w:rsidRPr="09D900A0">
        <w:rPr>
          <w:sz w:val="22"/>
          <w:szCs w:val="22"/>
        </w:rPr>
        <w:t>667.</w:t>
      </w:r>
      <w:r w:rsidR="00D96749" w:rsidRPr="007F156C">
        <w:rPr>
          <w:sz w:val="22"/>
          <w:szCs w:val="22"/>
        </w:rPr>
        <w:t>5m</w:t>
      </w:r>
      <w:r w:rsidR="00D96749" w:rsidRPr="09D900A0">
        <w:rPr>
          <w:sz w:val="22"/>
          <w:szCs w:val="22"/>
        </w:rPr>
        <w:t xml:space="preserve"> </w:t>
      </w:r>
      <w:r w:rsidR="00866378" w:rsidRPr="09D900A0">
        <w:rPr>
          <w:sz w:val="22"/>
          <w:szCs w:val="22"/>
        </w:rPr>
        <w:t>for RSLs within the Wheatley Group to develop new housing</w:t>
      </w:r>
      <w:r w:rsidR="00866378">
        <w:rPr>
          <w:sz w:val="22"/>
          <w:szCs w:val="22"/>
        </w:rPr>
        <w:t>.</w:t>
      </w:r>
    </w:p>
    <w:p w14:paraId="4EA8BF43" w14:textId="00A85382" w:rsidR="006C0224" w:rsidRPr="00AC3614" w:rsidRDefault="006C0224" w:rsidP="006C0224">
      <w:pPr>
        <w:pStyle w:val="ACText"/>
        <w:rPr>
          <w:sz w:val="22"/>
          <w:szCs w:val="22"/>
        </w:rPr>
      </w:pPr>
      <w:r w:rsidRPr="00AC3614">
        <w:rPr>
          <w:sz w:val="22"/>
          <w:szCs w:val="22"/>
        </w:rPr>
        <w:t>This facility is provided through Wheatley Funding No. 1 Ltd, a wholly owned subsidiary of the Wheatley Housing Group Limited, with WH</w:t>
      </w:r>
      <w:r w:rsidR="00D303FD" w:rsidRPr="00AC3614">
        <w:rPr>
          <w:sz w:val="22"/>
          <w:szCs w:val="22"/>
        </w:rPr>
        <w:t>S</w:t>
      </w:r>
      <w:r w:rsidRPr="00AC3614">
        <w:rPr>
          <w:sz w:val="22"/>
          <w:szCs w:val="22"/>
        </w:rPr>
        <w:t xml:space="preserve"> having access to an intra-group facility of £</w:t>
      </w:r>
      <w:r w:rsidR="00160450" w:rsidRPr="00AC3614">
        <w:rPr>
          <w:sz w:val="22"/>
          <w:szCs w:val="22"/>
        </w:rPr>
        <w:t>92</w:t>
      </w:r>
      <w:r w:rsidRPr="00AC3614">
        <w:rPr>
          <w:sz w:val="22"/>
          <w:szCs w:val="22"/>
        </w:rPr>
        <w:t xml:space="preserve">.50m, secured on its housing stock. Interest in the year has been charged at </w:t>
      </w:r>
      <w:r w:rsidR="009D284F">
        <w:rPr>
          <w:sz w:val="22"/>
          <w:szCs w:val="22"/>
        </w:rPr>
        <w:t>4.73</w:t>
      </w:r>
      <w:r w:rsidRPr="00AC3614">
        <w:rPr>
          <w:sz w:val="22"/>
          <w:szCs w:val="22"/>
        </w:rPr>
        <w:t>% (202</w:t>
      </w:r>
      <w:r w:rsidR="00DC52FD" w:rsidRPr="00AC3614">
        <w:rPr>
          <w:sz w:val="22"/>
          <w:szCs w:val="22"/>
        </w:rPr>
        <w:t>3</w:t>
      </w:r>
      <w:r w:rsidRPr="00AC3614">
        <w:rPr>
          <w:sz w:val="22"/>
          <w:szCs w:val="22"/>
        </w:rPr>
        <w:t xml:space="preserve">: 4.15%). </w:t>
      </w:r>
    </w:p>
    <w:p w14:paraId="2ED4D75F" w14:textId="2EAD4A17" w:rsidR="006C0224" w:rsidRPr="006E1A35" w:rsidRDefault="006C0224" w:rsidP="006C0224">
      <w:pPr>
        <w:pStyle w:val="ACText"/>
        <w:rPr>
          <w:sz w:val="22"/>
          <w:szCs w:val="22"/>
        </w:rPr>
      </w:pPr>
      <w:r w:rsidRPr="006E1A35">
        <w:rPr>
          <w:sz w:val="22"/>
          <w:szCs w:val="22"/>
        </w:rPr>
        <w:t xml:space="preserve">WHS has a £40.0m external loan with The Housing Finance Corporation Limited (“THFC”) which is repayable in October 2043. In addition, there are four unsecured loans in place with Allia Social Impact Investments Limited, with maturity dates in December 2026, February 2028, February 2029 and March 2035.  </w:t>
      </w:r>
    </w:p>
    <w:p w14:paraId="72A248C2" w14:textId="77777777" w:rsidR="00BB1086" w:rsidRPr="00546167" w:rsidRDefault="00BB1086" w:rsidP="00BB1086">
      <w:pPr>
        <w:pStyle w:val="ACText"/>
        <w:spacing w:before="0"/>
        <w:rPr>
          <w:b/>
          <w:bCs/>
          <w:sz w:val="24"/>
        </w:rPr>
      </w:pPr>
    </w:p>
    <w:p w14:paraId="32B93D50" w14:textId="2CA96C6C" w:rsidR="003C6555" w:rsidRPr="008802DE" w:rsidRDefault="00344902" w:rsidP="00667BE3">
      <w:pPr>
        <w:jc w:val="both"/>
        <w:rPr>
          <w:color w:val="FF0000"/>
          <w:sz w:val="22"/>
        </w:rPr>
      </w:pPr>
      <w:r w:rsidRPr="00546167">
        <w:rPr>
          <w:sz w:val="22"/>
          <w:szCs w:val="22"/>
        </w:rPr>
        <w:t>Wheatley Homes South has secured a portion of its housing stock (£</w:t>
      </w:r>
      <w:r w:rsidR="00C46A10">
        <w:rPr>
          <w:sz w:val="22"/>
          <w:szCs w:val="22"/>
        </w:rPr>
        <w:t>203.3</w:t>
      </w:r>
      <w:r w:rsidRPr="00546167">
        <w:rPr>
          <w:sz w:val="22"/>
          <w:szCs w:val="22"/>
        </w:rPr>
        <w:t xml:space="preserve">m) against this </w:t>
      </w:r>
      <w:r w:rsidRPr="002F6A15">
        <w:rPr>
          <w:sz w:val="22"/>
          <w:szCs w:val="22"/>
        </w:rPr>
        <w:t>facility. At 31 March 202</w:t>
      </w:r>
      <w:r w:rsidR="00DC52FD" w:rsidRPr="002F6A15">
        <w:rPr>
          <w:sz w:val="22"/>
          <w:szCs w:val="22"/>
        </w:rPr>
        <w:t>4</w:t>
      </w:r>
      <w:r w:rsidRPr="002F6A15">
        <w:rPr>
          <w:sz w:val="22"/>
          <w:szCs w:val="22"/>
        </w:rPr>
        <w:t xml:space="preserve">, </w:t>
      </w:r>
      <w:r w:rsidR="002F6A15" w:rsidRPr="002F6A15">
        <w:rPr>
          <w:sz w:val="22"/>
          <w:szCs w:val="22"/>
        </w:rPr>
        <w:t>53</w:t>
      </w:r>
      <w:r w:rsidRPr="002F6A15">
        <w:rPr>
          <w:sz w:val="22"/>
          <w:szCs w:val="22"/>
        </w:rPr>
        <w:t>% (£22</w:t>
      </w:r>
      <w:r w:rsidR="002F6A15" w:rsidRPr="002F6A15">
        <w:rPr>
          <w:sz w:val="22"/>
          <w:szCs w:val="22"/>
        </w:rPr>
        <w:t>7</w:t>
      </w:r>
      <w:r w:rsidRPr="002F6A15">
        <w:rPr>
          <w:sz w:val="22"/>
          <w:szCs w:val="22"/>
        </w:rPr>
        <w:t xml:space="preserve">.1m) of WH </w:t>
      </w:r>
      <w:r w:rsidR="00FE6D81" w:rsidRPr="002F6A15">
        <w:rPr>
          <w:sz w:val="22"/>
          <w:szCs w:val="22"/>
        </w:rPr>
        <w:t>South’s</w:t>
      </w:r>
      <w:r w:rsidRPr="002F6A15">
        <w:rPr>
          <w:sz w:val="22"/>
          <w:szCs w:val="22"/>
        </w:rPr>
        <w:t xml:space="preserve"> housing properties remained unsecured.</w:t>
      </w:r>
    </w:p>
    <w:p w14:paraId="0D30A526" w14:textId="77777777" w:rsidR="00344902" w:rsidRDefault="00344902" w:rsidP="00667BE3">
      <w:pPr>
        <w:jc w:val="both"/>
        <w:rPr>
          <w:sz w:val="22"/>
        </w:rPr>
      </w:pPr>
    </w:p>
    <w:p w14:paraId="489EF22A" w14:textId="4E938A62" w:rsidR="00B97EBE" w:rsidRPr="00223E50" w:rsidRDefault="00590184" w:rsidP="00667BE3">
      <w:pPr>
        <w:jc w:val="both"/>
        <w:rPr>
          <w:sz w:val="22"/>
        </w:rPr>
      </w:pPr>
      <w:r w:rsidRPr="00223E50">
        <w:rPr>
          <w:sz w:val="22"/>
        </w:rPr>
        <w:t>Borrowings are repayable as follows</w:t>
      </w:r>
    </w:p>
    <w:tbl>
      <w:tblPr>
        <w:tblW w:w="9205" w:type="dxa"/>
        <w:tblLayout w:type="fixed"/>
        <w:tblLook w:val="04A0" w:firstRow="1" w:lastRow="0" w:firstColumn="1" w:lastColumn="0" w:noHBand="0" w:noVBand="1"/>
      </w:tblPr>
      <w:tblGrid>
        <w:gridCol w:w="4256"/>
        <w:gridCol w:w="1199"/>
        <w:gridCol w:w="1174"/>
        <w:gridCol w:w="1305"/>
        <w:gridCol w:w="236"/>
        <w:gridCol w:w="1035"/>
      </w:tblGrid>
      <w:tr w:rsidR="00B97EBE" w:rsidRPr="00223E50" w14:paraId="2DA42D6A" w14:textId="77777777" w:rsidTr="008B4AC7">
        <w:trPr>
          <w:trHeight w:val="301"/>
        </w:trPr>
        <w:tc>
          <w:tcPr>
            <w:tcW w:w="4256" w:type="dxa"/>
            <w:tcBorders>
              <w:top w:val="nil"/>
              <w:left w:val="nil"/>
              <w:bottom w:val="nil"/>
              <w:right w:val="nil"/>
            </w:tcBorders>
            <w:shd w:val="clear" w:color="auto" w:fill="auto"/>
            <w:noWrap/>
            <w:vAlign w:val="center"/>
          </w:tcPr>
          <w:p w14:paraId="14BD2188" w14:textId="77777777" w:rsidR="00B97EBE" w:rsidRPr="00223E50" w:rsidRDefault="00B97EBE" w:rsidP="00D25AEE">
            <w:pPr>
              <w:jc w:val="right"/>
              <w:rPr>
                <w:b/>
                <w:bCs/>
                <w:sz w:val="22"/>
                <w:szCs w:val="22"/>
              </w:rPr>
            </w:pPr>
          </w:p>
        </w:tc>
        <w:tc>
          <w:tcPr>
            <w:tcW w:w="1199" w:type="dxa"/>
            <w:tcBorders>
              <w:top w:val="nil"/>
              <w:left w:val="nil"/>
              <w:bottom w:val="nil"/>
              <w:right w:val="nil"/>
            </w:tcBorders>
            <w:shd w:val="clear" w:color="auto" w:fill="auto"/>
            <w:noWrap/>
            <w:vAlign w:val="center"/>
          </w:tcPr>
          <w:p w14:paraId="36BC23F1" w14:textId="77777777" w:rsidR="00B97EBE" w:rsidRPr="00223E50" w:rsidRDefault="00B97EBE" w:rsidP="00D25AEE">
            <w:pPr>
              <w:jc w:val="right"/>
              <w:rPr>
                <w:b/>
                <w:bCs/>
                <w:sz w:val="22"/>
                <w:szCs w:val="22"/>
              </w:rPr>
            </w:pPr>
          </w:p>
        </w:tc>
        <w:tc>
          <w:tcPr>
            <w:tcW w:w="1174" w:type="dxa"/>
            <w:tcBorders>
              <w:top w:val="nil"/>
              <w:left w:val="nil"/>
              <w:bottom w:val="nil"/>
              <w:right w:val="nil"/>
            </w:tcBorders>
            <w:shd w:val="clear" w:color="auto" w:fill="auto"/>
            <w:noWrap/>
            <w:vAlign w:val="center"/>
          </w:tcPr>
          <w:p w14:paraId="6ABB9D9B" w14:textId="77777777" w:rsidR="00B97EBE" w:rsidRPr="00223E50" w:rsidRDefault="00B97EBE" w:rsidP="00D25AEE">
            <w:pPr>
              <w:jc w:val="right"/>
              <w:rPr>
                <w:b/>
                <w:bCs/>
                <w:sz w:val="22"/>
                <w:szCs w:val="22"/>
              </w:rPr>
            </w:pPr>
          </w:p>
        </w:tc>
        <w:tc>
          <w:tcPr>
            <w:tcW w:w="1305" w:type="dxa"/>
            <w:tcBorders>
              <w:top w:val="nil"/>
              <w:left w:val="nil"/>
              <w:bottom w:val="nil"/>
              <w:right w:val="nil"/>
            </w:tcBorders>
            <w:shd w:val="clear" w:color="auto" w:fill="auto"/>
            <w:noWrap/>
            <w:vAlign w:val="center"/>
          </w:tcPr>
          <w:p w14:paraId="45EFA5E2" w14:textId="5D34C914" w:rsidR="00C168B8" w:rsidRPr="00C001EE" w:rsidRDefault="00816C57" w:rsidP="008B4AC7">
            <w:pPr>
              <w:jc w:val="right"/>
              <w:rPr>
                <w:b/>
                <w:bCs/>
                <w:sz w:val="22"/>
                <w:szCs w:val="22"/>
              </w:rPr>
            </w:pPr>
            <w:r w:rsidRPr="00C001EE">
              <w:rPr>
                <w:b/>
                <w:bCs/>
                <w:sz w:val="22"/>
                <w:szCs w:val="22"/>
              </w:rPr>
              <w:t>20</w:t>
            </w:r>
            <w:r w:rsidR="00A16AF9">
              <w:rPr>
                <w:b/>
                <w:bCs/>
                <w:sz w:val="22"/>
                <w:szCs w:val="22"/>
              </w:rPr>
              <w:t>2</w:t>
            </w:r>
            <w:r w:rsidR="00FD1C6D">
              <w:rPr>
                <w:b/>
                <w:bCs/>
                <w:sz w:val="22"/>
                <w:szCs w:val="22"/>
              </w:rPr>
              <w:t>4</w:t>
            </w:r>
          </w:p>
        </w:tc>
        <w:tc>
          <w:tcPr>
            <w:tcW w:w="236" w:type="dxa"/>
            <w:tcBorders>
              <w:top w:val="nil"/>
              <w:left w:val="nil"/>
              <w:bottom w:val="nil"/>
              <w:right w:val="nil"/>
            </w:tcBorders>
            <w:vAlign w:val="center"/>
          </w:tcPr>
          <w:p w14:paraId="15BB9623" w14:textId="77777777" w:rsidR="00B97EBE" w:rsidRPr="00C001EE" w:rsidRDefault="00B97EBE" w:rsidP="00590184">
            <w:pPr>
              <w:jc w:val="right"/>
              <w:rPr>
                <w:b/>
                <w:bCs/>
                <w:sz w:val="22"/>
                <w:szCs w:val="22"/>
              </w:rPr>
            </w:pPr>
          </w:p>
        </w:tc>
        <w:tc>
          <w:tcPr>
            <w:tcW w:w="1035" w:type="dxa"/>
            <w:tcBorders>
              <w:top w:val="nil"/>
              <w:left w:val="nil"/>
              <w:bottom w:val="nil"/>
              <w:right w:val="nil"/>
            </w:tcBorders>
            <w:shd w:val="clear" w:color="auto" w:fill="auto"/>
            <w:noWrap/>
            <w:vAlign w:val="center"/>
          </w:tcPr>
          <w:p w14:paraId="13AB4C8B" w14:textId="6B6BDA9C" w:rsidR="00C168B8" w:rsidRPr="00C001EE" w:rsidRDefault="00A16AF9" w:rsidP="008B4AC7">
            <w:pPr>
              <w:jc w:val="right"/>
              <w:rPr>
                <w:b/>
                <w:bCs/>
                <w:sz w:val="22"/>
                <w:szCs w:val="22"/>
              </w:rPr>
            </w:pPr>
            <w:r>
              <w:rPr>
                <w:b/>
                <w:bCs/>
                <w:sz w:val="22"/>
                <w:szCs w:val="22"/>
              </w:rPr>
              <w:t>202</w:t>
            </w:r>
            <w:r w:rsidR="00FD1C6D">
              <w:rPr>
                <w:b/>
                <w:bCs/>
                <w:sz w:val="22"/>
                <w:szCs w:val="22"/>
              </w:rPr>
              <w:t>3</w:t>
            </w:r>
          </w:p>
        </w:tc>
      </w:tr>
      <w:tr w:rsidR="00B97EBE" w:rsidRPr="00223E50" w14:paraId="0EB81439" w14:textId="77777777" w:rsidTr="008B4AC7">
        <w:trPr>
          <w:trHeight w:val="301"/>
        </w:trPr>
        <w:tc>
          <w:tcPr>
            <w:tcW w:w="4256" w:type="dxa"/>
            <w:tcBorders>
              <w:top w:val="nil"/>
              <w:left w:val="nil"/>
              <w:bottom w:val="nil"/>
              <w:right w:val="nil"/>
            </w:tcBorders>
            <w:shd w:val="clear" w:color="auto" w:fill="auto"/>
            <w:noWrap/>
            <w:vAlign w:val="center"/>
            <w:hideMark/>
          </w:tcPr>
          <w:p w14:paraId="0E6F08D6" w14:textId="77777777" w:rsidR="00B97EBE" w:rsidRPr="00223E50" w:rsidRDefault="00B97EBE" w:rsidP="00D25AEE">
            <w:pPr>
              <w:jc w:val="right"/>
              <w:rPr>
                <w:b/>
                <w:bCs/>
                <w:sz w:val="22"/>
                <w:szCs w:val="22"/>
              </w:rPr>
            </w:pPr>
          </w:p>
        </w:tc>
        <w:tc>
          <w:tcPr>
            <w:tcW w:w="1199" w:type="dxa"/>
            <w:tcBorders>
              <w:top w:val="nil"/>
              <w:left w:val="nil"/>
              <w:bottom w:val="nil"/>
              <w:right w:val="nil"/>
            </w:tcBorders>
            <w:shd w:val="clear" w:color="auto" w:fill="auto"/>
            <w:noWrap/>
            <w:vAlign w:val="center"/>
            <w:hideMark/>
          </w:tcPr>
          <w:p w14:paraId="54B2BE9A" w14:textId="77777777" w:rsidR="00B97EBE" w:rsidRPr="00223E50" w:rsidRDefault="00B97EBE" w:rsidP="00D25AEE">
            <w:pPr>
              <w:jc w:val="right"/>
              <w:rPr>
                <w:b/>
                <w:bCs/>
                <w:sz w:val="22"/>
                <w:szCs w:val="22"/>
              </w:rPr>
            </w:pPr>
          </w:p>
        </w:tc>
        <w:tc>
          <w:tcPr>
            <w:tcW w:w="1174" w:type="dxa"/>
            <w:tcBorders>
              <w:top w:val="nil"/>
              <w:left w:val="nil"/>
              <w:bottom w:val="nil"/>
              <w:right w:val="nil"/>
            </w:tcBorders>
            <w:shd w:val="clear" w:color="auto" w:fill="auto"/>
            <w:noWrap/>
            <w:vAlign w:val="center"/>
            <w:hideMark/>
          </w:tcPr>
          <w:p w14:paraId="6846F103" w14:textId="77777777" w:rsidR="00B97EBE" w:rsidRPr="00223E50" w:rsidRDefault="00B97EBE" w:rsidP="00D25AEE">
            <w:pPr>
              <w:jc w:val="right"/>
              <w:rPr>
                <w:b/>
                <w:bCs/>
                <w:sz w:val="22"/>
                <w:szCs w:val="22"/>
              </w:rPr>
            </w:pPr>
          </w:p>
        </w:tc>
        <w:tc>
          <w:tcPr>
            <w:tcW w:w="1305" w:type="dxa"/>
            <w:tcBorders>
              <w:top w:val="nil"/>
              <w:left w:val="nil"/>
              <w:bottom w:val="nil"/>
              <w:right w:val="nil"/>
            </w:tcBorders>
            <w:shd w:val="clear" w:color="auto" w:fill="auto"/>
            <w:noWrap/>
            <w:vAlign w:val="center"/>
            <w:hideMark/>
          </w:tcPr>
          <w:p w14:paraId="0498DC7B" w14:textId="77777777" w:rsidR="00B97EBE" w:rsidRPr="00C001EE" w:rsidRDefault="00B97EBE" w:rsidP="00590184">
            <w:pPr>
              <w:jc w:val="right"/>
              <w:rPr>
                <w:b/>
                <w:bCs/>
                <w:sz w:val="22"/>
                <w:szCs w:val="22"/>
              </w:rPr>
            </w:pPr>
            <w:r w:rsidRPr="00C001EE">
              <w:rPr>
                <w:b/>
                <w:bCs/>
                <w:sz w:val="22"/>
                <w:szCs w:val="22"/>
              </w:rPr>
              <w:t>£’000</w:t>
            </w:r>
          </w:p>
        </w:tc>
        <w:tc>
          <w:tcPr>
            <w:tcW w:w="236" w:type="dxa"/>
            <w:tcBorders>
              <w:top w:val="nil"/>
              <w:left w:val="nil"/>
              <w:bottom w:val="nil"/>
              <w:right w:val="nil"/>
            </w:tcBorders>
            <w:vAlign w:val="center"/>
          </w:tcPr>
          <w:p w14:paraId="774F0CBC" w14:textId="77777777" w:rsidR="00B97EBE" w:rsidRPr="00C001EE" w:rsidRDefault="00B97EBE" w:rsidP="00590184">
            <w:pPr>
              <w:jc w:val="right"/>
              <w:rPr>
                <w:b/>
                <w:bCs/>
                <w:sz w:val="22"/>
                <w:szCs w:val="22"/>
              </w:rPr>
            </w:pPr>
          </w:p>
        </w:tc>
        <w:tc>
          <w:tcPr>
            <w:tcW w:w="1035" w:type="dxa"/>
            <w:tcBorders>
              <w:top w:val="nil"/>
              <w:left w:val="nil"/>
              <w:bottom w:val="nil"/>
              <w:right w:val="nil"/>
            </w:tcBorders>
            <w:shd w:val="clear" w:color="auto" w:fill="auto"/>
            <w:noWrap/>
            <w:vAlign w:val="center"/>
            <w:hideMark/>
          </w:tcPr>
          <w:p w14:paraId="2EA86F06" w14:textId="77777777" w:rsidR="00B97EBE" w:rsidRPr="00C001EE" w:rsidRDefault="00B97EBE" w:rsidP="00590184">
            <w:pPr>
              <w:jc w:val="right"/>
              <w:rPr>
                <w:b/>
                <w:bCs/>
                <w:sz w:val="22"/>
                <w:szCs w:val="22"/>
              </w:rPr>
            </w:pPr>
            <w:r w:rsidRPr="00C001EE">
              <w:rPr>
                <w:b/>
                <w:bCs/>
                <w:sz w:val="22"/>
                <w:szCs w:val="22"/>
              </w:rPr>
              <w:t>£’000</w:t>
            </w:r>
          </w:p>
        </w:tc>
      </w:tr>
      <w:tr w:rsidR="00342E38" w:rsidRPr="00223E50" w14:paraId="5D68D653" w14:textId="77777777" w:rsidTr="008B4AC7">
        <w:trPr>
          <w:trHeight w:val="301"/>
        </w:trPr>
        <w:tc>
          <w:tcPr>
            <w:tcW w:w="4256" w:type="dxa"/>
            <w:tcBorders>
              <w:top w:val="nil"/>
              <w:left w:val="nil"/>
              <w:bottom w:val="nil"/>
              <w:right w:val="nil"/>
            </w:tcBorders>
            <w:shd w:val="clear" w:color="auto" w:fill="auto"/>
            <w:noWrap/>
            <w:vAlign w:val="center"/>
            <w:hideMark/>
          </w:tcPr>
          <w:p w14:paraId="46EC766B" w14:textId="77777777" w:rsidR="00342E38" w:rsidRPr="00223E50" w:rsidRDefault="00342E38" w:rsidP="00342E38">
            <w:pPr>
              <w:rPr>
                <w:sz w:val="22"/>
                <w:szCs w:val="22"/>
              </w:rPr>
            </w:pPr>
            <w:r w:rsidRPr="00223E50">
              <w:rPr>
                <w:sz w:val="22"/>
                <w:szCs w:val="22"/>
              </w:rPr>
              <w:t>In less than one year</w:t>
            </w:r>
          </w:p>
        </w:tc>
        <w:tc>
          <w:tcPr>
            <w:tcW w:w="1199" w:type="dxa"/>
            <w:tcBorders>
              <w:top w:val="nil"/>
              <w:left w:val="nil"/>
              <w:bottom w:val="nil"/>
              <w:right w:val="nil"/>
            </w:tcBorders>
            <w:shd w:val="clear" w:color="auto" w:fill="auto"/>
            <w:noWrap/>
            <w:vAlign w:val="center"/>
            <w:hideMark/>
          </w:tcPr>
          <w:p w14:paraId="7887CB0C" w14:textId="77777777" w:rsidR="00342E38" w:rsidRPr="00223E50" w:rsidRDefault="00342E38" w:rsidP="00342E38">
            <w:pPr>
              <w:jc w:val="right"/>
              <w:rPr>
                <w:b/>
                <w:bCs/>
                <w:sz w:val="22"/>
                <w:szCs w:val="22"/>
              </w:rPr>
            </w:pPr>
          </w:p>
        </w:tc>
        <w:tc>
          <w:tcPr>
            <w:tcW w:w="1174" w:type="dxa"/>
            <w:tcBorders>
              <w:top w:val="nil"/>
              <w:left w:val="nil"/>
              <w:bottom w:val="nil"/>
              <w:right w:val="nil"/>
            </w:tcBorders>
            <w:shd w:val="clear" w:color="auto" w:fill="auto"/>
            <w:noWrap/>
            <w:vAlign w:val="center"/>
            <w:hideMark/>
          </w:tcPr>
          <w:p w14:paraId="0C8585F2" w14:textId="77777777" w:rsidR="00342E38" w:rsidRPr="00223E50" w:rsidRDefault="00342E38" w:rsidP="00342E38">
            <w:pPr>
              <w:jc w:val="right"/>
              <w:rPr>
                <w:b/>
                <w:bCs/>
                <w:sz w:val="22"/>
                <w:szCs w:val="22"/>
              </w:rPr>
            </w:pPr>
          </w:p>
        </w:tc>
        <w:tc>
          <w:tcPr>
            <w:tcW w:w="1305" w:type="dxa"/>
            <w:tcBorders>
              <w:top w:val="nil"/>
              <w:left w:val="nil"/>
              <w:bottom w:val="nil"/>
              <w:right w:val="nil"/>
            </w:tcBorders>
            <w:shd w:val="clear" w:color="auto" w:fill="auto"/>
            <w:noWrap/>
            <w:vAlign w:val="center"/>
          </w:tcPr>
          <w:p w14:paraId="79704EAE" w14:textId="12A8C2BE" w:rsidR="00342E38" w:rsidRPr="00C001EE" w:rsidRDefault="003D7CB2" w:rsidP="00342E38">
            <w:pPr>
              <w:jc w:val="right"/>
              <w:rPr>
                <w:sz w:val="22"/>
                <w:szCs w:val="22"/>
              </w:rPr>
            </w:pPr>
            <w:r>
              <w:rPr>
                <w:sz w:val="22"/>
                <w:szCs w:val="22"/>
              </w:rPr>
              <w:t>-</w:t>
            </w:r>
          </w:p>
        </w:tc>
        <w:tc>
          <w:tcPr>
            <w:tcW w:w="236" w:type="dxa"/>
            <w:tcBorders>
              <w:top w:val="nil"/>
              <w:left w:val="nil"/>
              <w:bottom w:val="nil"/>
              <w:right w:val="nil"/>
            </w:tcBorders>
            <w:vAlign w:val="center"/>
          </w:tcPr>
          <w:p w14:paraId="64876B22" w14:textId="1335453B" w:rsidR="00342E38" w:rsidRPr="00C001EE" w:rsidRDefault="00342E38" w:rsidP="00342E38">
            <w:pPr>
              <w:jc w:val="right"/>
              <w:rPr>
                <w:sz w:val="22"/>
                <w:szCs w:val="22"/>
              </w:rPr>
            </w:pPr>
          </w:p>
        </w:tc>
        <w:tc>
          <w:tcPr>
            <w:tcW w:w="1035" w:type="dxa"/>
            <w:tcBorders>
              <w:top w:val="nil"/>
              <w:left w:val="nil"/>
              <w:bottom w:val="nil"/>
              <w:right w:val="nil"/>
            </w:tcBorders>
            <w:shd w:val="clear" w:color="auto" w:fill="auto"/>
            <w:noWrap/>
            <w:vAlign w:val="center"/>
          </w:tcPr>
          <w:p w14:paraId="3A25F65B" w14:textId="27ACE843" w:rsidR="00342E38" w:rsidRPr="00C001EE" w:rsidRDefault="00342E38" w:rsidP="00342E38">
            <w:pPr>
              <w:jc w:val="right"/>
              <w:rPr>
                <w:sz w:val="22"/>
                <w:szCs w:val="22"/>
              </w:rPr>
            </w:pPr>
            <w:r>
              <w:rPr>
                <w:sz w:val="22"/>
                <w:szCs w:val="22"/>
              </w:rPr>
              <w:t>-</w:t>
            </w:r>
          </w:p>
        </w:tc>
      </w:tr>
      <w:tr w:rsidR="00342E38" w:rsidRPr="00223E50" w14:paraId="2A7D3F07" w14:textId="77777777" w:rsidTr="008B4AC7">
        <w:trPr>
          <w:trHeight w:val="301"/>
        </w:trPr>
        <w:tc>
          <w:tcPr>
            <w:tcW w:w="5455" w:type="dxa"/>
            <w:gridSpan w:val="2"/>
            <w:tcBorders>
              <w:top w:val="nil"/>
              <w:left w:val="nil"/>
              <w:bottom w:val="nil"/>
              <w:right w:val="nil"/>
            </w:tcBorders>
            <w:shd w:val="clear" w:color="auto" w:fill="auto"/>
            <w:noWrap/>
            <w:vAlign w:val="center"/>
            <w:hideMark/>
          </w:tcPr>
          <w:p w14:paraId="19F3231E" w14:textId="77777777" w:rsidR="00342E38" w:rsidRPr="00223E50" w:rsidRDefault="00342E38" w:rsidP="00342E38">
            <w:pPr>
              <w:rPr>
                <w:sz w:val="22"/>
                <w:szCs w:val="22"/>
              </w:rPr>
            </w:pPr>
            <w:r w:rsidRPr="00223E50">
              <w:rPr>
                <w:sz w:val="22"/>
                <w:szCs w:val="22"/>
              </w:rPr>
              <w:t xml:space="preserve">In more than one year but less than </w:t>
            </w:r>
            <w:r>
              <w:rPr>
                <w:sz w:val="22"/>
                <w:szCs w:val="22"/>
              </w:rPr>
              <w:t>five</w:t>
            </w:r>
            <w:r w:rsidRPr="00223E50">
              <w:rPr>
                <w:sz w:val="22"/>
                <w:szCs w:val="22"/>
              </w:rPr>
              <w:t xml:space="preserve"> years</w:t>
            </w:r>
          </w:p>
        </w:tc>
        <w:tc>
          <w:tcPr>
            <w:tcW w:w="1174" w:type="dxa"/>
            <w:tcBorders>
              <w:top w:val="nil"/>
              <w:left w:val="nil"/>
              <w:right w:val="nil"/>
            </w:tcBorders>
            <w:shd w:val="clear" w:color="auto" w:fill="auto"/>
            <w:noWrap/>
            <w:vAlign w:val="center"/>
            <w:hideMark/>
          </w:tcPr>
          <w:p w14:paraId="1F96FE22" w14:textId="77777777" w:rsidR="00342E38" w:rsidRPr="00223E50" w:rsidRDefault="00342E38" w:rsidP="00342E38">
            <w:pPr>
              <w:jc w:val="right"/>
              <w:rPr>
                <w:sz w:val="22"/>
                <w:szCs w:val="22"/>
              </w:rPr>
            </w:pPr>
          </w:p>
        </w:tc>
        <w:tc>
          <w:tcPr>
            <w:tcW w:w="1305" w:type="dxa"/>
            <w:tcBorders>
              <w:top w:val="nil"/>
              <w:left w:val="nil"/>
              <w:right w:val="nil"/>
            </w:tcBorders>
            <w:shd w:val="clear" w:color="auto" w:fill="auto"/>
            <w:noWrap/>
            <w:vAlign w:val="center"/>
          </w:tcPr>
          <w:p w14:paraId="7EA015B8" w14:textId="5F831F7D" w:rsidR="00342E38" w:rsidRPr="00C001EE" w:rsidRDefault="00E67575" w:rsidP="00342E38">
            <w:pPr>
              <w:jc w:val="right"/>
              <w:rPr>
                <w:sz w:val="22"/>
                <w:szCs w:val="22"/>
              </w:rPr>
            </w:pPr>
            <w:r>
              <w:rPr>
                <w:sz w:val="22"/>
                <w:szCs w:val="22"/>
              </w:rPr>
              <w:t>14,118</w:t>
            </w:r>
          </w:p>
        </w:tc>
        <w:tc>
          <w:tcPr>
            <w:tcW w:w="236" w:type="dxa"/>
            <w:tcBorders>
              <w:top w:val="nil"/>
              <w:left w:val="nil"/>
              <w:right w:val="nil"/>
            </w:tcBorders>
            <w:vAlign w:val="center"/>
          </w:tcPr>
          <w:p w14:paraId="5E6E3CF6" w14:textId="77777777" w:rsidR="00342E38" w:rsidRPr="00C001EE" w:rsidRDefault="00342E38" w:rsidP="00342E38">
            <w:pPr>
              <w:jc w:val="right"/>
              <w:rPr>
                <w:sz w:val="22"/>
                <w:szCs w:val="22"/>
              </w:rPr>
            </w:pPr>
          </w:p>
        </w:tc>
        <w:tc>
          <w:tcPr>
            <w:tcW w:w="1035" w:type="dxa"/>
            <w:tcBorders>
              <w:top w:val="nil"/>
              <w:left w:val="nil"/>
              <w:right w:val="nil"/>
            </w:tcBorders>
            <w:shd w:val="clear" w:color="auto" w:fill="auto"/>
            <w:noWrap/>
            <w:vAlign w:val="center"/>
          </w:tcPr>
          <w:p w14:paraId="462592CB" w14:textId="3F182871" w:rsidR="00342E38" w:rsidRPr="00C001EE" w:rsidRDefault="00342E38" w:rsidP="00342E38">
            <w:pPr>
              <w:jc w:val="right"/>
              <w:rPr>
                <w:sz w:val="22"/>
                <w:szCs w:val="22"/>
              </w:rPr>
            </w:pPr>
            <w:r>
              <w:rPr>
                <w:sz w:val="22"/>
                <w:szCs w:val="22"/>
              </w:rPr>
              <w:t>12,028</w:t>
            </w:r>
          </w:p>
        </w:tc>
      </w:tr>
      <w:tr w:rsidR="00342E38" w:rsidRPr="00223E50" w14:paraId="42BDCBC2" w14:textId="77777777" w:rsidTr="008B4AC7">
        <w:trPr>
          <w:trHeight w:val="301"/>
        </w:trPr>
        <w:tc>
          <w:tcPr>
            <w:tcW w:w="5455" w:type="dxa"/>
            <w:gridSpan w:val="2"/>
            <w:tcBorders>
              <w:top w:val="nil"/>
              <w:left w:val="nil"/>
              <w:bottom w:val="nil"/>
              <w:right w:val="nil"/>
            </w:tcBorders>
            <w:shd w:val="clear" w:color="auto" w:fill="auto"/>
            <w:noWrap/>
            <w:vAlign w:val="center"/>
            <w:hideMark/>
          </w:tcPr>
          <w:p w14:paraId="21E7BBBF" w14:textId="77777777" w:rsidR="00342E38" w:rsidRPr="00223E50" w:rsidRDefault="00342E38" w:rsidP="00342E38">
            <w:pPr>
              <w:rPr>
                <w:sz w:val="22"/>
                <w:szCs w:val="22"/>
              </w:rPr>
            </w:pPr>
            <w:r w:rsidRPr="00223E50">
              <w:rPr>
                <w:sz w:val="22"/>
                <w:szCs w:val="22"/>
              </w:rPr>
              <w:t>In more than five years</w:t>
            </w:r>
          </w:p>
        </w:tc>
        <w:tc>
          <w:tcPr>
            <w:tcW w:w="1174" w:type="dxa"/>
            <w:tcBorders>
              <w:top w:val="nil"/>
              <w:left w:val="nil"/>
              <w:right w:val="nil"/>
            </w:tcBorders>
            <w:shd w:val="clear" w:color="auto" w:fill="auto"/>
            <w:noWrap/>
            <w:vAlign w:val="center"/>
            <w:hideMark/>
          </w:tcPr>
          <w:p w14:paraId="521A5DCF" w14:textId="77777777" w:rsidR="00342E38" w:rsidRPr="00223E50" w:rsidRDefault="00342E38" w:rsidP="00342E38">
            <w:pPr>
              <w:jc w:val="right"/>
              <w:rPr>
                <w:sz w:val="22"/>
                <w:szCs w:val="22"/>
              </w:rPr>
            </w:pPr>
          </w:p>
        </w:tc>
        <w:tc>
          <w:tcPr>
            <w:tcW w:w="1305" w:type="dxa"/>
            <w:tcBorders>
              <w:top w:val="nil"/>
              <w:left w:val="nil"/>
              <w:right w:val="nil"/>
            </w:tcBorders>
            <w:shd w:val="clear" w:color="auto" w:fill="auto"/>
            <w:noWrap/>
            <w:vAlign w:val="center"/>
          </w:tcPr>
          <w:p w14:paraId="588DBCB8" w14:textId="38DF39AD" w:rsidR="00342E38" w:rsidRPr="00C001EE" w:rsidRDefault="00E67575" w:rsidP="00342E38">
            <w:pPr>
              <w:jc w:val="right"/>
              <w:rPr>
                <w:sz w:val="22"/>
                <w:szCs w:val="22"/>
              </w:rPr>
            </w:pPr>
            <w:r>
              <w:rPr>
                <w:sz w:val="22"/>
                <w:szCs w:val="22"/>
              </w:rPr>
              <w:t>158,26</w:t>
            </w:r>
            <w:r w:rsidR="00A8799B">
              <w:rPr>
                <w:sz w:val="22"/>
                <w:szCs w:val="22"/>
              </w:rPr>
              <w:t>7</w:t>
            </w:r>
          </w:p>
        </w:tc>
        <w:tc>
          <w:tcPr>
            <w:tcW w:w="236" w:type="dxa"/>
            <w:tcBorders>
              <w:top w:val="nil"/>
              <w:left w:val="nil"/>
              <w:right w:val="nil"/>
            </w:tcBorders>
            <w:vAlign w:val="center"/>
          </w:tcPr>
          <w:p w14:paraId="508DB59C" w14:textId="77777777" w:rsidR="00342E38" w:rsidRPr="00C001EE" w:rsidRDefault="00342E38" w:rsidP="00342E38">
            <w:pPr>
              <w:jc w:val="right"/>
              <w:rPr>
                <w:sz w:val="22"/>
                <w:szCs w:val="22"/>
              </w:rPr>
            </w:pPr>
          </w:p>
        </w:tc>
        <w:tc>
          <w:tcPr>
            <w:tcW w:w="1035" w:type="dxa"/>
            <w:tcBorders>
              <w:top w:val="nil"/>
              <w:left w:val="nil"/>
              <w:right w:val="nil"/>
            </w:tcBorders>
            <w:shd w:val="clear" w:color="auto" w:fill="auto"/>
            <w:noWrap/>
            <w:vAlign w:val="center"/>
          </w:tcPr>
          <w:p w14:paraId="677D088C" w14:textId="161C446E" w:rsidR="00342E38" w:rsidRPr="00C001EE" w:rsidRDefault="00342E38" w:rsidP="00342E38">
            <w:pPr>
              <w:jc w:val="right"/>
              <w:rPr>
                <w:sz w:val="22"/>
                <w:szCs w:val="22"/>
              </w:rPr>
            </w:pPr>
            <w:r>
              <w:rPr>
                <w:sz w:val="22"/>
                <w:szCs w:val="22"/>
              </w:rPr>
              <w:t>150,244</w:t>
            </w:r>
          </w:p>
        </w:tc>
      </w:tr>
      <w:tr w:rsidR="00342E38" w:rsidRPr="00223E50" w14:paraId="4DC6C319" w14:textId="77777777" w:rsidTr="008B4AC7">
        <w:trPr>
          <w:trHeight w:val="316"/>
        </w:trPr>
        <w:tc>
          <w:tcPr>
            <w:tcW w:w="4256" w:type="dxa"/>
            <w:tcBorders>
              <w:top w:val="nil"/>
              <w:left w:val="nil"/>
              <w:bottom w:val="nil"/>
              <w:right w:val="nil"/>
            </w:tcBorders>
            <w:shd w:val="clear" w:color="auto" w:fill="auto"/>
            <w:noWrap/>
            <w:vAlign w:val="bottom"/>
            <w:hideMark/>
          </w:tcPr>
          <w:p w14:paraId="66C0E65C" w14:textId="77777777" w:rsidR="00342E38" w:rsidRPr="00223E50" w:rsidRDefault="00342E38" w:rsidP="00342E38">
            <w:pPr>
              <w:rPr>
                <w:rFonts w:ascii="Calibri" w:hAnsi="Calibri"/>
                <w:sz w:val="22"/>
                <w:szCs w:val="22"/>
              </w:rPr>
            </w:pPr>
          </w:p>
        </w:tc>
        <w:tc>
          <w:tcPr>
            <w:tcW w:w="1199" w:type="dxa"/>
            <w:tcBorders>
              <w:top w:val="nil"/>
              <w:left w:val="nil"/>
              <w:bottom w:val="nil"/>
              <w:right w:val="nil"/>
            </w:tcBorders>
            <w:shd w:val="clear" w:color="auto" w:fill="auto"/>
            <w:noWrap/>
            <w:vAlign w:val="bottom"/>
            <w:hideMark/>
          </w:tcPr>
          <w:p w14:paraId="11524BA4" w14:textId="77777777" w:rsidR="00342E38" w:rsidRPr="00223E50" w:rsidRDefault="00342E38" w:rsidP="00342E38">
            <w:pPr>
              <w:rPr>
                <w:rFonts w:ascii="Calibri" w:hAnsi="Calibri"/>
                <w:sz w:val="22"/>
                <w:szCs w:val="22"/>
              </w:rPr>
            </w:pPr>
          </w:p>
        </w:tc>
        <w:tc>
          <w:tcPr>
            <w:tcW w:w="1174" w:type="dxa"/>
            <w:tcBorders>
              <w:top w:val="nil"/>
              <w:left w:val="nil"/>
              <w:bottom w:val="nil"/>
              <w:right w:val="nil"/>
            </w:tcBorders>
            <w:shd w:val="clear" w:color="auto" w:fill="auto"/>
            <w:noWrap/>
            <w:vAlign w:val="center"/>
            <w:hideMark/>
          </w:tcPr>
          <w:p w14:paraId="1D2C7B7E" w14:textId="77777777" w:rsidR="00342E38" w:rsidRPr="00223E50" w:rsidRDefault="00342E38" w:rsidP="00342E38">
            <w:pPr>
              <w:jc w:val="right"/>
              <w:rPr>
                <w:sz w:val="22"/>
                <w:szCs w:val="22"/>
              </w:rPr>
            </w:pPr>
          </w:p>
        </w:tc>
        <w:tc>
          <w:tcPr>
            <w:tcW w:w="1305" w:type="dxa"/>
            <w:tcBorders>
              <w:top w:val="single" w:sz="4" w:space="0" w:color="auto"/>
              <w:left w:val="nil"/>
              <w:bottom w:val="single" w:sz="4" w:space="0" w:color="auto"/>
              <w:right w:val="nil"/>
            </w:tcBorders>
            <w:shd w:val="clear" w:color="auto" w:fill="auto"/>
            <w:noWrap/>
            <w:vAlign w:val="center"/>
          </w:tcPr>
          <w:p w14:paraId="4E8A4AFE" w14:textId="6CAB22C1" w:rsidR="00342E38" w:rsidRPr="00C001EE" w:rsidRDefault="003D7CB2" w:rsidP="00342E38">
            <w:pPr>
              <w:jc w:val="right"/>
              <w:rPr>
                <w:sz w:val="22"/>
                <w:szCs w:val="22"/>
              </w:rPr>
            </w:pPr>
            <w:r>
              <w:rPr>
                <w:sz w:val="22"/>
                <w:szCs w:val="22"/>
              </w:rPr>
              <w:t>172,38</w:t>
            </w:r>
            <w:r w:rsidR="00A8799B">
              <w:rPr>
                <w:sz w:val="22"/>
                <w:szCs w:val="22"/>
              </w:rPr>
              <w:t>5</w:t>
            </w:r>
          </w:p>
        </w:tc>
        <w:tc>
          <w:tcPr>
            <w:tcW w:w="236" w:type="dxa"/>
            <w:tcBorders>
              <w:left w:val="nil"/>
              <w:right w:val="nil"/>
            </w:tcBorders>
            <w:vAlign w:val="center"/>
          </w:tcPr>
          <w:p w14:paraId="2A6BD149" w14:textId="77777777" w:rsidR="00342E38" w:rsidRPr="00C001EE" w:rsidRDefault="00342E38" w:rsidP="00342E38">
            <w:pPr>
              <w:jc w:val="right"/>
              <w:rPr>
                <w:sz w:val="22"/>
                <w:szCs w:val="22"/>
              </w:rPr>
            </w:pPr>
          </w:p>
        </w:tc>
        <w:tc>
          <w:tcPr>
            <w:tcW w:w="1035" w:type="dxa"/>
            <w:tcBorders>
              <w:top w:val="single" w:sz="4" w:space="0" w:color="auto"/>
              <w:left w:val="nil"/>
              <w:bottom w:val="single" w:sz="4" w:space="0" w:color="auto"/>
              <w:right w:val="nil"/>
            </w:tcBorders>
            <w:shd w:val="clear" w:color="auto" w:fill="auto"/>
            <w:noWrap/>
            <w:vAlign w:val="center"/>
          </w:tcPr>
          <w:p w14:paraId="05489D4A" w14:textId="3D833B2D" w:rsidR="00342E38" w:rsidRPr="00C001EE" w:rsidRDefault="00342E38" w:rsidP="00342E38">
            <w:pPr>
              <w:jc w:val="right"/>
              <w:rPr>
                <w:sz w:val="22"/>
                <w:szCs w:val="22"/>
              </w:rPr>
            </w:pPr>
            <w:r>
              <w:rPr>
                <w:sz w:val="22"/>
                <w:szCs w:val="22"/>
              </w:rPr>
              <w:t>162,272</w:t>
            </w:r>
          </w:p>
        </w:tc>
      </w:tr>
    </w:tbl>
    <w:p w14:paraId="34EFA9D6" w14:textId="77777777" w:rsidR="000F14C3" w:rsidRDefault="000F14C3" w:rsidP="000F14C3">
      <w:pPr>
        <w:jc w:val="both"/>
        <w:rPr>
          <w:b/>
          <w:sz w:val="22"/>
          <w:szCs w:val="22"/>
        </w:rPr>
      </w:pPr>
    </w:p>
    <w:p w14:paraId="69534065" w14:textId="77777777" w:rsidR="000F14C3" w:rsidRDefault="000F14C3" w:rsidP="000F14C3">
      <w:pPr>
        <w:jc w:val="both"/>
        <w:rPr>
          <w:b/>
          <w:sz w:val="22"/>
          <w:szCs w:val="22"/>
        </w:rPr>
      </w:pPr>
      <w:r w:rsidRPr="0072162D">
        <w:rPr>
          <w:b/>
          <w:sz w:val="22"/>
          <w:szCs w:val="22"/>
        </w:rPr>
        <w:t>Deferred income</w:t>
      </w:r>
    </w:p>
    <w:tbl>
      <w:tblPr>
        <w:tblW w:w="9156" w:type="dxa"/>
        <w:tblInd w:w="108" w:type="dxa"/>
        <w:tblLayout w:type="fixed"/>
        <w:tblLook w:val="04A0" w:firstRow="1" w:lastRow="0" w:firstColumn="1" w:lastColumn="0" w:noHBand="0" w:noVBand="1"/>
      </w:tblPr>
      <w:tblGrid>
        <w:gridCol w:w="5103"/>
        <w:gridCol w:w="1418"/>
        <w:gridCol w:w="1417"/>
        <w:gridCol w:w="1218"/>
      </w:tblGrid>
      <w:tr w:rsidR="000F14C3" w:rsidRPr="00F75532" w14:paraId="1A2D8AB7" w14:textId="77777777" w:rsidTr="00773037">
        <w:trPr>
          <w:trHeight w:val="255"/>
        </w:trPr>
        <w:tc>
          <w:tcPr>
            <w:tcW w:w="9156" w:type="dxa"/>
            <w:gridSpan w:val="4"/>
            <w:shd w:val="clear" w:color="auto" w:fill="auto"/>
            <w:noWrap/>
            <w:vAlign w:val="center"/>
            <w:hideMark/>
          </w:tcPr>
          <w:p w14:paraId="077E7A7C" w14:textId="3701D378" w:rsidR="000F14C3" w:rsidRPr="00F75532" w:rsidRDefault="000F14C3" w:rsidP="00773037">
            <w:pPr>
              <w:rPr>
                <w:b/>
                <w:sz w:val="22"/>
                <w:szCs w:val="22"/>
              </w:rPr>
            </w:pPr>
            <w:r w:rsidRPr="0010273C">
              <w:rPr>
                <w:i/>
                <w:iCs/>
                <w:sz w:val="22"/>
                <w:szCs w:val="22"/>
              </w:rPr>
              <w:t xml:space="preserve">Analysis of deferred income </w:t>
            </w:r>
          </w:p>
        </w:tc>
      </w:tr>
      <w:tr w:rsidR="000F14C3" w:rsidRPr="00F75532" w14:paraId="77D945CC" w14:textId="77777777" w:rsidTr="00773037">
        <w:trPr>
          <w:trHeight w:val="255"/>
        </w:trPr>
        <w:tc>
          <w:tcPr>
            <w:tcW w:w="5103" w:type="dxa"/>
            <w:shd w:val="clear" w:color="auto" w:fill="auto"/>
            <w:noWrap/>
            <w:vAlign w:val="bottom"/>
            <w:hideMark/>
          </w:tcPr>
          <w:p w14:paraId="602F53A3" w14:textId="77777777" w:rsidR="000F14C3" w:rsidRPr="00F75532" w:rsidRDefault="000F14C3" w:rsidP="00773037">
            <w:pPr>
              <w:rPr>
                <w:sz w:val="22"/>
                <w:szCs w:val="22"/>
              </w:rPr>
            </w:pPr>
          </w:p>
        </w:tc>
        <w:tc>
          <w:tcPr>
            <w:tcW w:w="1418" w:type="dxa"/>
            <w:shd w:val="clear" w:color="auto" w:fill="auto"/>
            <w:vAlign w:val="center"/>
            <w:hideMark/>
          </w:tcPr>
          <w:p w14:paraId="12A88728" w14:textId="77777777" w:rsidR="000F14C3" w:rsidRPr="00F75532" w:rsidRDefault="006912E0" w:rsidP="00773037">
            <w:pPr>
              <w:jc w:val="right"/>
              <w:rPr>
                <w:b/>
                <w:sz w:val="22"/>
                <w:szCs w:val="22"/>
              </w:rPr>
            </w:pPr>
            <w:r>
              <w:rPr>
                <w:b/>
                <w:sz w:val="22"/>
                <w:szCs w:val="22"/>
              </w:rPr>
              <w:t>New Build</w:t>
            </w:r>
            <w:r w:rsidR="000F14C3" w:rsidRPr="00F75532">
              <w:rPr>
                <w:b/>
                <w:sz w:val="22"/>
                <w:szCs w:val="22"/>
              </w:rPr>
              <w:t xml:space="preserve"> </w:t>
            </w:r>
            <w:r>
              <w:rPr>
                <w:b/>
                <w:sz w:val="22"/>
                <w:szCs w:val="22"/>
              </w:rPr>
              <w:t>G</w:t>
            </w:r>
            <w:r w:rsidR="000F14C3" w:rsidRPr="00F75532">
              <w:rPr>
                <w:b/>
                <w:sz w:val="22"/>
                <w:szCs w:val="22"/>
              </w:rPr>
              <w:t>rant</w:t>
            </w:r>
          </w:p>
        </w:tc>
        <w:tc>
          <w:tcPr>
            <w:tcW w:w="1417" w:type="dxa"/>
            <w:shd w:val="clear" w:color="auto" w:fill="auto"/>
            <w:noWrap/>
            <w:vAlign w:val="bottom"/>
          </w:tcPr>
          <w:p w14:paraId="6655D56E" w14:textId="44BD7858" w:rsidR="000F14C3" w:rsidRPr="00F75532" w:rsidRDefault="000F14C3" w:rsidP="00773037">
            <w:pPr>
              <w:jc w:val="right"/>
              <w:rPr>
                <w:b/>
                <w:sz w:val="22"/>
                <w:szCs w:val="22"/>
              </w:rPr>
            </w:pPr>
            <w:r w:rsidRPr="00F75532">
              <w:rPr>
                <w:b/>
                <w:sz w:val="22"/>
                <w:szCs w:val="22"/>
              </w:rPr>
              <w:t>Other</w:t>
            </w:r>
            <w:r w:rsidR="006912E0">
              <w:rPr>
                <w:b/>
                <w:sz w:val="22"/>
                <w:szCs w:val="22"/>
              </w:rPr>
              <w:t xml:space="preserve"> </w:t>
            </w:r>
            <w:r w:rsidRPr="00F75532">
              <w:rPr>
                <w:b/>
                <w:sz w:val="22"/>
                <w:szCs w:val="22"/>
              </w:rPr>
              <w:t>grant income</w:t>
            </w:r>
          </w:p>
        </w:tc>
        <w:tc>
          <w:tcPr>
            <w:tcW w:w="1218" w:type="dxa"/>
            <w:vAlign w:val="bottom"/>
          </w:tcPr>
          <w:p w14:paraId="05E9DD3E" w14:textId="77777777" w:rsidR="000F14C3" w:rsidRPr="00F75532" w:rsidRDefault="000F14C3" w:rsidP="00773037">
            <w:pPr>
              <w:jc w:val="right"/>
              <w:rPr>
                <w:b/>
                <w:sz w:val="22"/>
                <w:szCs w:val="22"/>
              </w:rPr>
            </w:pPr>
            <w:r w:rsidRPr="00F75532">
              <w:rPr>
                <w:b/>
                <w:sz w:val="22"/>
                <w:szCs w:val="22"/>
              </w:rPr>
              <w:t>Total</w:t>
            </w:r>
          </w:p>
        </w:tc>
      </w:tr>
      <w:tr w:rsidR="000F14C3" w:rsidRPr="00F75532" w14:paraId="23E0E1A7" w14:textId="77777777" w:rsidTr="00773037">
        <w:trPr>
          <w:trHeight w:val="255"/>
        </w:trPr>
        <w:tc>
          <w:tcPr>
            <w:tcW w:w="5103" w:type="dxa"/>
            <w:shd w:val="clear" w:color="auto" w:fill="auto"/>
            <w:noWrap/>
            <w:vAlign w:val="bottom"/>
            <w:hideMark/>
          </w:tcPr>
          <w:p w14:paraId="65579EBD" w14:textId="77777777" w:rsidR="000F14C3" w:rsidRPr="00F75532" w:rsidRDefault="000F14C3" w:rsidP="00773037">
            <w:pPr>
              <w:rPr>
                <w:sz w:val="22"/>
                <w:szCs w:val="22"/>
              </w:rPr>
            </w:pPr>
          </w:p>
        </w:tc>
        <w:tc>
          <w:tcPr>
            <w:tcW w:w="1418" w:type="dxa"/>
            <w:shd w:val="clear" w:color="auto" w:fill="auto"/>
            <w:noWrap/>
            <w:vAlign w:val="bottom"/>
            <w:hideMark/>
          </w:tcPr>
          <w:p w14:paraId="6D71ADC5" w14:textId="77777777" w:rsidR="000F14C3" w:rsidRPr="00F75532" w:rsidRDefault="000F14C3" w:rsidP="00773037">
            <w:pPr>
              <w:jc w:val="right"/>
              <w:rPr>
                <w:b/>
                <w:sz w:val="22"/>
                <w:szCs w:val="22"/>
              </w:rPr>
            </w:pPr>
            <w:r w:rsidRPr="00F75532">
              <w:rPr>
                <w:b/>
                <w:sz w:val="22"/>
                <w:szCs w:val="22"/>
              </w:rPr>
              <w:t>£’000</w:t>
            </w:r>
          </w:p>
        </w:tc>
        <w:tc>
          <w:tcPr>
            <w:tcW w:w="1417" w:type="dxa"/>
            <w:shd w:val="clear" w:color="auto" w:fill="auto"/>
            <w:noWrap/>
            <w:vAlign w:val="bottom"/>
          </w:tcPr>
          <w:p w14:paraId="3D245B19" w14:textId="77777777" w:rsidR="000F14C3" w:rsidRPr="00F75532" w:rsidRDefault="000F14C3" w:rsidP="00773037">
            <w:pPr>
              <w:jc w:val="right"/>
              <w:rPr>
                <w:b/>
                <w:sz w:val="22"/>
                <w:szCs w:val="22"/>
              </w:rPr>
            </w:pPr>
            <w:r w:rsidRPr="00F75532">
              <w:rPr>
                <w:b/>
                <w:sz w:val="22"/>
                <w:szCs w:val="22"/>
              </w:rPr>
              <w:t>£’000</w:t>
            </w:r>
          </w:p>
        </w:tc>
        <w:tc>
          <w:tcPr>
            <w:tcW w:w="1218" w:type="dxa"/>
            <w:vAlign w:val="bottom"/>
          </w:tcPr>
          <w:p w14:paraId="36C7A3BA" w14:textId="77777777" w:rsidR="000F14C3" w:rsidRPr="00F75532" w:rsidRDefault="000F14C3" w:rsidP="00773037">
            <w:pPr>
              <w:jc w:val="right"/>
              <w:rPr>
                <w:b/>
                <w:sz w:val="22"/>
                <w:szCs w:val="22"/>
              </w:rPr>
            </w:pPr>
            <w:r w:rsidRPr="00F75532">
              <w:rPr>
                <w:b/>
                <w:sz w:val="22"/>
                <w:szCs w:val="22"/>
              </w:rPr>
              <w:t>£’000</w:t>
            </w:r>
          </w:p>
        </w:tc>
      </w:tr>
      <w:tr w:rsidR="00085DFA" w:rsidRPr="00F75532" w14:paraId="1ED425A5" w14:textId="77777777" w:rsidTr="00773037">
        <w:trPr>
          <w:trHeight w:val="255"/>
        </w:trPr>
        <w:tc>
          <w:tcPr>
            <w:tcW w:w="5103" w:type="dxa"/>
            <w:shd w:val="clear" w:color="auto" w:fill="auto"/>
            <w:noWrap/>
            <w:vAlign w:val="bottom"/>
            <w:hideMark/>
          </w:tcPr>
          <w:p w14:paraId="053D774C" w14:textId="0BBFD015" w:rsidR="00085DFA" w:rsidRPr="007B0A92" w:rsidRDefault="00085DFA" w:rsidP="00085DFA">
            <w:pPr>
              <w:rPr>
                <w:sz w:val="22"/>
                <w:szCs w:val="22"/>
              </w:rPr>
            </w:pPr>
            <w:r w:rsidRPr="007B0A92">
              <w:rPr>
                <w:sz w:val="22"/>
                <w:szCs w:val="22"/>
              </w:rPr>
              <w:t>Deferred income as</w:t>
            </w:r>
            <w:r>
              <w:rPr>
                <w:sz w:val="22"/>
                <w:szCs w:val="22"/>
              </w:rPr>
              <w:t xml:space="preserve"> at 1 April 2023</w:t>
            </w:r>
          </w:p>
        </w:tc>
        <w:tc>
          <w:tcPr>
            <w:tcW w:w="1418" w:type="dxa"/>
            <w:shd w:val="clear" w:color="auto" w:fill="auto"/>
            <w:noWrap/>
            <w:vAlign w:val="center"/>
          </w:tcPr>
          <w:p w14:paraId="221657DB" w14:textId="50431321" w:rsidR="00085DFA" w:rsidRPr="00670E4A" w:rsidRDefault="00085DFA" w:rsidP="00085DFA">
            <w:pPr>
              <w:jc w:val="right"/>
              <w:rPr>
                <w:sz w:val="22"/>
                <w:szCs w:val="22"/>
              </w:rPr>
            </w:pPr>
            <w:r>
              <w:rPr>
                <w:sz w:val="22"/>
                <w:szCs w:val="22"/>
              </w:rPr>
              <w:t>13,227</w:t>
            </w:r>
          </w:p>
        </w:tc>
        <w:tc>
          <w:tcPr>
            <w:tcW w:w="1417" w:type="dxa"/>
            <w:shd w:val="clear" w:color="auto" w:fill="auto"/>
            <w:noWrap/>
            <w:vAlign w:val="bottom"/>
          </w:tcPr>
          <w:p w14:paraId="4E353DB5" w14:textId="4D78C98A" w:rsidR="00085DFA" w:rsidRPr="00670E4A" w:rsidRDefault="00085DFA" w:rsidP="00085DFA">
            <w:pPr>
              <w:jc w:val="right"/>
              <w:rPr>
                <w:sz w:val="22"/>
                <w:szCs w:val="22"/>
              </w:rPr>
            </w:pPr>
            <w:r>
              <w:rPr>
                <w:sz w:val="22"/>
                <w:szCs w:val="22"/>
              </w:rPr>
              <w:t>17</w:t>
            </w:r>
          </w:p>
        </w:tc>
        <w:tc>
          <w:tcPr>
            <w:tcW w:w="1218" w:type="dxa"/>
            <w:vAlign w:val="bottom"/>
          </w:tcPr>
          <w:p w14:paraId="6B8D17BA" w14:textId="66436E09" w:rsidR="00085DFA" w:rsidRPr="00670E4A" w:rsidRDefault="00085DFA" w:rsidP="00085DFA">
            <w:pPr>
              <w:jc w:val="right"/>
              <w:rPr>
                <w:sz w:val="22"/>
                <w:szCs w:val="22"/>
              </w:rPr>
            </w:pPr>
            <w:r>
              <w:rPr>
                <w:sz w:val="22"/>
                <w:szCs w:val="22"/>
              </w:rPr>
              <w:t>13,244</w:t>
            </w:r>
          </w:p>
        </w:tc>
      </w:tr>
      <w:tr w:rsidR="000F14C3" w:rsidRPr="00F75532" w14:paraId="4191C9EF" w14:textId="77777777" w:rsidTr="00773037">
        <w:trPr>
          <w:trHeight w:val="255"/>
        </w:trPr>
        <w:tc>
          <w:tcPr>
            <w:tcW w:w="5103" w:type="dxa"/>
            <w:shd w:val="clear" w:color="auto" w:fill="auto"/>
            <w:noWrap/>
            <w:vAlign w:val="bottom"/>
            <w:hideMark/>
          </w:tcPr>
          <w:p w14:paraId="4BB4F425" w14:textId="77777777" w:rsidR="000F14C3" w:rsidRPr="007B0A92" w:rsidRDefault="000F14C3" w:rsidP="00773037">
            <w:pPr>
              <w:rPr>
                <w:sz w:val="22"/>
                <w:szCs w:val="22"/>
              </w:rPr>
            </w:pPr>
            <w:r w:rsidRPr="007B0A92">
              <w:rPr>
                <w:sz w:val="22"/>
                <w:szCs w:val="22"/>
              </w:rPr>
              <w:t>Additional income received</w:t>
            </w:r>
          </w:p>
        </w:tc>
        <w:tc>
          <w:tcPr>
            <w:tcW w:w="1418" w:type="dxa"/>
            <w:shd w:val="clear" w:color="auto" w:fill="auto"/>
            <w:noWrap/>
            <w:vAlign w:val="center"/>
          </w:tcPr>
          <w:p w14:paraId="78071B09" w14:textId="31641C7C" w:rsidR="000F14C3" w:rsidRPr="00670E4A" w:rsidRDefault="00366C97" w:rsidP="00773037">
            <w:pPr>
              <w:jc w:val="right"/>
              <w:rPr>
                <w:sz w:val="22"/>
                <w:szCs w:val="22"/>
              </w:rPr>
            </w:pPr>
            <w:r>
              <w:rPr>
                <w:sz w:val="22"/>
                <w:szCs w:val="22"/>
              </w:rPr>
              <w:t>12,776</w:t>
            </w:r>
          </w:p>
        </w:tc>
        <w:tc>
          <w:tcPr>
            <w:tcW w:w="1417" w:type="dxa"/>
            <w:shd w:val="clear" w:color="auto" w:fill="auto"/>
            <w:noWrap/>
            <w:vAlign w:val="bottom"/>
          </w:tcPr>
          <w:p w14:paraId="43A5222E" w14:textId="27080DF3" w:rsidR="000F14C3" w:rsidRPr="00670E4A" w:rsidRDefault="00366C97" w:rsidP="00773037">
            <w:pPr>
              <w:jc w:val="right"/>
              <w:rPr>
                <w:sz w:val="22"/>
                <w:szCs w:val="22"/>
              </w:rPr>
            </w:pPr>
            <w:r>
              <w:rPr>
                <w:sz w:val="22"/>
                <w:szCs w:val="22"/>
              </w:rPr>
              <w:t>-</w:t>
            </w:r>
          </w:p>
        </w:tc>
        <w:tc>
          <w:tcPr>
            <w:tcW w:w="1218" w:type="dxa"/>
            <w:vAlign w:val="bottom"/>
          </w:tcPr>
          <w:p w14:paraId="311D0692" w14:textId="21001940" w:rsidR="000F14C3" w:rsidRPr="00670E4A" w:rsidRDefault="00366C97" w:rsidP="00773037">
            <w:pPr>
              <w:jc w:val="right"/>
              <w:rPr>
                <w:sz w:val="22"/>
                <w:szCs w:val="22"/>
              </w:rPr>
            </w:pPr>
            <w:r>
              <w:rPr>
                <w:sz w:val="22"/>
                <w:szCs w:val="22"/>
              </w:rPr>
              <w:t>12,776</w:t>
            </w:r>
          </w:p>
        </w:tc>
      </w:tr>
      <w:tr w:rsidR="000F14C3" w:rsidRPr="00F75532" w14:paraId="5569D8F2" w14:textId="77777777" w:rsidTr="00773037">
        <w:trPr>
          <w:trHeight w:val="255"/>
        </w:trPr>
        <w:tc>
          <w:tcPr>
            <w:tcW w:w="5103" w:type="dxa"/>
            <w:shd w:val="clear" w:color="auto" w:fill="auto"/>
            <w:noWrap/>
            <w:vAlign w:val="bottom"/>
            <w:hideMark/>
          </w:tcPr>
          <w:p w14:paraId="10FCA6D3" w14:textId="77777777" w:rsidR="000F14C3" w:rsidRPr="007B0A92" w:rsidRDefault="000F14C3" w:rsidP="00773037">
            <w:pPr>
              <w:rPr>
                <w:sz w:val="22"/>
                <w:szCs w:val="22"/>
              </w:rPr>
            </w:pPr>
            <w:r w:rsidRPr="007B0A92">
              <w:rPr>
                <w:sz w:val="22"/>
                <w:szCs w:val="22"/>
              </w:rPr>
              <w:t xml:space="preserve">Released to Statement of Comprehensive Income </w:t>
            </w:r>
          </w:p>
        </w:tc>
        <w:tc>
          <w:tcPr>
            <w:tcW w:w="1418" w:type="dxa"/>
            <w:tcBorders>
              <w:bottom w:val="single" w:sz="4" w:space="0" w:color="auto"/>
            </w:tcBorders>
            <w:shd w:val="clear" w:color="auto" w:fill="auto"/>
            <w:noWrap/>
            <w:vAlign w:val="center"/>
          </w:tcPr>
          <w:p w14:paraId="4798ADB1" w14:textId="58351348" w:rsidR="000F14C3" w:rsidRPr="00670E4A" w:rsidRDefault="00366C97" w:rsidP="00773037">
            <w:pPr>
              <w:jc w:val="right"/>
              <w:rPr>
                <w:sz w:val="22"/>
                <w:szCs w:val="22"/>
              </w:rPr>
            </w:pPr>
            <w:r>
              <w:rPr>
                <w:sz w:val="22"/>
                <w:szCs w:val="22"/>
              </w:rPr>
              <w:t>(5,619)</w:t>
            </w:r>
          </w:p>
        </w:tc>
        <w:tc>
          <w:tcPr>
            <w:tcW w:w="1417" w:type="dxa"/>
            <w:tcBorders>
              <w:bottom w:val="single" w:sz="4" w:space="0" w:color="auto"/>
            </w:tcBorders>
            <w:shd w:val="clear" w:color="auto" w:fill="auto"/>
            <w:noWrap/>
            <w:vAlign w:val="bottom"/>
          </w:tcPr>
          <w:p w14:paraId="474C2C41" w14:textId="0B82A530" w:rsidR="000F14C3" w:rsidRPr="00670E4A" w:rsidRDefault="00366C97" w:rsidP="00773037">
            <w:pPr>
              <w:jc w:val="right"/>
              <w:rPr>
                <w:sz w:val="22"/>
                <w:szCs w:val="22"/>
              </w:rPr>
            </w:pPr>
            <w:r>
              <w:rPr>
                <w:sz w:val="22"/>
                <w:szCs w:val="22"/>
              </w:rPr>
              <w:t>(17)</w:t>
            </w:r>
          </w:p>
        </w:tc>
        <w:tc>
          <w:tcPr>
            <w:tcW w:w="1218" w:type="dxa"/>
            <w:tcBorders>
              <w:bottom w:val="single" w:sz="4" w:space="0" w:color="auto"/>
            </w:tcBorders>
            <w:vAlign w:val="bottom"/>
          </w:tcPr>
          <w:p w14:paraId="504A81FE" w14:textId="64F2925E" w:rsidR="000F14C3" w:rsidRPr="00670E4A" w:rsidRDefault="00366C97" w:rsidP="00773037">
            <w:pPr>
              <w:jc w:val="right"/>
              <w:rPr>
                <w:sz w:val="22"/>
                <w:szCs w:val="22"/>
              </w:rPr>
            </w:pPr>
            <w:r>
              <w:rPr>
                <w:sz w:val="22"/>
                <w:szCs w:val="22"/>
              </w:rPr>
              <w:t>(5,63</w:t>
            </w:r>
            <w:r w:rsidR="00C41828">
              <w:rPr>
                <w:sz w:val="22"/>
                <w:szCs w:val="22"/>
              </w:rPr>
              <w:t>6</w:t>
            </w:r>
            <w:r>
              <w:rPr>
                <w:sz w:val="22"/>
                <w:szCs w:val="22"/>
              </w:rPr>
              <w:t>)</w:t>
            </w:r>
          </w:p>
        </w:tc>
      </w:tr>
      <w:tr w:rsidR="000F14C3" w:rsidRPr="00F75532" w14:paraId="204ACA96" w14:textId="77777777" w:rsidTr="00773037">
        <w:trPr>
          <w:trHeight w:val="255"/>
        </w:trPr>
        <w:tc>
          <w:tcPr>
            <w:tcW w:w="5103" w:type="dxa"/>
            <w:shd w:val="clear" w:color="auto" w:fill="auto"/>
            <w:noWrap/>
            <w:vAlign w:val="bottom"/>
            <w:hideMark/>
          </w:tcPr>
          <w:p w14:paraId="58B4966D" w14:textId="538E7BD0" w:rsidR="000F14C3" w:rsidRPr="007B0A92" w:rsidRDefault="000F14C3" w:rsidP="00773037">
            <w:pPr>
              <w:rPr>
                <w:sz w:val="22"/>
                <w:szCs w:val="22"/>
              </w:rPr>
            </w:pPr>
            <w:r w:rsidRPr="007B0A92">
              <w:rPr>
                <w:sz w:val="22"/>
                <w:szCs w:val="22"/>
              </w:rPr>
              <w:t>Deferred income as at 31 March 20</w:t>
            </w:r>
            <w:r>
              <w:rPr>
                <w:sz w:val="22"/>
                <w:szCs w:val="22"/>
              </w:rPr>
              <w:t>2</w:t>
            </w:r>
            <w:r w:rsidR="00085DFA">
              <w:rPr>
                <w:sz w:val="22"/>
                <w:szCs w:val="22"/>
              </w:rPr>
              <w:t>4</w:t>
            </w:r>
          </w:p>
        </w:tc>
        <w:tc>
          <w:tcPr>
            <w:tcW w:w="1418" w:type="dxa"/>
            <w:tcBorders>
              <w:top w:val="single" w:sz="4" w:space="0" w:color="auto"/>
              <w:bottom w:val="single" w:sz="4" w:space="0" w:color="auto"/>
            </w:tcBorders>
            <w:shd w:val="clear" w:color="auto" w:fill="auto"/>
            <w:noWrap/>
            <w:vAlign w:val="center"/>
          </w:tcPr>
          <w:p w14:paraId="22FBBDA0" w14:textId="01B63803" w:rsidR="000F14C3" w:rsidRPr="00670E4A" w:rsidRDefault="00366C97" w:rsidP="00773037">
            <w:pPr>
              <w:jc w:val="right"/>
              <w:rPr>
                <w:sz w:val="22"/>
                <w:szCs w:val="22"/>
              </w:rPr>
            </w:pPr>
            <w:r>
              <w:rPr>
                <w:sz w:val="22"/>
                <w:szCs w:val="22"/>
              </w:rPr>
              <w:t>20,384</w:t>
            </w:r>
          </w:p>
        </w:tc>
        <w:tc>
          <w:tcPr>
            <w:tcW w:w="1417" w:type="dxa"/>
            <w:tcBorders>
              <w:top w:val="single" w:sz="4" w:space="0" w:color="auto"/>
              <w:bottom w:val="single" w:sz="4" w:space="0" w:color="auto"/>
            </w:tcBorders>
            <w:shd w:val="clear" w:color="auto" w:fill="auto"/>
            <w:noWrap/>
            <w:vAlign w:val="bottom"/>
          </w:tcPr>
          <w:p w14:paraId="2EA6576D" w14:textId="2E07E80C" w:rsidR="000F14C3" w:rsidRPr="00670E4A" w:rsidRDefault="00366C97" w:rsidP="00773037">
            <w:pPr>
              <w:jc w:val="right"/>
              <w:rPr>
                <w:sz w:val="22"/>
                <w:szCs w:val="22"/>
              </w:rPr>
            </w:pPr>
            <w:r>
              <w:rPr>
                <w:sz w:val="22"/>
                <w:szCs w:val="22"/>
              </w:rPr>
              <w:t>-</w:t>
            </w:r>
          </w:p>
        </w:tc>
        <w:tc>
          <w:tcPr>
            <w:tcW w:w="1218" w:type="dxa"/>
            <w:tcBorders>
              <w:top w:val="single" w:sz="4" w:space="0" w:color="auto"/>
              <w:bottom w:val="single" w:sz="4" w:space="0" w:color="auto"/>
            </w:tcBorders>
            <w:vAlign w:val="bottom"/>
          </w:tcPr>
          <w:p w14:paraId="3E74C232" w14:textId="52D3540D" w:rsidR="000F14C3" w:rsidRPr="00670E4A" w:rsidRDefault="00366C97" w:rsidP="00773037">
            <w:pPr>
              <w:jc w:val="right"/>
              <w:rPr>
                <w:sz w:val="22"/>
                <w:szCs w:val="22"/>
              </w:rPr>
            </w:pPr>
            <w:r>
              <w:rPr>
                <w:sz w:val="22"/>
                <w:szCs w:val="22"/>
              </w:rPr>
              <w:t>20,384</w:t>
            </w:r>
          </w:p>
        </w:tc>
      </w:tr>
      <w:tr w:rsidR="000F14C3" w:rsidRPr="00F75532" w14:paraId="0F8AEFD9" w14:textId="77777777" w:rsidTr="00773037">
        <w:trPr>
          <w:trHeight w:val="255"/>
        </w:trPr>
        <w:tc>
          <w:tcPr>
            <w:tcW w:w="5103" w:type="dxa"/>
            <w:shd w:val="clear" w:color="auto" w:fill="auto"/>
            <w:noWrap/>
            <w:vAlign w:val="bottom"/>
            <w:hideMark/>
          </w:tcPr>
          <w:p w14:paraId="704AAED6" w14:textId="77777777" w:rsidR="000F14C3" w:rsidRPr="007B0A92" w:rsidRDefault="000F14C3" w:rsidP="00773037">
            <w:pPr>
              <w:rPr>
                <w:sz w:val="22"/>
                <w:szCs w:val="22"/>
              </w:rPr>
            </w:pPr>
          </w:p>
        </w:tc>
        <w:tc>
          <w:tcPr>
            <w:tcW w:w="1418" w:type="dxa"/>
            <w:tcBorders>
              <w:top w:val="single" w:sz="4" w:space="0" w:color="auto"/>
            </w:tcBorders>
            <w:shd w:val="clear" w:color="auto" w:fill="auto"/>
            <w:noWrap/>
            <w:vAlign w:val="bottom"/>
          </w:tcPr>
          <w:p w14:paraId="7C22397B" w14:textId="77777777" w:rsidR="000F14C3" w:rsidRPr="00670E4A" w:rsidRDefault="000F14C3" w:rsidP="00773037">
            <w:pPr>
              <w:jc w:val="center"/>
              <w:rPr>
                <w:sz w:val="22"/>
                <w:szCs w:val="22"/>
              </w:rPr>
            </w:pPr>
          </w:p>
        </w:tc>
        <w:tc>
          <w:tcPr>
            <w:tcW w:w="1417" w:type="dxa"/>
            <w:tcBorders>
              <w:top w:val="single" w:sz="4" w:space="0" w:color="auto"/>
            </w:tcBorders>
            <w:shd w:val="clear" w:color="auto" w:fill="auto"/>
            <w:noWrap/>
            <w:vAlign w:val="bottom"/>
          </w:tcPr>
          <w:p w14:paraId="480419B2" w14:textId="77777777" w:rsidR="000F14C3" w:rsidRPr="00670E4A" w:rsidRDefault="000F14C3" w:rsidP="00773037">
            <w:pPr>
              <w:jc w:val="center"/>
              <w:rPr>
                <w:sz w:val="22"/>
                <w:szCs w:val="22"/>
              </w:rPr>
            </w:pPr>
          </w:p>
        </w:tc>
        <w:tc>
          <w:tcPr>
            <w:tcW w:w="1218" w:type="dxa"/>
            <w:tcBorders>
              <w:top w:val="single" w:sz="4" w:space="0" w:color="auto"/>
            </w:tcBorders>
            <w:vAlign w:val="bottom"/>
          </w:tcPr>
          <w:p w14:paraId="605A9ECC" w14:textId="77777777" w:rsidR="000F14C3" w:rsidRPr="00670E4A" w:rsidRDefault="000F14C3" w:rsidP="00773037">
            <w:pPr>
              <w:jc w:val="center"/>
              <w:rPr>
                <w:sz w:val="22"/>
                <w:szCs w:val="22"/>
              </w:rPr>
            </w:pPr>
          </w:p>
        </w:tc>
      </w:tr>
    </w:tbl>
    <w:p w14:paraId="0EFB77AA" w14:textId="77777777" w:rsidR="00B05CEF" w:rsidRDefault="00B05CEF" w:rsidP="00B05CEF">
      <w:pPr>
        <w:pStyle w:val="BodyText"/>
        <w:jc w:val="both"/>
        <w:rPr>
          <w:b/>
          <w:bCs/>
          <w:sz w:val="22"/>
          <w:szCs w:val="22"/>
        </w:rPr>
      </w:pPr>
    </w:p>
    <w:p w14:paraId="5472288A" w14:textId="77777777" w:rsidR="00B05CEF" w:rsidRDefault="00B05CEF">
      <w:pPr>
        <w:rPr>
          <w:b/>
          <w:bCs/>
          <w:sz w:val="22"/>
          <w:szCs w:val="22"/>
        </w:rPr>
      </w:pPr>
      <w:r>
        <w:rPr>
          <w:b/>
          <w:bCs/>
          <w:sz w:val="22"/>
          <w:szCs w:val="22"/>
        </w:rPr>
        <w:br w:type="page"/>
      </w:r>
    </w:p>
    <w:p w14:paraId="2731D39F" w14:textId="528C2AF1" w:rsidR="00B05CEF" w:rsidRPr="0072162D" w:rsidRDefault="00B05CEF" w:rsidP="00B05CEF">
      <w:pPr>
        <w:pStyle w:val="BodyText"/>
        <w:jc w:val="both"/>
        <w:rPr>
          <w:b/>
          <w:bCs/>
          <w:sz w:val="22"/>
          <w:szCs w:val="22"/>
        </w:rPr>
      </w:pPr>
      <w:r w:rsidRPr="0072162D">
        <w:rPr>
          <w:b/>
          <w:bCs/>
          <w:sz w:val="22"/>
          <w:szCs w:val="22"/>
        </w:rPr>
        <w:lastRenderedPageBreak/>
        <w:t>NOTES TO THE FINANCIAL STATEMENTS FOR THE YEAR ENDED 31 MARCH 202</w:t>
      </w:r>
      <w:r w:rsidR="00936048">
        <w:rPr>
          <w:b/>
          <w:bCs/>
          <w:sz w:val="22"/>
          <w:szCs w:val="22"/>
        </w:rPr>
        <w:t>4</w:t>
      </w:r>
      <w:r w:rsidRPr="0072162D">
        <w:rPr>
          <w:b/>
          <w:bCs/>
          <w:sz w:val="22"/>
          <w:szCs w:val="22"/>
        </w:rPr>
        <w:t xml:space="preserve"> (continued)</w:t>
      </w:r>
    </w:p>
    <w:p w14:paraId="12CAF4D9" w14:textId="77777777" w:rsidR="00703632" w:rsidRPr="0072162D" w:rsidRDefault="00703632" w:rsidP="00B05CEF">
      <w:pPr>
        <w:pStyle w:val="BodyText"/>
        <w:jc w:val="both"/>
        <w:rPr>
          <w:b/>
          <w:bCs/>
          <w:sz w:val="22"/>
          <w:szCs w:val="22"/>
        </w:rPr>
      </w:pPr>
    </w:p>
    <w:p w14:paraId="0ED1D6C9" w14:textId="4471164E" w:rsidR="00344902" w:rsidRDefault="00AF5224" w:rsidP="00B05CEF">
      <w:pPr>
        <w:pStyle w:val="ACText"/>
        <w:rPr>
          <w:b/>
          <w:sz w:val="22"/>
          <w:szCs w:val="22"/>
        </w:rPr>
      </w:pPr>
      <w:r>
        <w:rPr>
          <w:b/>
          <w:sz w:val="22"/>
          <w:szCs w:val="22"/>
        </w:rPr>
        <w:t>20</w:t>
      </w:r>
      <w:r w:rsidR="00B05CEF" w:rsidRPr="00223E50">
        <w:rPr>
          <w:b/>
          <w:sz w:val="22"/>
          <w:szCs w:val="22"/>
        </w:rPr>
        <w:t>.</w:t>
      </w:r>
      <w:r w:rsidR="00B05CEF" w:rsidRPr="00223E50">
        <w:rPr>
          <w:b/>
          <w:sz w:val="22"/>
          <w:szCs w:val="22"/>
        </w:rPr>
        <w:tab/>
        <w:t xml:space="preserve">Creditors: amounts falling due after more than </w:t>
      </w:r>
      <w:r w:rsidR="00B05CEF">
        <w:rPr>
          <w:b/>
          <w:sz w:val="22"/>
          <w:szCs w:val="22"/>
        </w:rPr>
        <w:t>one year (continued)</w:t>
      </w:r>
    </w:p>
    <w:p w14:paraId="5980147A" w14:textId="77777777" w:rsidR="00B05CEF" w:rsidRDefault="00B05CEF" w:rsidP="00B05CEF">
      <w:pPr>
        <w:pStyle w:val="ACText"/>
      </w:pPr>
    </w:p>
    <w:tbl>
      <w:tblPr>
        <w:tblW w:w="8733" w:type="dxa"/>
        <w:tblInd w:w="108" w:type="dxa"/>
        <w:tblLayout w:type="fixed"/>
        <w:tblLook w:val="04A0" w:firstRow="1" w:lastRow="0" w:firstColumn="1" w:lastColumn="0" w:noHBand="0" w:noVBand="1"/>
      </w:tblPr>
      <w:tblGrid>
        <w:gridCol w:w="4868"/>
        <w:gridCol w:w="1545"/>
        <w:gridCol w:w="1159"/>
        <w:gridCol w:w="1161"/>
      </w:tblGrid>
      <w:tr w:rsidR="000F14C3" w:rsidRPr="00F75532" w14:paraId="0219F188" w14:textId="77777777" w:rsidTr="00FD59D8">
        <w:trPr>
          <w:trHeight w:val="269"/>
        </w:trPr>
        <w:tc>
          <w:tcPr>
            <w:tcW w:w="6413" w:type="dxa"/>
            <w:gridSpan w:val="2"/>
            <w:shd w:val="clear" w:color="auto" w:fill="auto"/>
            <w:vAlign w:val="bottom"/>
            <w:hideMark/>
          </w:tcPr>
          <w:p w14:paraId="709B0EA3" w14:textId="77777777" w:rsidR="000F14C3" w:rsidRPr="007B0A92" w:rsidRDefault="000F14C3" w:rsidP="00773037">
            <w:pPr>
              <w:ind w:right="1451"/>
              <w:rPr>
                <w:b/>
                <w:sz w:val="22"/>
                <w:szCs w:val="22"/>
              </w:rPr>
            </w:pPr>
            <w:r w:rsidRPr="007B0A92">
              <w:rPr>
                <w:b/>
                <w:sz w:val="22"/>
                <w:szCs w:val="22"/>
              </w:rPr>
              <w:t>Deferred income to be released to the Statement of Comprehensive Income:</w:t>
            </w:r>
          </w:p>
        </w:tc>
        <w:tc>
          <w:tcPr>
            <w:tcW w:w="1159" w:type="dxa"/>
            <w:shd w:val="clear" w:color="auto" w:fill="auto"/>
            <w:noWrap/>
            <w:vAlign w:val="center"/>
          </w:tcPr>
          <w:p w14:paraId="078D76AF" w14:textId="441502AA" w:rsidR="000F14C3" w:rsidRPr="00670E4A" w:rsidRDefault="00A16AF9" w:rsidP="00773037">
            <w:pPr>
              <w:jc w:val="right"/>
              <w:rPr>
                <w:b/>
                <w:sz w:val="22"/>
                <w:szCs w:val="22"/>
              </w:rPr>
            </w:pPr>
            <w:r>
              <w:rPr>
                <w:b/>
                <w:sz w:val="22"/>
                <w:szCs w:val="22"/>
              </w:rPr>
              <w:t>202</w:t>
            </w:r>
            <w:r w:rsidR="00936048">
              <w:rPr>
                <w:b/>
                <w:sz w:val="22"/>
                <w:szCs w:val="22"/>
              </w:rPr>
              <w:t>4</w:t>
            </w:r>
          </w:p>
          <w:p w14:paraId="590EC79A" w14:textId="77777777" w:rsidR="000F14C3" w:rsidRPr="00670E4A" w:rsidRDefault="000F14C3" w:rsidP="00773037">
            <w:pPr>
              <w:jc w:val="right"/>
              <w:rPr>
                <w:b/>
                <w:sz w:val="22"/>
                <w:szCs w:val="22"/>
              </w:rPr>
            </w:pPr>
            <w:r w:rsidRPr="00670E4A">
              <w:rPr>
                <w:b/>
                <w:sz w:val="22"/>
                <w:szCs w:val="22"/>
              </w:rPr>
              <w:t>£’000</w:t>
            </w:r>
          </w:p>
        </w:tc>
        <w:tc>
          <w:tcPr>
            <w:tcW w:w="1161" w:type="dxa"/>
            <w:vAlign w:val="center"/>
          </w:tcPr>
          <w:p w14:paraId="270C4958" w14:textId="62117DD3" w:rsidR="000F14C3" w:rsidRPr="00670E4A" w:rsidRDefault="00A16AF9" w:rsidP="00773037">
            <w:pPr>
              <w:jc w:val="right"/>
              <w:rPr>
                <w:b/>
                <w:sz w:val="22"/>
                <w:szCs w:val="22"/>
              </w:rPr>
            </w:pPr>
            <w:r>
              <w:rPr>
                <w:b/>
                <w:sz w:val="22"/>
                <w:szCs w:val="22"/>
              </w:rPr>
              <w:t>202</w:t>
            </w:r>
            <w:r w:rsidR="00936048">
              <w:rPr>
                <w:b/>
                <w:sz w:val="22"/>
                <w:szCs w:val="22"/>
              </w:rPr>
              <w:t>3</w:t>
            </w:r>
          </w:p>
          <w:p w14:paraId="1D668C1D" w14:textId="77777777" w:rsidR="000F14C3" w:rsidRPr="00670E4A" w:rsidRDefault="000F14C3" w:rsidP="00773037">
            <w:pPr>
              <w:jc w:val="right"/>
              <w:rPr>
                <w:b/>
                <w:sz w:val="22"/>
                <w:szCs w:val="22"/>
              </w:rPr>
            </w:pPr>
            <w:r w:rsidRPr="00670E4A">
              <w:rPr>
                <w:b/>
                <w:sz w:val="22"/>
                <w:szCs w:val="22"/>
              </w:rPr>
              <w:t>£’000</w:t>
            </w:r>
          </w:p>
        </w:tc>
      </w:tr>
      <w:tr w:rsidR="00936048" w:rsidRPr="00F75532" w14:paraId="73F5E112" w14:textId="77777777" w:rsidTr="00FD59D8">
        <w:trPr>
          <w:trHeight w:val="269"/>
        </w:trPr>
        <w:tc>
          <w:tcPr>
            <w:tcW w:w="4868" w:type="dxa"/>
            <w:shd w:val="clear" w:color="auto" w:fill="auto"/>
            <w:vAlign w:val="bottom"/>
            <w:hideMark/>
          </w:tcPr>
          <w:p w14:paraId="38539C57" w14:textId="1DE9D7E1" w:rsidR="00936048" w:rsidRPr="007B0A92" w:rsidRDefault="00936048" w:rsidP="00936048">
            <w:pPr>
              <w:rPr>
                <w:sz w:val="22"/>
                <w:szCs w:val="22"/>
              </w:rPr>
            </w:pPr>
            <w:r w:rsidRPr="007B0A92">
              <w:rPr>
                <w:sz w:val="22"/>
                <w:szCs w:val="22"/>
              </w:rPr>
              <w:t xml:space="preserve">In less than one year (note </w:t>
            </w:r>
            <w:r>
              <w:rPr>
                <w:sz w:val="22"/>
                <w:szCs w:val="22"/>
              </w:rPr>
              <w:t>19</w:t>
            </w:r>
            <w:r w:rsidRPr="007B0A92">
              <w:rPr>
                <w:sz w:val="22"/>
                <w:szCs w:val="22"/>
              </w:rPr>
              <w:t>)</w:t>
            </w:r>
          </w:p>
        </w:tc>
        <w:tc>
          <w:tcPr>
            <w:tcW w:w="1545" w:type="dxa"/>
            <w:shd w:val="clear" w:color="auto" w:fill="auto"/>
            <w:noWrap/>
            <w:vAlign w:val="bottom"/>
          </w:tcPr>
          <w:p w14:paraId="7AA17658" w14:textId="77777777" w:rsidR="00936048" w:rsidRPr="007B0A92" w:rsidRDefault="00936048" w:rsidP="00936048">
            <w:pPr>
              <w:jc w:val="right"/>
              <w:rPr>
                <w:sz w:val="22"/>
                <w:szCs w:val="22"/>
              </w:rPr>
            </w:pPr>
          </w:p>
        </w:tc>
        <w:tc>
          <w:tcPr>
            <w:tcW w:w="1159" w:type="dxa"/>
            <w:shd w:val="clear" w:color="auto" w:fill="auto"/>
            <w:noWrap/>
            <w:vAlign w:val="bottom"/>
          </w:tcPr>
          <w:p w14:paraId="1F45FC6A" w14:textId="389F81BD" w:rsidR="00936048" w:rsidRPr="00670E4A" w:rsidRDefault="00FE284A" w:rsidP="00936048">
            <w:pPr>
              <w:jc w:val="right"/>
              <w:rPr>
                <w:sz w:val="22"/>
                <w:szCs w:val="22"/>
              </w:rPr>
            </w:pPr>
            <w:r>
              <w:rPr>
                <w:sz w:val="22"/>
                <w:szCs w:val="22"/>
              </w:rPr>
              <w:t>16,417</w:t>
            </w:r>
          </w:p>
        </w:tc>
        <w:tc>
          <w:tcPr>
            <w:tcW w:w="1161" w:type="dxa"/>
            <w:vAlign w:val="bottom"/>
          </w:tcPr>
          <w:p w14:paraId="5AF13E74" w14:textId="530FE6D9" w:rsidR="00936048" w:rsidRPr="00670E4A" w:rsidRDefault="00936048" w:rsidP="00936048">
            <w:pPr>
              <w:jc w:val="right"/>
              <w:rPr>
                <w:sz w:val="22"/>
                <w:szCs w:val="22"/>
              </w:rPr>
            </w:pPr>
            <w:r>
              <w:rPr>
                <w:sz w:val="22"/>
                <w:szCs w:val="22"/>
              </w:rPr>
              <w:t>6,599</w:t>
            </w:r>
          </w:p>
        </w:tc>
      </w:tr>
      <w:tr w:rsidR="00936048" w:rsidRPr="00F75532" w14:paraId="2701A4C1" w14:textId="77777777" w:rsidTr="00FD59D8">
        <w:trPr>
          <w:trHeight w:val="269"/>
        </w:trPr>
        <w:tc>
          <w:tcPr>
            <w:tcW w:w="4868" w:type="dxa"/>
            <w:shd w:val="clear" w:color="auto" w:fill="auto"/>
            <w:vAlign w:val="bottom"/>
          </w:tcPr>
          <w:p w14:paraId="3AC87630" w14:textId="77777777" w:rsidR="00936048" w:rsidRPr="007B0A92" w:rsidRDefault="00936048" w:rsidP="00936048">
            <w:pPr>
              <w:rPr>
                <w:sz w:val="22"/>
                <w:szCs w:val="22"/>
              </w:rPr>
            </w:pPr>
            <w:r w:rsidRPr="007B0A92">
              <w:rPr>
                <w:sz w:val="22"/>
                <w:szCs w:val="22"/>
              </w:rPr>
              <w:t>In more than one year but not less than five years</w:t>
            </w:r>
          </w:p>
        </w:tc>
        <w:tc>
          <w:tcPr>
            <w:tcW w:w="1545" w:type="dxa"/>
            <w:shd w:val="clear" w:color="auto" w:fill="auto"/>
            <w:noWrap/>
            <w:vAlign w:val="bottom"/>
          </w:tcPr>
          <w:p w14:paraId="376AD2A6" w14:textId="77777777" w:rsidR="00936048" w:rsidRPr="007B0A92" w:rsidRDefault="00936048" w:rsidP="00936048">
            <w:pPr>
              <w:jc w:val="right"/>
              <w:rPr>
                <w:sz w:val="22"/>
                <w:szCs w:val="22"/>
              </w:rPr>
            </w:pPr>
          </w:p>
        </w:tc>
        <w:tc>
          <w:tcPr>
            <w:tcW w:w="1159" w:type="dxa"/>
            <w:shd w:val="clear" w:color="auto" w:fill="auto"/>
            <w:noWrap/>
            <w:vAlign w:val="bottom"/>
          </w:tcPr>
          <w:p w14:paraId="18200186" w14:textId="52190D18" w:rsidR="00936048" w:rsidRPr="00670E4A" w:rsidRDefault="00FE284A" w:rsidP="00936048">
            <w:pPr>
              <w:jc w:val="right"/>
              <w:rPr>
                <w:sz w:val="22"/>
                <w:szCs w:val="22"/>
              </w:rPr>
            </w:pPr>
            <w:r>
              <w:rPr>
                <w:sz w:val="22"/>
                <w:szCs w:val="22"/>
              </w:rPr>
              <w:t>3,967</w:t>
            </w:r>
          </w:p>
        </w:tc>
        <w:tc>
          <w:tcPr>
            <w:tcW w:w="1161" w:type="dxa"/>
            <w:vAlign w:val="bottom"/>
          </w:tcPr>
          <w:p w14:paraId="1EE735A4" w14:textId="43A04283" w:rsidR="00936048" w:rsidRPr="00670E4A" w:rsidRDefault="00936048" w:rsidP="00936048">
            <w:pPr>
              <w:jc w:val="right"/>
              <w:rPr>
                <w:sz w:val="22"/>
                <w:szCs w:val="22"/>
              </w:rPr>
            </w:pPr>
            <w:r>
              <w:rPr>
                <w:sz w:val="22"/>
                <w:szCs w:val="22"/>
              </w:rPr>
              <w:t>6,645</w:t>
            </w:r>
          </w:p>
        </w:tc>
      </w:tr>
      <w:tr w:rsidR="00936048" w:rsidRPr="000A6870" w14:paraId="72334B21" w14:textId="77777777" w:rsidTr="00FD59D8">
        <w:trPr>
          <w:trHeight w:val="269"/>
        </w:trPr>
        <w:tc>
          <w:tcPr>
            <w:tcW w:w="4868" w:type="dxa"/>
            <w:shd w:val="clear" w:color="auto" w:fill="auto"/>
            <w:noWrap/>
            <w:vAlign w:val="bottom"/>
            <w:hideMark/>
          </w:tcPr>
          <w:p w14:paraId="051A413B" w14:textId="77777777" w:rsidR="00936048" w:rsidRPr="007B0A92" w:rsidRDefault="00936048" w:rsidP="00936048">
            <w:pPr>
              <w:rPr>
                <w:sz w:val="22"/>
                <w:szCs w:val="22"/>
              </w:rPr>
            </w:pPr>
            <w:r w:rsidRPr="007B0A92">
              <w:rPr>
                <w:sz w:val="22"/>
                <w:szCs w:val="22"/>
              </w:rPr>
              <w:t>In more than five years</w:t>
            </w:r>
          </w:p>
        </w:tc>
        <w:tc>
          <w:tcPr>
            <w:tcW w:w="1545" w:type="dxa"/>
            <w:shd w:val="clear" w:color="auto" w:fill="auto"/>
            <w:noWrap/>
            <w:vAlign w:val="bottom"/>
          </w:tcPr>
          <w:p w14:paraId="5B4521FD" w14:textId="77777777" w:rsidR="00936048" w:rsidRPr="007B0A92" w:rsidRDefault="00936048" w:rsidP="00936048">
            <w:pPr>
              <w:jc w:val="right"/>
              <w:rPr>
                <w:sz w:val="22"/>
                <w:szCs w:val="22"/>
              </w:rPr>
            </w:pPr>
          </w:p>
        </w:tc>
        <w:tc>
          <w:tcPr>
            <w:tcW w:w="1159" w:type="dxa"/>
            <w:tcBorders>
              <w:bottom w:val="single" w:sz="4" w:space="0" w:color="auto"/>
            </w:tcBorders>
            <w:shd w:val="clear" w:color="auto" w:fill="auto"/>
            <w:noWrap/>
            <w:vAlign w:val="bottom"/>
          </w:tcPr>
          <w:p w14:paraId="0635D189" w14:textId="5D55FF9B" w:rsidR="00936048" w:rsidRPr="00670E4A" w:rsidRDefault="00FE284A" w:rsidP="00936048">
            <w:pPr>
              <w:jc w:val="right"/>
              <w:rPr>
                <w:sz w:val="22"/>
                <w:szCs w:val="22"/>
              </w:rPr>
            </w:pPr>
            <w:r>
              <w:rPr>
                <w:sz w:val="22"/>
                <w:szCs w:val="22"/>
              </w:rPr>
              <w:t>-</w:t>
            </w:r>
          </w:p>
        </w:tc>
        <w:tc>
          <w:tcPr>
            <w:tcW w:w="1161" w:type="dxa"/>
            <w:tcBorders>
              <w:bottom w:val="single" w:sz="4" w:space="0" w:color="auto"/>
            </w:tcBorders>
            <w:vAlign w:val="bottom"/>
          </w:tcPr>
          <w:p w14:paraId="59B43A74" w14:textId="6F387473" w:rsidR="00936048" w:rsidRPr="00670E4A" w:rsidRDefault="00936048" w:rsidP="00936048">
            <w:pPr>
              <w:jc w:val="right"/>
              <w:rPr>
                <w:sz w:val="22"/>
                <w:szCs w:val="22"/>
              </w:rPr>
            </w:pPr>
            <w:r>
              <w:rPr>
                <w:sz w:val="22"/>
                <w:szCs w:val="22"/>
              </w:rPr>
              <w:t>-</w:t>
            </w:r>
          </w:p>
        </w:tc>
      </w:tr>
      <w:tr w:rsidR="00936048" w:rsidRPr="000A6870" w14:paraId="408B8BEE" w14:textId="77777777" w:rsidTr="00FD59D8">
        <w:trPr>
          <w:trHeight w:val="269"/>
        </w:trPr>
        <w:tc>
          <w:tcPr>
            <w:tcW w:w="4868" w:type="dxa"/>
            <w:shd w:val="clear" w:color="auto" w:fill="auto"/>
            <w:noWrap/>
            <w:vAlign w:val="bottom"/>
          </w:tcPr>
          <w:p w14:paraId="34D62CC5" w14:textId="77777777" w:rsidR="00936048" w:rsidRPr="007B0A92" w:rsidRDefault="00936048" w:rsidP="00936048">
            <w:pPr>
              <w:rPr>
                <w:sz w:val="22"/>
                <w:szCs w:val="22"/>
              </w:rPr>
            </w:pPr>
          </w:p>
        </w:tc>
        <w:tc>
          <w:tcPr>
            <w:tcW w:w="1545" w:type="dxa"/>
            <w:shd w:val="clear" w:color="auto" w:fill="auto"/>
            <w:noWrap/>
            <w:vAlign w:val="bottom"/>
          </w:tcPr>
          <w:p w14:paraId="17805E1B" w14:textId="77777777" w:rsidR="00936048" w:rsidRPr="007B0A92" w:rsidRDefault="00936048" w:rsidP="00936048">
            <w:pPr>
              <w:jc w:val="right"/>
              <w:rPr>
                <w:sz w:val="22"/>
                <w:szCs w:val="22"/>
              </w:rPr>
            </w:pPr>
          </w:p>
        </w:tc>
        <w:tc>
          <w:tcPr>
            <w:tcW w:w="1159" w:type="dxa"/>
            <w:tcBorders>
              <w:top w:val="single" w:sz="4" w:space="0" w:color="auto"/>
              <w:bottom w:val="single" w:sz="4" w:space="0" w:color="auto"/>
            </w:tcBorders>
            <w:shd w:val="clear" w:color="auto" w:fill="auto"/>
            <w:noWrap/>
            <w:vAlign w:val="bottom"/>
          </w:tcPr>
          <w:p w14:paraId="32A6F1CC" w14:textId="4C5F6CA7" w:rsidR="00936048" w:rsidRPr="00670E4A" w:rsidRDefault="00FE284A" w:rsidP="00936048">
            <w:pPr>
              <w:jc w:val="right"/>
              <w:rPr>
                <w:sz w:val="22"/>
                <w:szCs w:val="22"/>
              </w:rPr>
            </w:pPr>
            <w:r>
              <w:rPr>
                <w:sz w:val="22"/>
                <w:szCs w:val="22"/>
              </w:rPr>
              <w:t>20,384</w:t>
            </w:r>
          </w:p>
        </w:tc>
        <w:tc>
          <w:tcPr>
            <w:tcW w:w="1161" w:type="dxa"/>
            <w:tcBorders>
              <w:top w:val="single" w:sz="4" w:space="0" w:color="auto"/>
              <w:bottom w:val="single" w:sz="4" w:space="0" w:color="auto"/>
            </w:tcBorders>
            <w:vAlign w:val="bottom"/>
          </w:tcPr>
          <w:p w14:paraId="4996FD98" w14:textId="7DE43D91" w:rsidR="00936048" w:rsidRPr="00670E4A" w:rsidRDefault="00936048" w:rsidP="00936048">
            <w:pPr>
              <w:jc w:val="right"/>
              <w:rPr>
                <w:sz w:val="22"/>
                <w:szCs w:val="22"/>
              </w:rPr>
            </w:pPr>
            <w:r>
              <w:rPr>
                <w:sz w:val="22"/>
                <w:szCs w:val="22"/>
              </w:rPr>
              <w:t>13,244</w:t>
            </w:r>
          </w:p>
        </w:tc>
      </w:tr>
    </w:tbl>
    <w:p w14:paraId="4F1C518D" w14:textId="77777777" w:rsidR="00795442" w:rsidRDefault="00795442" w:rsidP="00AC74E3">
      <w:pPr>
        <w:rPr>
          <w:b/>
          <w:sz w:val="22"/>
        </w:rPr>
      </w:pPr>
    </w:p>
    <w:p w14:paraId="7F0E9499" w14:textId="0E6970CC" w:rsidR="00875971" w:rsidRDefault="00875971" w:rsidP="00AC74E3">
      <w:pPr>
        <w:rPr>
          <w:b/>
          <w:sz w:val="22"/>
        </w:rPr>
      </w:pPr>
      <w:r w:rsidRPr="000F14C3">
        <w:rPr>
          <w:b/>
          <w:sz w:val="22"/>
        </w:rPr>
        <w:t>Financial instruments</w:t>
      </w:r>
    </w:p>
    <w:tbl>
      <w:tblPr>
        <w:tblW w:w="8651" w:type="dxa"/>
        <w:tblInd w:w="108" w:type="dxa"/>
        <w:tblLayout w:type="fixed"/>
        <w:tblLook w:val="04A0" w:firstRow="1" w:lastRow="0" w:firstColumn="1" w:lastColumn="0" w:noHBand="0" w:noVBand="1"/>
      </w:tblPr>
      <w:tblGrid>
        <w:gridCol w:w="4607"/>
        <w:gridCol w:w="1806"/>
        <w:gridCol w:w="1264"/>
        <w:gridCol w:w="974"/>
      </w:tblGrid>
      <w:tr w:rsidR="00875971" w:rsidRPr="00F4705F" w14:paraId="21876A0C" w14:textId="77777777" w:rsidTr="00FD59D8">
        <w:trPr>
          <w:trHeight w:val="285"/>
        </w:trPr>
        <w:tc>
          <w:tcPr>
            <w:tcW w:w="4607" w:type="dxa"/>
            <w:vAlign w:val="bottom"/>
          </w:tcPr>
          <w:p w14:paraId="6D67C065" w14:textId="77777777" w:rsidR="00875971" w:rsidRPr="006F7AC7" w:rsidRDefault="00875971" w:rsidP="00A35831">
            <w:pPr>
              <w:rPr>
                <w:sz w:val="20"/>
                <w:szCs w:val="16"/>
              </w:rPr>
            </w:pPr>
          </w:p>
        </w:tc>
        <w:tc>
          <w:tcPr>
            <w:tcW w:w="1806" w:type="dxa"/>
            <w:vAlign w:val="bottom"/>
          </w:tcPr>
          <w:p w14:paraId="404CC49F" w14:textId="77777777" w:rsidR="00875971" w:rsidRPr="006F7AC7" w:rsidRDefault="00875971" w:rsidP="00A35831">
            <w:pPr>
              <w:jc w:val="center"/>
              <w:rPr>
                <w:b/>
                <w:bCs/>
                <w:sz w:val="20"/>
                <w:szCs w:val="16"/>
              </w:rPr>
            </w:pPr>
          </w:p>
        </w:tc>
        <w:tc>
          <w:tcPr>
            <w:tcW w:w="1264" w:type="dxa"/>
            <w:vAlign w:val="bottom"/>
            <w:hideMark/>
          </w:tcPr>
          <w:p w14:paraId="5C1FF12F" w14:textId="554D10AE" w:rsidR="00875971" w:rsidRPr="00F4705F" w:rsidRDefault="00875971" w:rsidP="00A35831">
            <w:pPr>
              <w:jc w:val="center"/>
              <w:rPr>
                <w:b/>
                <w:bCs/>
                <w:sz w:val="20"/>
                <w:szCs w:val="16"/>
              </w:rPr>
            </w:pPr>
            <w:r w:rsidRPr="00F4705F">
              <w:rPr>
                <w:b/>
                <w:bCs/>
                <w:sz w:val="20"/>
                <w:szCs w:val="16"/>
              </w:rPr>
              <w:t>202</w:t>
            </w:r>
            <w:r w:rsidR="00972454" w:rsidRPr="00F4705F">
              <w:rPr>
                <w:b/>
                <w:bCs/>
                <w:sz w:val="20"/>
                <w:szCs w:val="16"/>
              </w:rPr>
              <w:t>4</w:t>
            </w:r>
          </w:p>
        </w:tc>
        <w:tc>
          <w:tcPr>
            <w:tcW w:w="974" w:type="dxa"/>
            <w:vAlign w:val="bottom"/>
          </w:tcPr>
          <w:p w14:paraId="507487B7" w14:textId="100E123D" w:rsidR="00875971" w:rsidRPr="00F4705F" w:rsidRDefault="0076711F" w:rsidP="00A35831">
            <w:pPr>
              <w:jc w:val="center"/>
              <w:rPr>
                <w:b/>
                <w:bCs/>
                <w:sz w:val="20"/>
                <w:szCs w:val="16"/>
              </w:rPr>
            </w:pPr>
            <w:r w:rsidRPr="00F4705F">
              <w:rPr>
                <w:b/>
                <w:bCs/>
                <w:sz w:val="20"/>
                <w:szCs w:val="16"/>
              </w:rPr>
              <w:t>202</w:t>
            </w:r>
            <w:r w:rsidR="00972454" w:rsidRPr="00F4705F">
              <w:rPr>
                <w:b/>
                <w:bCs/>
                <w:sz w:val="20"/>
                <w:szCs w:val="16"/>
              </w:rPr>
              <w:t>3</w:t>
            </w:r>
          </w:p>
        </w:tc>
      </w:tr>
      <w:tr w:rsidR="00875971" w:rsidRPr="00F4705F" w14:paraId="32EE74C9" w14:textId="77777777" w:rsidTr="00FD59D8">
        <w:trPr>
          <w:trHeight w:val="285"/>
        </w:trPr>
        <w:tc>
          <w:tcPr>
            <w:tcW w:w="4607" w:type="dxa"/>
            <w:vAlign w:val="bottom"/>
            <w:hideMark/>
          </w:tcPr>
          <w:p w14:paraId="62FC1DC8" w14:textId="77777777" w:rsidR="00875971" w:rsidRPr="00F4705F" w:rsidRDefault="00875971" w:rsidP="00A35831">
            <w:pPr>
              <w:rPr>
                <w:b/>
                <w:sz w:val="22"/>
                <w:szCs w:val="18"/>
              </w:rPr>
            </w:pPr>
            <w:r w:rsidRPr="00F4705F">
              <w:rPr>
                <w:b/>
                <w:sz w:val="22"/>
                <w:szCs w:val="18"/>
              </w:rPr>
              <w:t>Financial assets:</w:t>
            </w:r>
          </w:p>
        </w:tc>
        <w:tc>
          <w:tcPr>
            <w:tcW w:w="1806" w:type="dxa"/>
            <w:vAlign w:val="bottom"/>
          </w:tcPr>
          <w:p w14:paraId="7D0F702C" w14:textId="77777777" w:rsidR="00875971" w:rsidRPr="00F4705F" w:rsidRDefault="00875971" w:rsidP="00A35831">
            <w:pPr>
              <w:ind w:right="72"/>
              <w:jc w:val="center"/>
              <w:rPr>
                <w:b/>
                <w:bCs/>
                <w:sz w:val="22"/>
                <w:szCs w:val="18"/>
              </w:rPr>
            </w:pPr>
          </w:p>
        </w:tc>
        <w:tc>
          <w:tcPr>
            <w:tcW w:w="1264" w:type="dxa"/>
            <w:vAlign w:val="center"/>
            <w:hideMark/>
          </w:tcPr>
          <w:p w14:paraId="544F451D" w14:textId="77777777" w:rsidR="00875971" w:rsidRPr="00F4705F" w:rsidRDefault="00875971" w:rsidP="00A35831">
            <w:pPr>
              <w:ind w:right="44"/>
              <w:jc w:val="center"/>
              <w:rPr>
                <w:b/>
                <w:bCs/>
                <w:sz w:val="22"/>
                <w:szCs w:val="18"/>
              </w:rPr>
            </w:pPr>
            <w:r w:rsidRPr="00F4705F">
              <w:rPr>
                <w:b/>
                <w:bCs/>
                <w:sz w:val="22"/>
                <w:szCs w:val="18"/>
              </w:rPr>
              <w:t>£’000</w:t>
            </w:r>
          </w:p>
        </w:tc>
        <w:tc>
          <w:tcPr>
            <w:tcW w:w="974" w:type="dxa"/>
            <w:vAlign w:val="center"/>
          </w:tcPr>
          <w:p w14:paraId="001B5091" w14:textId="77777777" w:rsidR="00875971" w:rsidRPr="00F4705F" w:rsidRDefault="00875971" w:rsidP="00A35831">
            <w:pPr>
              <w:ind w:right="44"/>
              <w:jc w:val="center"/>
              <w:rPr>
                <w:b/>
                <w:bCs/>
                <w:sz w:val="22"/>
                <w:szCs w:val="18"/>
              </w:rPr>
            </w:pPr>
            <w:r w:rsidRPr="00F4705F">
              <w:rPr>
                <w:b/>
                <w:bCs/>
                <w:sz w:val="22"/>
                <w:szCs w:val="18"/>
              </w:rPr>
              <w:t>£’000</w:t>
            </w:r>
          </w:p>
        </w:tc>
      </w:tr>
      <w:tr w:rsidR="0076711F" w:rsidRPr="00F4705F" w14:paraId="14D29965" w14:textId="77777777" w:rsidTr="00FD59D8">
        <w:trPr>
          <w:trHeight w:val="285"/>
        </w:trPr>
        <w:tc>
          <w:tcPr>
            <w:tcW w:w="4607" w:type="dxa"/>
            <w:vAlign w:val="bottom"/>
            <w:hideMark/>
          </w:tcPr>
          <w:p w14:paraId="2E01DAA6" w14:textId="77777777" w:rsidR="0076711F" w:rsidRPr="00F4705F" w:rsidRDefault="0076711F" w:rsidP="0076711F">
            <w:pPr>
              <w:rPr>
                <w:sz w:val="22"/>
                <w:szCs w:val="18"/>
                <w:u w:val="single"/>
              </w:rPr>
            </w:pPr>
            <w:r w:rsidRPr="00F4705F">
              <w:rPr>
                <w:sz w:val="22"/>
                <w:szCs w:val="18"/>
                <w:u w:val="single"/>
              </w:rPr>
              <w:t>Measured at amortised cost:</w:t>
            </w:r>
          </w:p>
        </w:tc>
        <w:tc>
          <w:tcPr>
            <w:tcW w:w="1806" w:type="dxa"/>
            <w:vAlign w:val="bottom"/>
          </w:tcPr>
          <w:p w14:paraId="182DDDC3" w14:textId="77777777" w:rsidR="0076711F" w:rsidRPr="00F4705F" w:rsidRDefault="0076711F" w:rsidP="0076711F">
            <w:pPr>
              <w:jc w:val="center"/>
              <w:rPr>
                <w:bCs/>
                <w:sz w:val="22"/>
                <w:szCs w:val="22"/>
              </w:rPr>
            </w:pPr>
          </w:p>
        </w:tc>
        <w:tc>
          <w:tcPr>
            <w:tcW w:w="1264" w:type="dxa"/>
            <w:vAlign w:val="bottom"/>
          </w:tcPr>
          <w:p w14:paraId="32A131F2" w14:textId="77777777" w:rsidR="0076711F" w:rsidRPr="00F4705F" w:rsidRDefault="0076711F" w:rsidP="0076711F">
            <w:pPr>
              <w:ind w:right="44"/>
              <w:jc w:val="center"/>
              <w:rPr>
                <w:sz w:val="22"/>
                <w:szCs w:val="22"/>
              </w:rPr>
            </w:pPr>
          </w:p>
        </w:tc>
        <w:tc>
          <w:tcPr>
            <w:tcW w:w="974" w:type="dxa"/>
            <w:vAlign w:val="bottom"/>
          </w:tcPr>
          <w:p w14:paraId="6D05DBEA" w14:textId="77777777" w:rsidR="0076711F" w:rsidRPr="00F4705F" w:rsidRDefault="0076711F" w:rsidP="0076711F">
            <w:pPr>
              <w:ind w:right="44"/>
              <w:jc w:val="center"/>
              <w:rPr>
                <w:sz w:val="22"/>
                <w:szCs w:val="22"/>
              </w:rPr>
            </w:pPr>
          </w:p>
        </w:tc>
      </w:tr>
      <w:tr w:rsidR="002B0FE8" w:rsidRPr="00F4705F" w14:paraId="0CE8FA4C" w14:textId="77777777" w:rsidTr="00FD59D8">
        <w:trPr>
          <w:trHeight w:val="285"/>
        </w:trPr>
        <w:tc>
          <w:tcPr>
            <w:tcW w:w="4607" w:type="dxa"/>
            <w:vAlign w:val="bottom"/>
            <w:hideMark/>
          </w:tcPr>
          <w:p w14:paraId="6E53750E" w14:textId="77777777" w:rsidR="002B0FE8" w:rsidRPr="00F4705F" w:rsidRDefault="002B0FE8" w:rsidP="002B0FE8">
            <w:pPr>
              <w:rPr>
                <w:sz w:val="22"/>
                <w:szCs w:val="18"/>
              </w:rPr>
            </w:pPr>
            <w:r w:rsidRPr="00F4705F">
              <w:rPr>
                <w:spacing w:val="-2"/>
                <w:sz w:val="22"/>
                <w:szCs w:val="22"/>
              </w:rPr>
              <w:t>Debtors and accrued income</w:t>
            </w:r>
          </w:p>
        </w:tc>
        <w:tc>
          <w:tcPr>
            <w:tcW w:w="1806" w:type="dxa"/>
            <w:vAlign w:val="bottom"/>
          </w:tcPr>
          <w:p w14:paraId="12BE913A" w14:textId="77777777" w:rsidR="002B0FE8" w:rsidRPr="00F4705F" w:rsidRDefault="002B0FE8" w:rsidP="002B0FE8">
            <w:pPr>
              <w:jc w:val="center"/>
              <w:rPr>
                <w:bCs/>
                <w:sz w:val="22"/>
                <w:szCs w:val="22"/>
              </w:rPr>
            </w:pPr>
          </w:p>
        </w:tc>
        <w:tc>
          <w:tcPr>
            <w:tcW w:w="1264" w:type="dxa"/>
            <w:vAlign w:val="bottom"/>
          </w:tcPr>
          <w:p w14:paraId="33D60A5B" w14:textId="5EABC4CA" w:rsidR="002B0FE8" w:rsidRPr="00F4705F" w:rsidRDefault="000E3978" w:rsidP="002B0FE8">
            <w:pPr>
              <w:jc w:val="center"/>
              <w:rPr>
                <w:bCs/>
                <w:sz w:val="22"/>
                <w:szCs w:val="22"/>
              </w:rPr>
            </w:pPr>
            <w:r w:rsidRPr="00F4705F">
              <w:rPr>
                <w:bCs/>
                <w:sz w:val="22"/>
                <w:szCs w:val="22"/>
              </w:rPr>
              <w:t>8,06</w:t>
            </w:r>
            <w:r w:rsidR="00B12015" w:rsidRPr="00F4705F">
              <w:rPr>
                <w:bCs/>
                <w:sz w:val="22"/>
                <w:szCs w:val="22"/>
              </w:rPr>
              <w:t>9</w:t>
            </w:r>
          </w:p>
        </w:tc>
        <w:tc>
          <w:tcPr>
            <w:tcW w:w="974" w:type="dxa"/>
            <w:vAlign w:val="bottom"/>
          </w:tcPr>
          <w:p w14:paraId="355805F3" w14:textId="009B8C54" w:rsidR="002B0FE8" w:rsidRPr="00F4705F" w:rsidRDefault="002B0FE8" w:rsidP="002B0FE8">
            <w:pPr>
              <w:jc w:val="center"/>
              <w:rPr>
                <w:bCs/>
                <w:sz w:val="22"/>
                <w:szCs w:val="22"/>
              </w:rPr>
            </w:pPr>
            <w:r w:rsidRPr="00F4705F">
              <w:rPr>
                <w:bCs/>
                <w:sz w:val="22"/>
                <w:szCs w:val="22"/>
              </w:rPr>
              <w:t>8,</w:t>
            </w:r>
            <w:r w:rsidR="00972454" w:rsidRPr="00F4705F">
              <w:rPr>
                <w:bCs/>
                <w:sz w:val="22"/>
                <w:szCs w:val="22"/>
              </w:rPr>
              <w:t>719</w:t>
            </w:r>
          </w:p>
        </w:tc>
      </w:tr>
      <w:tr w:rsidR="002B0FE8" w:rsidRPr="00F4705F" w14:paraId="1149F5F2" w14:textId="77777777" w:rsidTr="00FD59D8">
        <w:trPr>
          <w:trHeight w:val="285"/>
        </w:trPr>
        <w:tc>
          <w:tcPr>
            <w:tcW w:w="4607" w:type="dxa"/>
            <w:vAlign w:val="bottom"/>
            <w:hideMark/>
          </w:tcPr>
          <w:p w14:paraId="114FC0E2" w14:textId="77777777" w:rsidR="002B0FE8" w:rsidRPr="00F4705F" w:rsidRDefault="002B0FE8" w:rsidP="002B0FE8">
            <w:pPr>
              <w:rPr>
                <w:sz w:val="22"/>
                <w:szCs w:val="18"/>
              </w:rPr>
            </w:pPr>
            <w:r w:rsidRPr="00F4705F">
              <w:rPr>
                <w:sz w:val="22"/>
                <w:szCs w:val="18"/>
              </w:rPr>
              <w:t>Total</w:t>
            </w:r>
          </w:p>
        </w:tc>
        <w:tc>
          <w:tcPr>
            <w:tcW w:w="1806" w:type="dxa"/>
            <w:vAlign w:val="bottom"/>
          </w:tcPr>
          <w:p w14:paraId="3BA75865" w14:textId="77777777" w:rsidR="002B0FE8" w:rsidRPr="00F4705F" w:rsidRDefault="002B0FE8" w:rsidP="002B0FE8">
            <w:pPr>
              <w:jc w:val="center"/>
              <w:rPr>
                <w:bCs/>
                <w:sz w:val="22"/>
                <w:szCs w:val="22"/>
              </w:rPr>
            </w:pPr>
          </w:p>
        </w:tc>
        <w:tc>
          <w:tcPr>
            <w:tcW w:w="1264" w:type="dxa"/>
            <w:tcBorders>
              <w:top w:val="single" w:sz="4" w:space="0" w:color="auto"/>
              <w:left w:val="nil"/>
              <w:bottom w:val="single" w:sz="4" w:space="0" w:color="auto"/>
              <w:right w:val="nil"/>
            </w:tcBorders>
            <w:vAlign w:val="bottom"/>
          </w:tcPr>
          <w:p w14:paraId="1DF700AC" w14:textId="43C4A288" w:rsidR="002B0FE8" w:rsidRPr="00F4705F" w:rsidRDefault="000E3978" w:rsidP="002B0FE8">
            <w:pPr>
              <w:ind w:right="44"/>
              <w:jc w:val="center"/>
              <w:rPr>
                <w:sz w:val="22"/>
                <w:szCs w:val="22"/>
              </w:rPr>
            </w:pPr>
            <w:r w:rsidRPr="00F4705F">
              <w:rPr>
                <w:sz w:val="22"/>
                <w:szCs w:val="22"/>
              </w:rPr>
              <w:t>8,06</w:t>
            </w:r>
            <w:r w:rsidR="00B12015" w:rsidRPr="00F4705F">
              <w:rPr>
                <w:sz w:val="22"/>
                <w:szCs w:val="22"/>
              </w:rPr>
              <w:t>9</w:t>
            </w:r>
          </w:p>
        </w:tc>
        <w:tc>
          <w:tcPr>
            <w:tcW w:w="974" w:type="dxa"/>
            <w:tcBorders>
              <w:top w:val="single" w:sz="4" w:space="0" w:color="auto"/>
              <w:left w:val="nil"/>
              <w:bottom w:val="single" w:sz="4" w:space="0" w:color="auto"/>
              <w:right w:val="nil"/>
            </w:tcBorders>
            <w:vAlign w:val="bottom"/>
          </w:tcPr>
          <w:p w14:paraId="27E18221" w14:textId="351EB53C" w:rsidR="002B0FE8" w:rsidRPr="00F4705F" w:rsidRDefault="002B0FE8" w:rsidP="002B0FE8">
            <w:pPr>
              <w:ind w:right="44"/>
              <w:jc w:val="center"/>
              <w:rPr>
                <w:sz w:val="22"/>
                <w:szCs w:val="22"/>
              </w:rPr>
            </w:pPr>
            <w:r w:rsidRPr="00F4705F">
              <w:rPr>
                <w:sz w:val="22"/>
                <w:szCs w:val="22"/>
              </w:rPr>
              <w:t>8,</w:t>
            </w:r>
            <w:r w:rsidR="00972454" w:rsidRPr="00F4705F">
              <w:rPr>
                <w:sz w:val="22"/>
                <w:szCs w:val="22"/>
              </w:rPr>
              <w:t>719</w:t>
            </w:r>
          </w:p>
        </w:tc>
      </w:tr>
    </w:tbl>
    <w:p w14:paraId="5D6D031A" w14:textId="77777777" w:rsidR="00875971" w:rsidRPr="00F4705F" w:rsidRDefault="00875971" w:rsidP="00AC74E3">
      <w:pPr>
        <w:rPr>
          <w:b/>
          <w:szCs w:val="28"/>
        </w:rPr>
      </w:pPr>
    </w:p>
    <w:tbl>
      <w:tblPr>
        <w:tblW w:w="8935" w:type="dxa"/>
        <w:tblInd w:w="108" w:type="dxa"/>
        <w:tblLayout w:type="fixed"/>
        <w:tblLook w:val="04A0" w:firstRow="1" w:lastRow="0" w:firstColumn="1" w:lastColumn="0" w:noHBand="0" w:noVBand="1"/>
      </w:tblPr>
      <w:tblGrid>
        <w:gridCol w:w="4677"/>
        <w:gridCol w:w="1736"/>
        <w:gridCol w:w="1380"/>
        <w:gridCol w:w="977"/>
        <w:gridCol w:w="11"/>
        <w:gridCol w:w="154"/>
      </w:tblGrid>
      <w:tr w:rsidR="00875971" w:rsidRPr="00F4705F" w14:paraId="4849019D" w14:textId="77777777" w:rsidTr="00FD59D8">
        <w:trPr>
          <w:trHeight w:val="302"/>
        </w:trPr>
        <w:tc>
          <w:tcPr>
            <w:tcW w:w="4677" w:type="dxa"/>
            <w:vAlign w:val="bottom"/>
          </w:tcPr>
          <w:p w14:paraId="03B68DC2" w14:textId="77777777" w:rsidR="00875971" w:rsidRPr="00F4705F" w:rsidRDefault="00875971" w:rsidP="00A35831">
            <w:pPr>
              <w:rPr>
                <w:sz w:val="22"/>
                <w:szCs w:val="18"/>
              </w:rPr>
            </w:pPr>
          </w:p>
        </w:tc>
        <w:tc>
          <w:tcPr>
            <w:tcW w:w="1736" w:type="dxa"/>
            <w:vAlign w:val="bottom"/>
          </w:tcPr>
          <w:p w14:paraId="0D69028D" w14:textId="77777777" w:rsidR="00875971" w:rsidRPr="00F4705F" w:rsidRDefault="00875971" w:rsidP="00A35831">
            <w:pPr>
              <w:jc w:val="center"/>
              <w:rPr>
                <w:b/>
                <w:bCs/>
                <w:sz w:val="22"/>
                <w:szCs w:val="18"/>
              </w:rPr>
            </w:pPr>
          </w:p>
        </w:tc>
        <w:tc>
          <w:tcPr>
            <w:tcW w:w="1380" w:type="dxa"/>
            <w:vAlign w:val="bottom"/>
            <w:hideMark/>
          </w:tcPr>
          <w:p w14:paraId="0ABEB935" w14:textId="678BFBC3" w:rsidR="00875971" w:rsidRPr="00F4705F" w:rsidRDefault="0076711F" w:rsidP="00A16AF9">
            <w:pPr>
              <w:jc w:val="center"/>
              <w:rPr>
                <w:b/>
                <w:bCs/>
                <w:sz w:val="22"/>
                <w:szCs w:val="18"/>
              </w:rPr>
            </w:pPr>
            <w:r w:rsidRPr="00F4705F">
              <w:rPr>
                <w:b/>
                <w:bCs/>
                <w:sz w:val="22"/>
                <w:szCs w:val="18"/>
              </w:rPr>
              <w:t>202</w:t>
            </w:r>
            <w:r w:rsidR="00907A6B" w:rsidRPr="00F4705F">
              <w:rPr>
                <w:b/>
                <w:bCs/>
                <w:sz w:val="22"/>
                <w:szCs w:val="18"/>
              </w:rPr>
              <w:t>4</w:t>
            </w:r>
          </w:p>
        </w:tc>
        <w:tc>
          <w:tcPr>
            <w:tcW w:w="1142" w:type="dxa"/>
            <w:gridSpan w:val="3"/>
            <w:vAlign w:val="bottom"/>
          </w:tcPr>
          <w:p w14:paraId="51D3E019" w14:textId="243E0BC5" w:rsidR="00875971" w:rsidRPr="00F4705F" w:rsidRDefault="0076711F" w:rsidP="00856990">
            <w:pPr>
              <w:jc w:val="center"/>
              <w:rPr>
                <w:b/>
                <w:bCs/>
                <w:sz w:val="22"/>
                <w:szCs w:val="18"/>
              </w:rPr>
            </w:pPr>
            <w:r w:rsidRPr="00F4705F">
              <w:rPr>
                <w:b/>
                <w:bCs/>
                <w:sz w:val="22"/>
                <w:szCs w:val="18"/>
              </w:rPr>
              <w:t>202</w:t>
            </w:r>
            <w:r w:rsidR="00907A6B" w:rsidRPr="00F4705F">
              <w:rPr>
                <w:b/>
                <w:bCs/>
                <w:sz w:val="22"/>
                <w:szCs w:val="18"/>
              </w:rPr>
              <w:t>3</w:t>
            </w:r>
          </w:p>
        </w:tc>
      </w:tr>
      <w:tr w:rsidR="00875971" w:rsidRPr="00F4705F" w14:paraId="4A7608B6" w14:textId="77777777" w:rsidTr="00FD59D8">
        <w:trPr>
          <w:trHeight w:val="302"/>
        </w:trPr>
        <w:tc>
          <w:tcPr>
            <w:tcW w:w="4677" w:type="dxa"/>
            <w:vAlign w:val="bottom"/>
          </w:tcPr>
          <w:p w14:paraId="33CFB868" w14:textId="77777777" w:rsidR="00875971" w:rsidRPr="00F4705F" w:rsidRDefault="00875971" w:rsidP="00A35831">
            <w:pPr>
              <w:rPr>
                <w:b/>
                <w:sz w:val="22"/>
                <w:szCs w:val="18"/>
              </w:rPr>
            </w:pPr>
          </w:p>
        </w:tc>
        <w:tc>
          <w:tcPr>
            <w:tcW w:w="1736" w:type="dxa"/>
            <w:vAlign w:val="bottom"/>
          </w:tcPr>
          <w:p w14:paraId="42E2357D" w14:textId="77777777" w:rsidR="00875971" w:rsidRPr="00F4705F" w:rsidRDefault="00875971" w:rsidP="00A35831">
            <w:pPr>
              <w:ind w:right="72"/>
              <w:jc w:val="center"/>
              <w:rPr>
                <w:b/>
                <w:bCs/>
                <w:sz w:val="22"/>
                <w:szCs w:val="18"/>
              </w:rPr>
            </w:pPr>
          </w:p>
        </w:tc>
        <w:tc>
          <w:tcPr>
            <w:tcW w:w="1380" w:type="dxa"/>
            <w:vAlign w:val="center"/>
          </w:tcPr>
          <w:p w14:paraId="7B2ACFBA" w14:textId="77777777" w:rsidR="00875971" w:rsidRPr="00F4705F" w:rsidRDefault="00875971" w:rsidP="00A35831">
            <w:pPr>
              <w:ind w:right="44"/>
              <w:jc w:val="center"/>
              <w:rPr>
                <w:b/>
                <w:bCs/>
                <w:sz w:val="22"/>
                <w:szCs w:val="18"/>
              </w:rPr>
            </w:pPr>
            <w:r w:rsidRPr="00F4705F">
              <w:rPr>
                <w:b/>
                <w:bCs/>
                <w:sz w:val="22"/>
                <w:szCs w:val="18"/>
              </w:rPr>
              <w:t>£ 000</w:t>
            </w:r>
          </w:p>
        </w:tc>
        <w:tc>
          <w:tcPr>
            <w:tcW w:w="1142" w:type="dxa"/>
            <w:gridSpan w:val="3"/>
            <w:vAlign w:val="center"/>
          </w:tcPr>
          <w:p w14:paraId="3470122D" w14:textId="77777777" w:rsidR="00875971" w:rsidRPr="00F4705F" w:rsidRDefault="00875971" w:rsidP="00A35831">
            <w:pPr>
              <w:ind w:right="44"/>
              <w:jc w:val="center"/>
              <w:rPr>
                <w:b/>
                <w:bCs/>
                <w:sz w:val="22"/>
                <w:szCs w:val="18"/>
              </w:rPr>
            </w:pPr>
            <w:r w:rsidRPr="00F4705F">
              <w:rPr>
                <w:b/>
                <w:bCs/>
                <w:sz w:val="22"/>
                <w:szCs w:val="18"/>
              </w:rPr>
              <w:t>£ 000</w:t>
            </w:r>
          </w:p>
        </w:tc>
      </w:tr>
      <w:tr w:rsidR="00875971" w:rsidRPr="00F4705F" w14:paraId="52A40DA3" w14:textId="77777777" w:rsidTr="00FD59D8">
        <w:trPr>
          <w:gridAfter w:val="2"/>
          <w:wAfter w:w="165" w:type="dxa"/>
          <w:trHeight w:val="302"/>
        </w:trPr>
        <w:tc>
          <w:tcPr>
            <w:tcW w:w="4677" w:type="dxa"/>
            <w:vAlign w:val="bottom"/>
          </w:tcPr>
          <w:p w14:paraId="2D390915" w14:textId="77777777" w:rsidR="00875971" w:rsidRPr="00F4705F" w:rsidRDefault="00875971" w:rsidP="00A35831">
            <w:pPr>
              <w:rPr>
                <w:b/>
                <w:sz w:val="22"/>
                <w:szCs w:val="18"/>
              </w:rPr>
            </w:pPr>
            <w:r w:rsidRPr="00F4705F">
              <w:rPr>
                <w:b/>
                <w:sz w:val="22"/>
                <w:szCs w:val="18"/>
              </w:rPr>
              <w:t>Financial liabilities:</w:t>
            </w:r>
          </w:p>
        </w:tc>
        <w:tc>
          <w:tcPr>
            <w:tcW w:w="1736" w:type="dxa"/>
            <w:vAlign w:val="bottom"/>
          </w:tcPr>
          <w:p w14:paraId="001E31BD" w14:textId="77777777" w:rsidR="00875971" w:rsidRPr="00F4705F" w:rsidRDefault="00875971" w:rsidP="00A35831">
            <w:pPr>
              <w:ind w:right="72"/>
              <w:jc w:val="center"/>
              <w:rPr>
                <w:b/>
                <w:bCs/>
                <w:sz w:val="22"/>
                <w:szCs w:val="18"/>
              </w:rPr>
            </w:pPr>
          </w:p>
        </w:tc>
        <w:tc>
          <w:tcPr>
            <w:tcW w:w="1380" w:type="dxa"/>
            <w:vAlign w:val="center"/>
          </w:tcPr>
          <w:p w14:paraId="2166E199" w14:textId="77777777" w:rsidR="00875971" w:rsidRPr="00F4705F" w:rsidRDefault="00875971" w:rsidP="00A35831">
            <w:pPr>
              <w:ind w:right="44"/>
              <w:jc w:val="center"/>
              <w:rPr>
                <w:b/>
                <w:bCs/>
                <w:sz w:val="22"/>
                <w:szCs w:val="18"/>
              </w:rPr>
            </w:pPr>
          </w:p>
        </w:tc>
        <w:tc>
          <w:tcPr>
            <w:tcW w:w="977" w:type="dxa"/>
            <w:vAlign w:val="center"/>
          </w:tcPr>
          <w:p w14:paraId="02E97E6F" w14:textId="77777777" w:rsidR="00875971" w:rsidRPr="00F4705F" w:rsidRDefault="00875971" w:rsidP="00A35831">
            <w:pPr>
              <w:ind w:right="44"/>
              <w:jc w:val="center"/>
              <w:rPr>
                <w:b/>
                <w:bCs/>
                <w:sz w:val="22"/>
                <w:szCs w:val="18"/>
              </w:rPr>
            </w:pPr>
          </w:p>
        </w:tc>
      </w:tr>
      <w:tr w:rsidR="0076711F" w:rsidRPr="00F4705F" w14:paraId="4555709D" w14:textId="77777777" w:rsidTr="00FD59D8">
        <w:trPr>
          <w:gridAfter w:val="2"/>
          <w:wAfter w:w="165" w:type="dxa"/>
          <w:trHeight w:val="302"/>
        </w:trPr>
        <w:tc>
          <w:tcPr>
            <w:tcW w:w="4677" w:type="dxa"/>
            <w:vAlign w:val="bottom"/>
            <w:hideMark/>
          </w:tcPr>
          <w:p w14:paraId="7AAC1196" w14:textId="77777777" w:rsidR="0076711F" w:rsidRPr="00F4705F" w:rsidRDefault="0076711F" w:rsidP="0076711F">
            <w:pPr>
              <w:rPr>
                <w:sz w:val="22"/>
                <w:szCs w:val="18"/>
                <w:u w:val="single"/>
              </w:rPr>
            </w:pPr>
            <w:r w:rsidRPr="00F4705F">
              <w:rPr>
                <w:sz w:val="22"/>
                <w:szCs w:val="18"/>
                <w:u w:val="single"/>
              </w:rPr>
              <w:t>Measured at amortised cost:</w:t>
            </w:r>
          </w:p>
        </w:tc>
        <w:tc>
          <w:tcPr>
            <w:tcW w:w="1736" w:type="dxa"/>
            <w:vAlign w:val="bottom"/>
          </w:tcPr>
          <w:p w14:paraId="362BA380" w14:textId="77777777" w:rsidR="0076711F" w:rsidRPr="00F4705F" w:rsidRDefault="0076711F" w:rsidP="0076711F">
            <w:pPr>
              <w:jc w:val="center"/>
              <w:rPr>
                <w:bCs/>
                <w:sz w:val="22"/>
                <w:szCs w:val="22"/>
              </w:rPr>
            </w:pPr>
          </w:p>
        </w:tc>
        <w:tc>
          <w:tcPr>
            <w:tcW w:w="1380" w:type="dxa"/>
            <w:vAlign w:val="bottom"/>
          </w:tcPr>
          <w:p w14:paraId="432C30A7" w14:textId="77777777" w:rsidR="0076711F" w:rsidRPr="00F4705F" w:rsidRDefault="0076711F" w:rsidP="0076711F">
            <w:pPr>
              <w:ind w:right="44"/>
              <w:jc w:val="center"/>
              <w:rPr>
                <w:sz w:val="22"/>
                <w:szCs w:val="22"/>
              </w:rPr>
            </w:pPr>
          </w:p>
        </w:tc>
        <w:tc>
          <w:tcPr>
            <w:tcW w:w="977" w:type="dxa"/>
            <w:vAlign w:val="bottom"/>
          </w:tcPr>
          <w:p w14:paraId="115357A1" w14:textId="77777777" w:rsidR="0076711F" w:rsidRPr="00F4705F" w:rsidRDefault="0076711F" w:rsidP="0076711F">
            <w:pPr>
              <w:ind w:right="44"/>
              <w:jc w:val="center"/>
              <w:rPr>
                <w:sz w:val="22"/>
                <w:szCs w:val="22"/>
              </w:rPr>
            </w:pPr>
          </w:p>
        </w:tc>
      </w:tr>
      <w:tr w:rsidR="00907A6B" w:rsidRPr="00F4705F" w14:paraId="14E61D61" w14:textId="77777777" w:rsidTr="00FD59D8">
        <w:trPr>
          <w:gridAfter w:val="1"/>
          <w:wAfter w:w="154" w:type="dxa"/>
          <w:trHeight w:val="302"/>
        </w:trPr>
        <w:tc>
          <w:tcPr>
            <w:tcW w:w="4677" w:type="dxa"/>
            <w:vAlign w:val="bottom"/>
            <w:hideMark/>
          </w:tcPr>
          <w:p w14:paraId="79CE088E" w14:textId="77777777" w:rsidR="00907A6B" w:rsidRPr="00F4705F" w:rsidRDefault="00907A6B" w:rsidP="00907A6B">
            <w:pPr>
              <w:rPr>
                <w:sz w:val="22"/>
                <w:szCs w:val="18"/>
              </w:rPr>
            </w:pPr>
            <w:r w:rsidRPr="00F4705F">
              <w:rPr>
                <w:spacing w:val="-2"/>
                <w:sz w:val="22"/>
                <w:szCs w:val="22"/>
              </w:rPr>
              <w:t>Creditors, accruals and deferred income</w:t>
            </w:r>
          </w:p>
        </w:tc>
        <w:tc>
          <w:tcPr>
            <w:tcW w:w="1736" w:type="dxa"/>
            <w:vAlign w:val="bottom"/>
          </w:tcPr>
          <w:p w14:paraId="702B2166" w14:textId="77777777" w:rsidR="00907A6B" w:rsidRPr="00F4705F" w:rsidRDefault="00907A6B" w:rsidP="00907A6B">
            <w:pPr>
              <w:jc w:val="center"/>
              <w:rPr>
                <w:bCs/>
                <w:sz w:val="22"/>
                <w:szCs w:val="22"/>
              </w:rPr>
            </w:pPr>
          </w:p>
        </w:tc>
        <w:tc>
          <w:tcPr>
            <w:tcW w:w="1380" w:type="dxa"/>
            <w:vAlign w:val="bottom"/>
          </w:tcPr>
          <w:p w14:paraId="41AD42F6" w14:textId="1310C467" w:rsidR="00907A6B" w:rsidRPr="00C86FFC" w:rsidRDefault="00CB7F7A" w:rsidP="00907A6B">
            <w:pPr>
              <w:jc w:val="center"/>
              <w:rPr>
                <w:bCs/>
                <w:sz w:val="22"/>
                <w:szCs w:val="22"/>
              </w:rPr>
            </w:pPr>
            <w:r w:rsidRPr="00C86FFC">
              <w:rPr>
                <w:bCs/>
                <w:sz w:val="22"/>
                <w:szCs w:val="22"/>
              </w:rPr>
              <w:t>33,</w:t>
            </w:r>
            <w:r w:rsidR="00B830B3" w:rsidRPr="00C86FFC">
              <w:rPr>
                <w:bCs/>
                <w:sz w:val="22"/>
                <w:szCs w:val="22"/>
              </w:rPr>
              <w:t>109</w:t>
            </w:r>
          </w:p>
        </w:tc>
        <w:tc>
          <w:tcPr>
            <w:tcW w:w="988" w:type="dxa"/>
            <w:gridSpan w:val="2"/>
            <w:vAlign w:val="bottom"/>
          </w:tcPr>
          <w:p w14:paraId="2EEEA96A" w14:textId="5F72176E" w:rsidR="00907A6B" w:rsidRPr="00F4705F" w:rsidRDefault="00907A6B" w:rsidP="00907A6B">
            <w:pPr>
              <w:jc w:val="center"/>
              <w:rPr>
                <w:bCs/>
                <w:sz w:val="22"/>
                <w:szCs w:val="22"/>
              </w:rPr>
            </w:pPr>
            <w:r w:rsidRPr="00F4705F">
              <w:rPr>
                <w:bCs/>
                <w:sz w:val="22"/>
                <w:szCs w:val="22"/>
              </w:rPr>
              <w:t>28,1</w:t>
            </w:r>
            <w:r w:rsidR="00FE25C1">
              <w:rPr>
                <w:bCs/>
                <w:sz w:val="22"/>
                <w:szCs w:val="22"/>
              </w:rPr>
              <w:t>29</w:t>
            </w:r>
          </w:p>
        </w:tc>
      </w:tr>
      <w:tr w:rsidR="00907A6B" w:rsidRPr="00F4705F" w14:paraId="7D3B363A" w14:textId="77777777" w:rsidTr="00FD59D8">
        <w:trPr>
          <w:gridAfter w:val="1"/>
          <w:wAfter w:w="154" w:type="dxa"/>
          <w:trHeight w:val="302"/>
        </w:trPr>
        <w:tc>
          <w:tcPr>
            <w:tcW w:w="4677" w:type="dxa"/>
            <w:vAlign w:val="bottom"/>
          </w:tcPr>
          <w:p w14:paraId="5B01CBDB" w14:textId="77777777" w:rsidR="00907A6B" w:rsidRPr="00F4705F" w:rsidRDefault="00907A6B" w:rsidP="00907A6B">
            <w:pPr>
              <w:rPr>
                <w:sz w:val="22"/>
                <w:szCs w:val="18"/>
              </w:rPr>
            </w:pPr>
            <w:r w:rsidRPr="00F4705F">
              <w:rPr>
                <w:sz w:val="22"/>
                <w:szCs w:val="18"/>
              </w:rPr>
              <w:t>Bank loans</w:t>
            </w:r>
          </w:p>
        </w:tc>
        <w:tc>
          <w:tcPr>
            <w:tcW w:w="1736" w:type="dxa"/>
            <w:vAlign w:val="bottom"/>
          </w:tcPr>
          <w:p w14:paraId="6EF6848C" w14:textId="77777777" w:rsidR="00907A6B" w:rsidRPr="00F4705F" w:rsidRDefault="00907A6B" w:rsidP="00907A6B">
            <w:pPr>
              <w:jc w:val="center"/>
              <w:rPr>
                <w:bCs/>
                <w:sz w:val="22"/>
                <w:szCs w:val="22"/>
              </w:rPr>
            </w:pPr>
          </w:p>
        </w:tc>
        <w:tc>
          <w:tcPr>
            <w:tcW w:w="1380" w:type="dxa"/>
            <w:vAlign w:val="bottom"/>
          </w:tcPr>
          <w:p w14:paraId="0247CF99" w14:textId="3F54D2C8" w:rsidR="00907A6B" w:rsidRPr="00C86FFC" w:rsidRDefault="004C212E" w:rsidP="00907A6B">
            <w:pPr>
              <w:ind w:right="44"/>
              <w:jc w:val="center"/>
              <w:rPr>
                <w:sz w:val="22"/>
                <w:szCs w:val="22"/>
              </w:rPr>
            </w:pPr>
            <w:r w:rsidRPr="00C86FFC">
              <w:rPr>
                <w:sz w:val="22"/>
                <w:szCs w:val="22"/>
              </w:rPr>
              <w:t>172,385</w:t>
            </w:r>
          </w:p>
        </w:tc>
        <w:tc>
          <w:tcPr>
            <w:tcW w:w="988" w:type="dxa"/>
            <w:gridSpan w:val="2"/>
            <w:vAlign w:val="bottom"/>
          </w:tcPr>
          <w:p w14:paraId="17F3C0E1" w14:textId="438C2FF0" w:rsidR="00907A6B" w:rsidRPr="00F4705F" w:rsidRDefault="00907A6B" w:rsidP="00907A6B">
            <w:pPr>
              <w:ind w:right="44"/>
              <w:jc w:val="center"/>
              <w:rPr>
                <w:sz w:val="22"/>
                <w:szCs w:val="22"/>
              </w:rPr>
            </w:pPr>
            <w:r w:rsidRPr="00F4705F">
              <w:rPr>
                <w:sz w:val="22"/>
                <w:szCs w:val="22"/>
              </w:rPr>
              <w:t>162,272</w:t>
            </w:r>
          </w:p>
        </w:tc>
      </w:tr>
      <w:tr w:rsidR="00907A6B" w:rsidRPr="00D6285C" w14:paraId="56D10B8F" w14:textId="77777777" w:rsidTr="00FD59D8">
        <w:trPr>
          <w:gridAfter w:val="1"/>
          <w:wAfter w:w="154" w:type="dxa"/>
          <w:trHeight w:val="69"/>
        </w:trPr>
        <w:tc>
          <w:tcPr>
            <w:tcW w:w="4677" w:type="dxa"/>
            <w:vAlign w:val="bottom"/>
            <w:hideMark/>
          </w:tcPr>
          <w:p w14:paraId="1D635762" w14:textId="77777777" w:rsidR="00907A6B" w:rsidRPr="00F4705F" w:rsidRDefault="00907A6B" w:rsidP="00907A6B">
            <w:pPr>
              <w:rPr>
                <w:sz w:val="22"/>
                <w:szCs w:val="18"/>
              </w:rPr>
            </w:pPr>
            <w:r w:rsidRPr="00F4705F">
              <w:rPr>
                <w:sz w:val="22"/>
                <w:szCs w:val="18"/>
              </w:rPr>
              <w:t>Total</w:t>
            </w:r>
          </w:p>
        </w:tc>
        <w:tc>
          <w:tcPr>
            <w:tcW w:w="1736" w:type="dxa"/>
            <w:vAlign w:val="bottom"/>
          </w:tcPr>
          <w:p w14:paraId="071C0D71" w14:textId="77777777" w:rsidR="00907A6B" w:rsidRPr="00F4705F" w:rsidRDefault="00907A6B" w:rsidP="00907A6B">
            <w:pPr>
              <w:jc w:val="center"/>
              <w:rPr>
                <w:bCs/>
                <w:sz w:val="22"/>
                <w:szCs w:val="22"/>
              </w:rPr>
            </w:pPr>
          </w:p>
        </w:tc>
        <w:tc>
          <w:tcPr>
            <w:tcW w:w="1380" w:type="dxa"/>
            <w:tcBorders>
              <w:top w:val="single" w:sz="4" w:space="0" w:color="auto"/>
              <w:left w:val="nil"/>
              <w:bottom w:val="single" w:sz="4" w:space="0" w:color="auto"/>
              <w:right w:val="nil"/>
            </w:tcBorders>
            <w:vAlign w:val="bottom"/>
          </w:tcPr>
          <w:p w14:paraId="5A3C5C6D" w14:textId="5AAEB133" w:rsidR="00907A6B" w:rsidRPr="00C86FFC" w:rsidRDefault="004C212E" w:rsidP="00907A6B">
            <w:pPr>
              <w:ind w:right="44"/>
              <w:jc w:val="center"/>
              <w:rPr>
                <w:sz w:val="22"/>
                <w:szCs w:val="22"/>
              </w:rPr>
            </w:pPr>
            <w:r w:rsidRPr="00C86FFC">
              <w:rPr>
                <w:sz w:val="22"/>
                <w:szCs w:val="22"/>
              </w:rPr>
              <w:t>205,</w:t>
            </w:r>
            <w:r w:rsidR="00CB7F7A" w:rsidRPr="00C86FFC">
              <w:rPr>
                <w:sz w:val="22"/>
                <w:szCs w:val="22"/>
              </w:rPr>
              <w:t>4</w:t>
            </w:r>
            <w:r w:rsidR="00B830B3" w:rsidRPr="00C86FFC">
              <w:rPr>
                <w:sz w:val="22"/>
                <w:szCs w:val="22"/>
              </w:rPr>
              <w:t>94</w:t>
            </w:r>
          </w:p>
        </w:tc>
        <w:tc>
          <w:tcPr>
            <w:tcW w:w="988" w:type="dxa"/>
            <w:gridSpan w:val="2"/>
            <w:tcBorders>
              <w:top w:val="single" w:sz="4" w:space="0" w:color="auto"/>
              <w:left w:val="nil"/>
              <w:bottom w:val="single" w:sz="4" w:space="0" w:color="auto"/>
              <w:right w:val="nil"/>
            </w:tcBorders>
            <w:vAlign w:val="bottom"/>
          </w:tcPr>
          <w:p w14:paraId="58B29A29" w14:textId="2453D665" w:rsidR="00907A6B" w:rsidRPr="00D6285C" w:rsidRDefault="00907A6B" w:rsidP="00907A6B">
            <w:pPr>
              <w:ind w:right="44"/>
              <w:jc w:val="center"/>
              <w:rPr>
                <w:sz w:val="22"/>
                <w:szCs w:val="22"/>
              </w:rPr>
            </w:pPr>
            <w:r w:rsidRPr="00F4705F">
              <w:rPr>
                <w:sz w:val="22"/>
                <w:szCs w:val="22"/>
              </w:rPr>
              <w:t>190,40</w:t>
            </w:r>
            <w:r w:rsidR="00FE25C1">
              <w:rPr>
                <w:sz w:val="22"/>
                <w:szCs w:val="22"/>
              </w:rPr>
              <w:t>1</w:t>
            </w:r>
          </w:p>
        </w:tc>
      </w:tr>
    </w:tbl>
    <w:p w14:paraId="2CB53FAC" w14:textId="77777777" w:rsidR="00875971" w:rsidRDefault="00875971" w:rsidP="00AC74E3">
      <w:pPr>
        <w:rPr>
          <w:b/>
          <w:sz w:val="22"/>
        </w:rPr>
      </w:pPr>
    </w:p>
    <w:p w14:paraId="40587157" w14:textId="77777777" w:rsidR="00875971" w:rsidRDefault="00875971" w:rsidP="00AC74E3">
      <w:pPr>
        <w:rPr>
          <w:b/>
          <w:sz w:val="22"/>
        </w:rPr>
      </w:pPr>
    </w:p>
    <w:p w14:paraId="73BB9453" w14:textId="77777777" w:rsidR="007D38D5" w:rsidRDefault="007D38D5" w:rsidP="00690338">
      <w:pPr>
        <w:jc w:val="both"/>
        <w:rPr>
          <w:b/>
          <w:sz w:val="22"/>
          <w:szCs w:val="22"/>
        </w:rPr>
      </w:pPr>
    </w:p>
    <w:p w14:paraId="68EAFB3B" w14:textId="3AA781D9" w:rsidR="004430FD" w:rsidRDefault="004430FD" w:rsidP="004430FD">
      <w:pPr>
        <w:rPr>
          <w:b/>
          <w:sz w:val="22"/>
          <w:szCs w:val="22"/>
        </w:rPr>
      </w:pPr>
      <w:r>
        <w:rPr>
          <w:b/>
          <w:sz w:val="22"/>
          <w:szCs w:val="22"/>
        </w:rPr>
        <w:t>2</w:t>
      </w:r>
      <w:r w:rsidR="00AF5224">
        <w:rPr>
          <w:b/>
          <w:sz w:val="22"/>
          <w:szCs w:val="22"/>
        </w:rPr>
        <w:t>1</w:t>
      </w:r>
      <w:r w:rsidRPr="006A3DB5">
        <w:rPr>
          <w:b/>
          <w:sz w:val="22"/>
          <w:szCs w:val="22"/>
        </w:rPr>
        <w:t xml:space="preserve">.    </w:t>
      </w:r>
      <w:r w:rsidRPr="006A3DB5">
        <w:rPr>
          <w:b/>
          <w:sz w:val="22"/>
          <w:szCs w:val="22"/>
        </w:rPr>
        <w:tab/>
        <w:t>Provisions for liabilities</w:t>
      </w:r>
      <w:r>
        <w:rPr>
          <w:b/>
          <w:sz w:val="22"/>
          <w:szCs w:val="22"/>
        </w:rPr>
        <w:t xml:space="preserve"> </w:t>
      </w:r>
      <w:r w:rsidRPr="006A3DB5">
        <w:rPr>
          <w:b/>
          <w:sz w:val="22"/>
          <w:szCs w:val="22"/>
        </w:rPr>
        <w:t>and charges</w:t>
      </w:r>
      <w:r>
        <w:rPr>
          <w:b/>
          <w:sz w:val="22"/>
          <w:szCs w:val="22"/>
        </w:rPr>
        <w:t xml:space="preserve"> </w:t>
      </w:r>
    </w:p>
    <w:p w14:paraId="5BF84C05" w14:textId="77777777" w:rsidR="000721EA" w:rsidRDefault="000721EA" w:rsidP="004430FD">
      <w:pPr>
        <w:rPr>
          <w:b/>
          <w:sz w:val="22"/>
          <w:szCs w:val="22"/>
        </w:rPr>
      </w:pPr>
    </w:p>
    <w:tbl>
      <w:tblPr>
        <w:tblW w:w="8554" w:type="dxa"/>
        <w:tblInd w:w="93" w:type="dxa"/>
        <w:tblLayout w:type="fixed"/>
        <w:tblLook w:val="04A0" w:firstRow="1" w:lastRow="0" w:firstColumn="1" w:lastColumn="0" w:noHBand="0" w:noVBand="1"/>
      </w:tblPr>
      <w:tblGrid>
        <w:gridCol w:w="1834"/>
        <w:gridCol w:w="200"/>
        <w:gridCol w:w="2693"/>
        <w:gridCol w:w="243"/>
        <w:gridCol w:w="749"/>
        <w:gridCol w:w="1559"/>
        <w:gridCol w:w="284"/>
        <w:gridCol w:w="992"/>
      </w:tblGrid>
      <w:tr w:rsidR="00EE4E3A" w:rsidRPr="002D5556" w14:paraId="54512549" w14:textId="77777777" w:rsidTr="00FB0792">
        <w:trPr>
          <w:trHeight w:val="300"/>
        </w:trPr>
        <w:tc>
          <w:tcPr>
            <w:tcW w:w="1834" w:type="dxa"/>
          </w:tcPr>
          <w:p w14:paraId="7D5633D5" w14:textId="5D7CB86A" w:rsidR="00EE4E3A" w:rsidRPr="002D5556" w:rsidRDefault="00EE4E3A" w:rsidP="00773037">
            <w:pPr>
              <w:rPr>
                <w:sz w:val="22"/>
                <w:szCs w:val="22"/>
              </w:rPr>
            </w:pPr>
            <w:r>
              <w:rPr>
                <w:b/>
                <w:sz w:val="22"/>
                <w:szCs w:val="22"/>
              </w:rPr>
              <w:tab/>
            </w:r>
          </w:p>
        </w:tc>
        <w:tc>
          <w:tcPr>
            <w:tcW w:w="2893" w:type="dxa"/>
            <w:gridSpan w:val="2"/>
            <w:shd w:val="clear" w:color="auto" w:fill="auto"/>
            <w:noWrap/>
            <w:vAlign w:val="center"/>
          </w:tcPr>
          <w:p w14:paraId="6F0F6431" w14:textId="77777777" w:rsidR="00EE4E3A" w:rsidRPr="00670E4A" w:rsidRDefault="00EE4E3A" w:rsidP="00773037">
            <w:pPr>
              <w:jc w:val="right"/>
              <w:rPr>
                <w:b/>
                <w:bCs/>
                <w:sz w:val="22"/>
                <w:szCs w:val="22"/>
              </w:rPr>
            </w:pPr>
          </w:p>
        </w:tc>
        <w:tc>
          <w:tcPr>
            <w:tcW w:w="243" w:type="dxa"/>
            <w:shd w:val="clear" w:color="auto" w:fill="auto"/>
            <w:noWrap/>
            <w:vAlign w:val="center"/>
          </w:tcPr>
          <w:p w14:paraId="3C83A8B5" w14:textId="77777777" w:rsidR="00EE4E3A" w:rsidRPr="00670E4A" w:rsidRDefault="00EE4E3A" w:rsidP="00773037">
            <w:pPr>
              <w:jc w:val="right"/>
              <w:rPr>
                <w:b/>
                <w:bCs/>
                <w:sz w:val="22"/>
                <w:szCs w:val="22"/>
              </w:rPr>
            </w:pPr>
          </w:p>
        </w:tc>
        <w:tc>
          <w:tcPr>
            <w:tcW w:w="749" w:type="dxa"/>
            <w:vAlign w:val="center"/>
          </w:tcPr>
          <w:p w14:paraId="21EBF9CD" w14:textId="77777777" w:rsidR="00EE4E3A" w:rsidRPr="00C12CCF" w:rsidRDefault="00EE4E3A" w:rsidP="00773037">
            <w:pPr>
              <w:jc w:val="right"/>
              <w:rPr>
                <w:b/>
                <w:bCs/>
                <w:sz w:val="22"/>
                <w:szCs w:val="22"/>
                <w:highlight w:val="yellow"/>
              </w:rPr>
            </w:pPr>
          </w:p>
        </w:tc>
        <w:tc>
          <w:tcPr>
            <w:tcW w:w="1559" w:type="dxa"/>
            <w:vAlign w:val="center"/>
          </w:tcPr>
          <w:p w14:paraId="74DB0356" w14:textId="77777777" w:rsidR="00EE4E3A" w:rsidRPr="00496AF2" w:rsidRDefault="00EE4E3A" w:rsidP="00773037">
            <w:pPr>
              <w:jc w:val="right"/>
              <w:rPr>
                <w:b/>
                <w:bCs/>
                <w:sz w:val="22"/>
                <w:szCs w:val="22"/>
              </w:rPr>
            </w:pPr>
            <w:r>
              <w:rPr>
                <w:b/>
                <w:bCs/>
                <w:sz w:val="22"/>
                <w:szCs w:val="22"/>
              </w:rPr>
              <w:t>Dilapidations</w:t>
            </w:r>
          </w:p>
        </w:tc>
        <w:tc>
          <w:tcPr>
            <w:tcW w:w="284" w:type="dxa"/>
            <w:vAlign w:val="center"/>
          </w:tcPr>
          <w:p w14:paraId="111C0098" w14:textId="77777777" w:rsidR="00EE4E3A" w:rsidRPr="002D5556" w:rsidRDefault="00EE4E3A" w:rsidP="00773037">
            <w:pPr>
              <w:jc w:val="right"/>
              <w:rPr>
                <w:b/>
                <w:bCs/>
                <w:sz w:val="22"/>
                <w:szCs w:val="22"/>
              </w:rPr>
            </w:pPr>
          </w:p>
        </w:tc>
        <w:tc>
          <w:tcPr>
            <w:tcW w:w="992" w:type="dxa"/>
            <w:vAlign w:val="center"/>
          </w:tcPr>
          <w:p w14:paraId="7A4F6E8E" w14:textId="77777777" w:rsidR="00EE4E3A" w:rsidRPr="002D5556" w:rsidRDefault="00EE4E3A" w:rsidP="00773037">
            <w:pPr>
              <w:jc w:val="right"/>
              <w:rPr>
                <w:b/>
                <w:bCs/>
                <w:sz w:val="22"/>
                <w:szCs w:val="22"/>
              </w:rPr>
            </w:pPr>
            <w:r>
              <w:rPr>
                <w:b/>
                <w:bCs/>
                <w:sz w:val="22"/>
                <w:szCs w:val="22"/>
              </w:rPr>
              <w:t>Total</w:t>
            </w:r>
          </w:p>
        </w:tc>
      </w:tr>
      <w:tr w:rsidR="00EE4E3A" w:rsidRPr="002D5556" w14:paraId="53D58893" w14:textId="77777777" w:rsidTr="00FB0792">
        <w:trPr>
          <w:trHeight w:val="300"/>
        </w:trPr>
        <w:tc>
          <w:tcPr>
            <w:tcW w:w="1834" w:type="dxa"/>
          </w:tcPr>
          <w:p w14:paraId="48104A58" w14:textId="77777777" w:rsidR="00EE4E3A" w:rsidRPr="002D5556" w:rsidRDefault="00EE4E3A" w:rsidP="00773037">
            <w:pPr>
              <w:rPr>
                <w:sz w:val="22"/>
                <w:szCs w:val="22"/>
              </w:rPr>
            </w:pPr>
          </w:p>
        </w:tc>
        <w:tc>
          <w:tcPr>
            <w:tcW w:w="2893" w:type="dxa"/>
            <w:gridSpan w:val="2"/>
            <w:shd w:val="clear" w:color="auto" w:fill="auto"/>
            <w:noWrap/>
            <w:vAlign w:val="center"/>
            <w:hideMark/>
          </w:tcPr>
          <w:p w14:paraId="3400F03B" w14:textId="77777777" w:rsidR="00EE4E3A" w:rsidRPr="00670E4A" w:rsidRDefault="00EE4E3A" w:rsidP="00773037">
            <w:pPr>
              <w:jc w:val="right"/>
              <w:rPr>
                <w:b/>
                <w:bCs/>
                <w:sz w:val="22"/>
                <w:szCs w:val="22"/>
              </w:rPr>
            </w:pPr>
          </w:p>
        </w:tc>
        <w:tc>
          <w:tcPr>
            <w:tcW w:w="243" w:type="dxa"/>
            <w:shd w:val="clear" w:color="auto" w:fill="auto"/>
            <w:noWrap/>
            <w:vAlign w:val="center"/>
            <w:hideMark/>
          </w:tcPr>
          <w:p w14:paraId="230CCE3E" w14:textId="77777777" w:rsidR="00EE4E3A" w:rsidRPr="00670E4A" w:rsidRDefault="00EE4E3A" w:rsidP="00773037">
            <w:pPr>
              <w:jc w:val="right"/>
              <w:rPr>
                <w:b/>
                <w:bCs/>
                <w:sz w:val="22"/>
                <w:szCs w:val="22"/>
              </w:rPr>
            </w:pPr>
          </w:p>
        </w:tc>
        <w:tc>
          <w:tcPr>
            <w:tcW w:w="749" w:type="dxa"/>
            <w:vAlign w:val="center"/>
          </w:tcPr>
          <w:p w14:paraId="3D50ECF3" w14:textId="77777777" w:rsidR="00EE4E3A" w:rsidRPr="00C12CCF" w:rsidRDefault="00EE4E3A" w:rsidP="00773037">
            <w:pPr>
              <w:jc w:val="right"/>
              <w:rPr>
                <w:b/>
                <w:bCs/>
                <w:sz w:val="22"/>
                <w:szCs w:val="22"/>
                <w:highlight w:val="yellow"/>
              </w:rPr>
            </w:pPr>
          </w:p>
        </w:tc>
        <w:tc>
          <w:tcPr>
            <w:tcW w:w="1559" w:type="dxa"/>
            <w:vAlign w:val="center"/>
          </w:tcPr>
          <w:p w14:paraId="649F0A9B" w14:textId="77777777" w:rsidR="00EE4E3A" w:rsidRPr="00496AF2" w:rsidRDefault="00EE4E3A" w:rsidP="00773037">
            <w:pPr>
              <w:jc w:val="right"/>
              <w:rPr>
                <w:b/>
                <w:bCs/>
                <w:sz w:val="22"/>
                <w:szCs w:val="22"/>
              </w:rPr>
            </w:pPr>
            <w:r w:rsidRPr="00496AF2">
              <w:rPr>
                <w:b/>
                <w:bCs/>
                <w:sz w:val="22"/>
                <w:szCs w:val="22"/>
              </w:rPr>
              <w:t>£’000</w:t>
            </w:r>
          </w:p>
        </w:tc>
        <w:tc>
          <w:tcPr>
            <w:tcW w:w="284" w:type="dxa"/>
            <w:vAlign w:val="center"/>
          </w:tcPr>
          <w:p w14:paraId="4466BE77" w14:textId="77777777" w:rsidR="00EE4E3A" w:rsidRPr="002D5556" w:rsidRDefault="00EE4E3A" w:rsidP="00773037">
            <w:pPr>
              <w:jc w:val="right"/>
              <w:rPr>
                <w:b/>
                <w:bCs/>
                <w:sz w:val="22"/>
                <w:szCs w:val="22"/>
              </w:rPr>
            </w:pPr>
          </w:p>
        </w:tc>
        <w:tc>
          <w:tcPr>
            <w:tcW w:w="992" w:type="dxa"/>
            <w:vAlign w:val="center"/>
          </w:tcPr>
          <w:p w14:paraId="34A5B31F" w14:textId="77777777" w:rsidR="00EE4E3A" w:rsidRPr="002D5556" w:rsidRDefault="00EE4E3A" w:rsidP="00773037">
            <w:pPr>
              <w:jc w:val="right"/>
              <w:rPr>
                <w:b/>
                <w:bCs/>
                <w:sz w:val="22"/>
                <w:szCs w:val="22"/>
              </w:rPr>
            </w:pPr>
            <w:r w:rsidRPr="002D5556">
              <w:rPr>
                <w:b/>
                <w:bCs/>
                <w:sz w:val="22"/>
                <w:szCs w:val="22"/>
              </w:rPr>
              <w:t>£’000</w:t>
            </w:r>
          </w:p>
        </w:tc>
      </w:tr>
      <w:tr w:rsidR="00A272BD" w:rsidRPr="002D5556" w14:paraId="397DAA1B" w14:textId="77777777" w:rsidTr="00B648C4">
        <w:trPr>
          <w:trHeight w:val="300"/>
        </w:trPr>
        <w:tc>
          <w:tcPr>
            <w:tcW w:w="2034" w:type="dxa"/>
            <w:gridSpan w:val="2"/>
            <w:shd w:val="clear" w:color="auto" w:fill="auto"/>
            <w:vAlign w:val="center"/>
          </w:tcPr>
          <w:p w14:paraId="41E540D9" w14:textId="1D3B8197" w:rsidR="00A272BD" w:rsidRPr="002D5556" w:rsidRDefault="00A272BD" w:rsidP="00A272BD">
            <w:pPr>
              <w:rPr>
                <w:sz w:val="22"/>
                <w:szCs w:val="22"/>
              </w:rPr>
            </w:pPr>
            <w:r>
              <w:rPr>
                <w:sz w:val="22"/>
                <w:szCs w:val="22"/>
              </w:rPr>
              <w:t>At 1 April 202</w:t>
            </w:r>
            <w:r w:rsidR="00F4493B">
              <w:rPr>
                <w:sz w:val="22"/>
                <w:szCs w:val="22"/>
              </w:rPr>
              <w:t>3</w:t>
            </w:r>
          </w:p>
        </w:tc>
        <w:tc>
          <w:tcPr>
            <w:tcW w:w="2693" w:type="dxa"/>
            <w:shd w:val="clear" w:color="auto" w:fill="auto"/>
            <w:noWrap/>
            <w:vAlign w:val="center"/>
            <w:hideMark/>
          </w:tcPr>
          <w:p w14:paraId="12F5AFAF" w14:textId="77777777" w:rsidR="00A272BD" w:rsidRPr="00670E4A" w:rsidRDefault="00A272BD" w:rsidP="00A272BD">
            <w:pPr>
              <w:jc w:val="right"/>
              <w:rPr>
                <w:sz w:val="22"/>
                <w:szCs w:val="22"/>
              </w:rPr>
            </w:pPr>
          </w:p>
        </w:tc>
        <w:tc>
          <w:tcPr>
            <w:tcW w:w="243" w:type="dxa"/>
            <w:shd w:val="clear" w:color="auto" w:fill="auto"/>
            <w:noWrap/>
            <w:vAlign w:val="center"/>
            <w:hideMark/>
          </w:tcPr>
          <w:p w14:paraId="766180CC" w14:textId="77777777" w:rsidR="00A272BD" w:rsidRPr="002D5556" w:rsidRDefault="00A272BD" w:rsidP="00A272BD">
            <w:pPr>
              <w:jc w:val="right"/>
              <w:rPr>
                <w:sz w:val="22"/>
                <w:szCs w:val="22"/>
              </w:rPr>
            </w:pPr>
          </w:p>
        </w:tc>
        <w:tc>
          <w:tcPr>
            <w:tcW w:w="749" w:type="dxa"/>
            <w:vAlign w:val="center"/>
          </w:tcPr>
          <w:p w14:paraId="1597031B" w14:textId="77777777" w:rsidR="00A272BD" w:rsidRPr="00C12CCF" w:rsidRDefault="00A272BD" w:rsidP="00A272BD">
            <w:pPr>
              <w:jc w:val="right"/>
              <w:rPr>
                <w:sz w:val="22"/>
                <w:szCs w:val="22"/>
                <w:highlight w:val="yellow"/>
              </w:rPr>
            </w:pPr>
          </w:p>
        </w:tc>
        <w:tc>
          <w:tcPr>
            <w:tcW w:w="1559" w:type="dxa"/>
            <w:shd w:val="clear" w:color="auto" w:fill="auto"/>
            <w:vAlign w:val="center"/>
          </w:tcPr>
          <w:p w14:paraId="5D5ED2FC" w14:textId="3983BDA5" w:rsidR="00A272BD" w:rsidRPr="00496AF2" w:rsidRDefault="00A276A9" w:rsidP="00A272BD">
            <w:pPr>
              <w:jc w:val="right"/>
              <w:rPr>
                <w:sz w:val="22"/>
                <w:szCs w:val="22"/>
              </w:rPr>
            </w:pPr>
            <w:r>
              <w:rPr>
                <w:sz w:val="22"/>
                <w:szCs w:val="22"/>
              </w:rPr>
              <w:t>88</w:t>
            </w:r>
          </w:p>
        </w:tc>
        <w:tc>
          <w:tcPr>
            <w:tcW w:w="284" w:type="dxa"/>
            <w:shd w:val="clear" w:color="auto" w:fill="auto"/>
            <w:vAlign w:val="center"/>
          </w:tcPr>
          <w:p w14:paraId="19D105E2" w14:textId="77777777" w:rsidR="00A272BD" w:rsidRPr="002D5556" w:rsidRDefault="00A272BD" w:rsidP="00A272BD">
            <w:pPr>
              <w:jc w:val="right"/>
              <w:rPr>
                <w:sz w:val="22"/>
                <w:szCs w:val="22"/>
              </w:rPr>
            </w:pPr>
          </w:p>
        </w:tc>
        <w:tc>
          <w:tcPr>
            <w:tcW w:w="992" w:type="dxa"/>
            <w:shd w:val="clear" w:color="auto" w:fill="auto"/>
            <w:vAlign w:val="center"/>
          </w:tcPr>
          <w:p w14:paraId="02DB7E01" w14:textId="062089AA" w:rsidR="00A272BD" w:rsidRPr="002D5556" w:rsidRDefault="000A5240" w:rsidP="00A272BD">
            <w:pPr>
              <w:jc w:val="right"/>
              <w:rPr>
                <w:sz w:val="22"/>
                <w:szCs w:val="22"/>
              </w:rPr>
            </w:pPr>
            <w:r>
              <w:rPr>
                <w:sz w:val="22"/>
                <w:szCs w:val="22"/>
              </w:rPr>
              <w:t>88</w:t>
            </w:r>
          </w:p>
        </w:tc>
      </w:tr>
      <w:tr w:rsidR="00EE4E3A" w:rsidRPr="002D5556" w14:paraId="2FCEF025" w14:textId="77777777" w:rsidTr="00B648C4">
        <w:trPr>
          <w:trHeight w:val="300"/>
        </w:trPr>
        <w:tc>
          <w:tcPr>
            <w:tcW w:w="2034" w:type="dxa"/>
            <w:gridSpan w:val="2"/>
            <w:vAlign w:val="center"/>
          </w:tcPr>
          <w:p w14:paraId="24F39B10" w14:textId="77777777" w:rsidR="00EE4E3A" w:rsidRDefault="00EE4E3A" w:rsidP="00773037">
            <w:pPr>
              <w:rPr>
                <w:sz w:val="22"/>
                <w:szCs w:val="22"/>
              </w:rPr>
            </w:pPr>
            <w:r>
              <w:rPr>
                <w:sz w:val="22"/>
                <w:szCs w:val="22"/>
              </w:rPr>
              <w:t>Utilised</w:t>
            </w:r>
          </w:p>
        </w:tc>
        <w:tc>
          <w:tcPr>
            <w:tcW w:w="2693" w:type="dxa"/>
            <w:shd w:val="clear" w:color="auto" w:fill="auto"/>
            <w:noWrap/>
            <w:vAlign w:val="center"/>
          </w:tcPr>
          <w:p w14:paraId="309089B5" w14:textId="77777777" w:rsidR="00EE4E3A" w:rsidRPr="00670E4A" w:rsidRDefault="00EE4E3A" w:rsidP="00773037">
            <w:pPr>
              <w:jc w:val="right"/>
              <w:rPr>
                <w:sz w:val="22"/>
                <w:szCs w:val="22"/>
              </w:rPr>
            </w:pPr>
          </w:p>
        </w:tc>
        <w:tc>
          <w:tcPr>
            <w:tcW w:w="243" w:type="dxa"/>
            <w:shd w:val="clear" w:color="auto" w:fill="auto"/>
            <w:noWrap/>
            <w:vAlign w:val="center"/>
          </w:tcPr>
          <w:p w14:paraId="33FFB6E0" w14:textId="77777777" w:rsidR="00EE4E3A" w:rsidRPr="00670E4A" w:rsidRDefault="00EE4E3A" w:rsidP="00773037">
            <w:pPr>
              <w:jc w:val="right"/>
              <w:rPr>
                <w:sz w:val="22"/>
                <w:szCs w:val="22"/>
              </w:rPr>
            </w:pPr>
          </w:p>
        </w:tc>
        <w:tc>
          <w:tcPr>
            <w:tcW w:w="749" w:type="dxa"/>
            <w:vAlign w:val="center"/>
          </w:tcPr>
          <w:p w14:paraId="74178C35" w14:textId="77777777" w:rsidR="00EE4E3A" w:rsidRPr="00C12CCF" w:rsidRDefault="00EE4E3A" w:rsidP="00773037">
            <w:pPr>
              <w:jc w:val="right"/>
              <w:rPr>
                <w:sz w:val="22"/>
                <w:szCs w:val="22"/>
                <w:highlight w:val="yellow"/>
              </w:rPr>
            </w:pPr>
          </w:p>
        </w:tc>
        <w:tc>
          <w:tcPr>
            <w:tcW w:w="1559" w:type="dxa"/>
            <w:shd w:val="clear" w:color="auto" w:fill="auto"/>
            <w:vAlign w:val="center"/>
          </w:tcPr>
          <w:p w14:paraId="466ACF7B" w14:textId="7D53DF04" w:rsidR="00EE4E3A" w:rsidRDefault="009B7EAF" w:rsidP="00773037">
            <w:pPr>
              <w:jc w:val="right"/>
              <w:rPr>
                <w:sz w:val="22"/>
                <w:szCs w:val="22"/>
              </w:rPr>
            </w:pPr>
            <w:r>
              <w:rPr>
                <w:sz w:val="22"/>
                <w:szCs w:val="22"/>
              </w:rPr>
              <w:t>(18)</w:t>
            </w:r>
          </w:p>
        </w:tc>
        <w:tc>
          <w:tcPr>
            <w:tcW w:w="284" w:type="dxa"/>
            <w:shd w:val="clear" w:color="auto" w:fill="auto"/>
            <w:vAlign w:val="center"/>
          </w:tcPr>
          <w:p w14:paraId="0AA66FD6" w14:textId="77777777" w:rsidR="00EE4E3A" w:rsidRPr="002D5556" w:rsidRDefault="00EE4E3A" w:rsidP="00773037">
            <w:pPr>
              <w:jc w:val="right"/>
              <w:rPr>
                <w:sz w:val="22"/>
                <w:szCs w:val="22"/>
              </w:rPr>
            </w:pPr>
          </w:p>
        </w:tc>
        <w:tc>
          <w:tcPr>
            <w:tcW w:w="992" w:type="dxa"/>
            <w:shd w:val="clear" w:color="auto" w:fill="auto"/>
            <w:vAlign w:val="center"/>
          </w:tcPr>
          <w:p w14:paraId="2E1D2987" w14:textId="60F4576D" w:rsidR="00EE4E3A" w:rsidRPr="00496AF2" w:rsidRDefault="00061171" w:rsidP="00773037">
            <w:pPr>
              <w:jc w:val="right"/>
              <w:rPr>
                <w:sz w:val="22"/>
                <w:szCs w:val="22"/>
              </w:rPr>
            </w:pPr>
            <w:r>
              <w:rPr>
                <w:sz w:val="22"/>
                <w:szCs w:val="22"/>
              </w:rPr>
              <w:t>-</w:t>
            </w:r>
          </w:p>
        </w:tc>
      </w:tr>
      <w:tr w:rsidR="00EE4E3A" w:rsidRPr="002D5556" w14:paraId="0071E9FE" w14:textId="77777777" w:rsidTr="00B648C4">
        <w:trPr>
          <w:trHeight w:val="300"/>
        </w:trPr>
        <w:tc>
          <w:tcPr>
            <w:tcW w:w="2034" w:type="dxa"/>
            <w:gridSpan w:val="2"/>
            <w:vAlign w:val="center"/>
          </w:tcPr>
          <w:p w14:paraId="30DF7596" w14:textId="77777777" w:rsidR="00EE4E3A" w:rsidRDefault="00EE4E3A" w:rsidP="00773037">
            <w:pPr>
              <w:rPr>
                <w:sz w:val="22"/>
                <w:szCs w:val="22"/>
              </w:rPr>
            </w:pPr>
            <w:r>
              <w:rPr>
                <w:sz w:val="22"/>
                <w:szCs w:val="22"/>
              </w:rPr>
              <w:t>Added in the year</w:t>
            </w:r>
          </w:p>
        </w:tc>
        <w:tc>
          <w:tcPr>
            <w:tcW w:w="2693" w:type="dxa"/>
            <w:shd w:val="clear" w:color="auto" w:fill="auto"/>
            <w:noWrap/>
            <w:vAlign w:val="center"/>
          </w:tcPr>
          <w:p w14:paraId="07AED389" w14:textId="77777777" w:rsidR="00EE4E3A" w:rsidRPr="00670E4A" w:rsidRDefault="00EE4E3A" w:rsidP="00773037">
            <w:pPr>
              <w:jc w:val="right"/>
              <w:rPr>
                <w:sz w:val="22"/>
                <w:szCs w:val="22"/>
              </w:rPr>
            </w:pPr>
          </w:p>
        </w:tc>
        <w:tc>
          <w:tcPr>
            <w:tcW w:w="243" w:type="dxa"/>
            <w:shd w:val="clear" w:color="auto" w:fill="auto"/>
            <w:noWrap/>
            <w:vAlign w:val="center"/>
          </w:tcPr>
          <w:p w14:paraId="58F5F2A7" w14:textId="77777777" w:rsidR="00EE4E3A" w:rsidRPr="00670E4A" w:rsidRDefault="00EE4E3A" w:rsidP="00773037">
            <w:pPr>
              <w:jc w:val="right"/>
              <w:rPr>
                <w:sz w:val="22"/>
                <w:szCs w:val="22"/>
              </w:rPr>
            </w:pPr>
          </w:p>
        </w:tc>
        <w:tc>
          <w:tcPr>
            <w:tcW w:w="749" w:type="dxa"/>
            <w:vAlign w:val="center"/>
          </w:tcPr>
          <w:p w14:paraId="6E6AE03C" w14:textId="77777777" w:rsidR="00EE4E3A" w:rsidRPr="00C12CCF" w:rsidRDefault="00EE4E3A" w:rsidP="00773037">
            <w:pPr>
              <w:jc w:val="right"/>
              <w:rPr>
                <w:sz w:val="22"/>
                <w:szCs w:val="22"/>
                <w:highlight w:val="yellow"/>
              </w:rPr>
            </w:pPr>
          </w:p>
        </w:tc>
        <w:tc>
          <w:tcPr>
            <w:tcW w:w="1559" w:type="dxa"/>
            <w:shd w:val="clear" w:color="auto" w:fill="auto"/>
            <w:vAlign w:val="center"/>
          </w:tcPr>
          <w:p w14:paraId="15294966" w14:textId="2566C082" w:rsidR="00EE4E3A" w:rsidRDefault="00FB7B99" w:rsidP="00773037">
            <w:pPr>
              <w:jc w:val="right"/>
              <w:rPr>
                <w:sz w:val="22"/>
                <w:szCs w:val="22"/>
              </w:rPr>
            </w:pPr>
            <w:r>
              <w:rPr>
                <w:sz w:val="22"/>
                <w:szCs w:val="22"/>
              </w:rPr>
              <w:t>101</w:t>
            </w:r>
          </w:p>
        </w:tc>
        <w:tc>
          <w:tcPr>
            <w:tcW w:w="284" w:type="dxa"/>
            <w:shd w:val="clear" w:color="auto" w:fill="auto"/>
            <w:vAlign w:val="center"/>
          </w:tcPr>
          <w:p w14:paraId="6BF17B3C" w14:textId="77777777" w:rsidR="00EE4E3A" w:rsidRPr="002D5556" w:rsidRDefault="00EE4E3A" w:rsidP="00773037">
            <w:pPr>
              <w:jc w:val="right"/>
              <w:rPr>
                <w:sz w:val="22"/>
                <w:szCs w:val="22"/>
              </w:rPr>
            </w:pPr>
          </w:p>
        </w:tc>
        <w:tc>
          <w:tcPr>
            <w:tcW w:w="992" w:type="dxa"/>
            <w:shd w:val="clear" w:color="auto" w:fill="auto"/>
            <w:vAlign w:val="center"/>
          </w:tcPr>
          <w:p w14:paraId="2A119AF1" w14:textId="3A235590" w:rsidR="00EE4E3A" w:rsidRPr="00496AF2" w:rsidRDefault="00061171" w:rsidP="00773037">
            <w:pPr>
              <w:jc w:val="right"/>
              <w:rPr>
                <w:sz w:val="22"/>
                <w:szCs w:val="22"/>
              </w:rPr>
            </w:pPr>
            <w:r>
              <w:rPr>
                <w:sz w:val="22"/>
                <w:szCs w:val="22"/>
              </w:rPr>
              <w:t>-</w:t>
            </w:r>
          </w:p>
        </w:tc>
      </w:tr>
      <w:tr w:rsidR="00EE4E3A" w:rsidRPr="002D5556" w14:paraId="41DF6D8F" w14:textId="77777777" w:rsidTr="00B648C4">
        <w:trPr>
          <w:trHeight w:val="315"/>
        </w:trPr>
        <w:tc>
          <w:tcPr>
            <w:tcW w:w="2034" w:type="dxa"/>
            <w:gridSpan w:val="2"/>
          </w:tcPr>
          <w:p w14:paraId="2D2A71F8" w14:textId="57F4892F" w:rsidR="00EE4E3A" w:rsidRPr="002D5556" w:rsidRDefault="00B648C4" w:rsidP="00773037">
            <w:pPr>
              <w:rPr>
                <w:sz w:val="22"/>
                <w:szCs w:val="22"/>
              </w:rPr>
            </w:pPr>
            <w:r>
              <w:rPr>
                <w:sz w:val="22"/>
                <w:szCs w:val="22"/>
              </w:rPr>
              <w:t>At 31 March 202</w:t>
            </w:r>
            <w:r w:rsidR="00F4493B">
              <w:rPr>
                <w:sz w:val="22"/>
                <w:szCs w:val="22"/>
              </w:rPr>
              <w:t>4</w:t>
            </w:r>
          </w:p>
        </w:tc>
        <w:tc>
          <w:tcPr>
            <w:tcW w:w="2693" w:type="dxa"/>
            <w:shd w:val="clear" w:color="auto" w:fill="auto"/>
            <w:noWrap/>
            <w:vAlign w:val="center"/>
            <w:hideMark/>
          </w:tcPr>
          <w:p w14:paraId="5062EF84" w14:textId="77777777" w:rsidR="00EE4E3A" w:rsidRPr="00670E4A" w:rsidRDefault="00EE4E3A" w:rsidP="00773037">
            <w:pPr>
              <w:jc w:val="right"/>
              <w:rPr>
                <w:sz w:val="22"/>
                <w:szCs w:val="22"/>
              </w:rPr>
            </w:pPr>
          </w:p>
        </w:tc>
        <w:tc>
          <w:tcPr>
            <w:tcW w:w="243" w:type="dxa"/>
            <w:shd w:val="clear" w:color="auto" w:fill="auto"/>
            <w:noWrap/>
            <w:vAlign w:val="center"/>
            <w:hideMark/>
          </w:tcPr>
          <w:p w14:paraId="7E8B77AC" w14:textId="77777777" w:rsidR="00EE4E3A" w:rsidRPr="002D5556" w:rsidRDefault="00EE4E3A" w:rsidP="00773037">
            <w:pPr>
              <w:jc w:val="right"/>
              <w:rPr>
                <w:sz w:val="22"/>
                <w:szCs w:val="22"/>
              </w:rPr>
            </w:pPr>
          </w:p>
        </w:tc>
        <w:tc>
          <w:tcPr>
            <w:tcW w:w="749" w:type="dxa"/>
            <w:vAlign w:val="center"/>
          </w:tcPr>
          <w:p w14:paraId="477B0C67" w14:textId="77777777" w:rsidR="00EE4E3A" w:rsidRPr="00F031D5" w:rsidRDefault="00EE4E3A" w:rsidP="00773037">
            <w:pPr>
              <w:jc w:val="right"/>
              <w:rPr>
                <w:sz w:val="22"/>
                <w:szCs w:val="22"/>
              </w:rPr>
            </w:pPr>
          </w:p>
        </w:tc>
        <w:tc>
          <w:tcPr>
            <w:tcW w:w="1559" w:type="dxa"/>
            <w:tcBorders>
              <w:top w:val="single" w:sz="4" w:space="0" w:color="auto"/>
              <w:bottom w:val="single" w:sz="4" w:space="0" w:color="auto"/>
            </w:tcBorders>
            <w:vAlign w:val="center"/>
          </w:tcPr>
          <w:p w14:paraId="56979C44" w14:textId="5269C624" w:rsidR="00EE4E3A" w:rsidRPr="00F031D5" w:rsidRDefault="009B7EAF" w:rsidP="00773037">
            <w:pPr>
              <w:jc w:val="right"/>
              <w:rPr>
                <w:sz w:val="22"/>
                <w:szCs w:val="22"/>
              </w:rPr>
            </w:pPr>
            <w:r>
              <w:rPr>
                <w:sz w:val="22"/>
                <w:szCs w:val="22"/>
              </w:rPr>
              <w:t>171</w:t>
            </w:r>
          </w:p>
        </w:tc>
        <w:tc>
          <w:tcPr>
            <w:tcW w:w="284" w:type="dxa"/>
            <w:vAlign w:val="center"/>
          </w:tcPr>
          <w:p w14:paraId="1152B62C" w14:textId="77777777" w:rsidR="00EE4E3A" w:rsidRPr="002D5556" w:rsidRDefault="00EE4E3A" w:rsidP="00773037">
            <w:pPr>
              <w:jc w:val="right"/>
              <w:rPr>
                <w:sz w:val="22"/>
                <w:szCs w:val="22"/>
              </w:rPr>
            </w:pPr>
          </w:p>
        </w:tc>
        <w:tc>
          <w:tcPr>
            <w:tcW w:w="992" w:type="dxa"/>
            <w:tcBorders>
              <w:top w:val="single" w:sz="4" w:space="0" w:color="auto"/>
              <w:bottom w:val="single" w:sz="4" w:space="0" w:color="auto"/>
            </w:tcBorders>
            <w:vAlign w:val="center"/>
          </w:tcPr>
          <w:p w14:paraId="2D2364D1" w14:textId="55EA16C1" w:rsidR="00EE4E3A" w:rsidRPr="002D5556" w:rsidRDefault="000A5240" w:rsidP="00773037">
            <w:pPr>
              <w:jc w:val="right"/>
              <w:rPr>
                <w:sz w:val="22"/>
                <w:szCs w:val="22"/>
              </w:rPr>
            </w:pPr>
            <w:r>
              <w:rPr>
                <w:sz w:val="22"/>
                <w:szCs w:val="22"/>
              </w:rPr>
              <w:t>88</w:t>
            </w:r>
          </w:p>
        </w:tc>
      </w:tr>
    </w:tbl>
    <w:p w14:paraId="642D38AD" w14:textId="77777777" w:rsidR="004430FD" w:rsidRDefault="004430FD" w:rsidP="00667BE3">
      <w:pPr>
        <w:rPr>
          <w:b/>
          <w:sz w:val="22"/>
          <w:szCs w:val="22"/>
        </w:rPr>
      </w:pPr>
    </w:p>
    <w:p w14:paraId="5FA8E226" w14:textId="77777777" w:rsidR="00A44AD4" w:rsidRPr="006C0004" w:rsidRDefault="00A44AD4" w:rsidP="00667BE3">
      <w:pPr>
        <w:rPr>
          <w:b/>
          <w:sz w:val="22"/>
          <w:szCs w:val="22"/>
        </w:rPr>
      </w:pPr>
    </w:p>
    <w:p w14:paraId="1B508EBA" w14:textId="77777777" w:rsidR="00A712DD" w:rsidRDefault="00A712DD">
      <w:pPr>
        <w:rPr>
          <w:b/>
          <w:bCs/>
          <w:sz w:val="22"/>
          <w:szCs w:val="22"/>
        </w:rPr>
      </w:pPr>
      <w:r>
        <w:rPr>
          <w:b/>
          <w:bCs/>
          <w:sz w:val="22"/>
          <w:szCs w:val="22"/>
        </w:rPr>
        <w:br w:type="page"/>
      </w:r>
    </w:p>
    <w:p w14:paraId="50DCE827" w14:textId="3ECB60E2" w:rsidR="00A712DD" w:rsidRPr="00C5795E" w:rsidRDefault="00A712DD" w:rsidP="00A712DD">
      <w:pPr>
        <w:pStyle w:val="ACText"/>
        <w:spacing w:before="0"/>
        <w:rPr>
          <w:b/>
          <w:sz w:val="22"/>
          <w:szCs w:val="22"/>
          <w:highlight w:val="yellow"/>
        </w:rPr>
      </w:pPr>
      <w:r w:rsidRPr="00C5795E">
        <w:rPr>
          <w:b/>
          <w:bCs/>
          <w:sz w:val="22"/>
          <w:szCs w:val="22"/>
        </w:rPr>
        <w:lastRenderedPageBreak/>
        <w:t>NOTES TO THE FINANCIAL STATEMENTS FOR THE YEAR ENDED 31 MARCH 202</w:t>
      </w:r>
      <w:r>
        <w:rPr>
          <w:b/>
          <w:bCs/>
          <w:sz w:val="22"/>
          <w:szCs w:val="22"/>
        </w:rPr>
        <w:t>4</w:t>
      </w:r>
      <w:r w:rsidRPr="00C5795E">
        <w:rPr>
          <w:b/>
          <w:bCs/>
          <w:sz w:val="22"/>
          <w:szCs w:val="22"/>
        </w:rPr>
        <w:t xml:space="preserve"> (continued)</w:t>
      </w:r>
    </w:p>
    <w:p w14:paraId="41427964" w14:textId="77777777" w:rsidR="00A712DD" w:rsidRDefault="00A712DD" w:rsidP="00054D47">
      <w:pPr>
        <w:jc w:val="both"/>
        <w:rPr>
          <w:sz w:val="22"/>
          <w:szCs w:val="22"/>
        </w:rPr>
      </w:pPr>
    </w:p>
    <w:p w14:paraId="7D31FAA6" w14:textId="2E373D12" w:rsidR="00A712DD" w:rsidRPr="006C0004" w:rsidRDefault="00A712DD" w:rsidP="00A712DD">
      <w:pPr>
        <w:rPr>
          <w:b/>
          <w:sz w:val="22"/>
          <w:szCs w:val="22"/>
        </w:rPr>
      </w:pPr>
      <w:r>
        <w:rPr>
          <w:b/>
          <w:sz w:val="22"/>
          <w:szCs w:val="22"/>
        </w:rPr>
        <w:t>2</w:t>
      </w:r>
      <w:r w:rsidR="00AF5224">
        <w:rPr>
          <w:b/>
          <w:sz w:val="22"/>
          <w:szCs w:val="22"/>
        </w:rPr>
        <w:t>2</w:t>
      </w:r>
      <w:r w:rsidRPr="006C0004">
        <w:rPr>
          <w:b/>
          <w:sz w:val="22"/>
          <w:szCs w:val="22"/>
        </w:rPr>
        <w:t xml:space="preserve">.   </w:t>
      </w:r>
      <w:r>
        <w:rPr>
          <w:b/>
          <w:sz w:val="22"/>
          <w:szCs w:val="22"/>
        </w:rPr>
        <w:tab/>
      </w:r>
      <w:r w:rsidRPr="00A5284D">
        <w:rPr>
          <w:b/>
          <w:sz w:val="22"/>
          <w:szCs w:val="22"/>
        </w:rPr>
        <w:t>Related party transactions</w:t>
      </w:r>
    </w:p>
    <w:p w14:paraId="0169B97B" w14:textId="77777777" w:rsidR="00A712DD" w:rsidRPr="006C0004" w:rsidRDefault="00A712DD" w:rsidP="00A712DD">
      <w:pPr>
        <w:rPr>
          <w:sz w:val="22"/>
          <w:szCs w:val="22"/>
        </w:rPr>
      </w:pPr>
    </w:p>
    <w:p w14:paraId="4FFD5669" w14:textId="77777777" w:rsidR="00A712DD" w:rsidRPr="006C0004" w:rsidRDefault="00A712DD" w:rsidP="00A712DD">
      <w:pPr>
        <w:jc w:val="both"/>
        <w:rPr>
          <w:sz w:val="22"/>
          <w:szCs w:val="22"/>
        </w:rPr>
      </w:pPr>
      <w:r w:rsidRPr="006C0004">
        <w:rPr>
          <w:sz w:val="22"/>
          <w:szCs w:val="22"/>
        </w:rPr>
        <w:t>Members of the Management Board are re</w:t>
      </w:r>
      <w:r>
        <w:rPr>
          <w:sz w:val="22"/>
          <w:szCs w:val="22"/>
        </w:rPr>
        <w:t>lated parties of the Company</w:t>
      </w:r>
      <w:r w:rsidRPr="006C0004">
        <w:rPr>
          <w:sz w:val="22"/>
          <w:szCs w:val="22"/>
        </w:rPr>
        <w:t xml:space="preserve"> as defined by FRS 102.</w:t>
      </w:r>
    </w:p>
    <w:p w14:paraId="44E8D2DC" w14:textId="77777777" w:rsidR="00A712DD" w:rsidRPr="006C0004" w:rsidRDefault="00A712DD" w:rsidP="00A712DD">
      <w:pPr>
        <w:jc w:val="both"/>
        <w:rPr>
          <w:b/>
          <w:sz w:val="22"/>
          <w:szCs w:val="22"/>
        </w:rPr>
      </w:pPr>
    </w:p>
    <w:p w14:paraId="32EE29A0" w14:textId="77777777" w:rsidR="00A712DD" w:rsidRPr="006C0004" w:rsidRDefault="00A712DD" w:rsidP="00A712DD">
      <w:pPr>
        <w:jc w:val="both"/>
        <w:rPr>
          <w:sz w:val="22"/>
          <w:szCs w:val="22"/>
        </w:rPr>
      </w:pPr>
      <w:r>
        <w:rPr>
          <w:sz w:val="22"/>
          <w:szCs w:val="22"/>
        </w:rPr>
        <w:t>The WHS</w:t>
      </w:r>
      <w:r w:rsidRPr="006C0004">
        <w:rPr>
          <w:sz w:val="22"/>
          <w:szCs w:val="22"/>
        </w:rPr>
        <w:t xml:space="preserve"> retains a register of members’ interests. The following interests in related parties are required to be declared:</w:t>
      </w:r>
    </w:p>
    <w:p w14:paraId="75BFA195" w14:textId="77777777" w:rsidR="00A712DD" w:rsidRPr="006C0004" w:rsidRDefault="00A712DD" w:rsidP="00A712DD">
      <w:pPr>
        <w:jc w:val="both"/>
        <w:rPr>
          <w:sz w:val="22"/>
          <w:szCs w:val="22"/>
        </w:rPr>
      </w:pPr>
    </w:p>
    <w:p w14:paraId="53A6D5C0" w14:textId="77777777" w:rsidR="00A712DD" w:rsidRPr="006C0004" w:rsidRDefault="00A712DD" w:rsidP="00A712DD">
      <w:pPr>
        <w:jc w:val="both"/>
        <w:rPr>
          <w:b/>
        </w:rPr>
      </w:pPr>
      <w:r w:rsidRPr="006C0004">
        <w:rPr>
          <w:b/>
          <w:sz w:val="22"/>
          <w:szCs w:val="22"/>
        </w:rPr>
        <w:t>Tenant Board Members</w:t>
      </w:r>
    </w:p>
    <w:p w14:paraId="41AD091A" w14:textId="77777777" w:rsidR="00A712DD" w:rsidRDefault="00A712DD" w:rsidP="00054D47">
      <w:pPr>
        <w:jc w:val="both"/>
        <w:rPr>
          <w:sz w:val="22"/>
          <w:szCs w:val="22"/>
        </w:rPr>
      </w:pPr>
    </w:p>
    <w:p w14:paraId="6F9E1AFD" w14:textId="19969A60" w:rsidR="00054D47" w:rsidRPr="006C0004" w:rsidRDefault="00054D47" w:rsidP="00054D47">
      <w:pPr>
        <w:jc w:val="both"/>
        <w:rPr>
          <w:sz w:val="22"/>
          <w:szCs w:val="22"/>
        </w:rPr>
      </w:pPr>
      <w:r w:rsidRPr="006C0004">
        <w:rPr>
          <w:sz w:val="22"/>
          <w:szCs w:val="22"/>
        </w:rPr>
        <w:t>The followi</w:t>
      </w:r>
      <w:r w:rsidR="008A3221">
        <w:rPr>
          <w:sz w:val="22"/>
          <w:szCs w:val="22"/>
        </w:rPr>
        <w:t xml:space="preserve">ng members </w:t>
      </w:r>
      <w:r w:rsidR="00D756CC">
        <w:rPr>
          <w:sz w:val="22"/>
          <w:szCs w:val="22"/>
        </w:rPr>
        <w:t>were</w:t>
      </w:r>
      <w:r w:rsidR="008A3221">
        <w:rPr>
          <w:sz w:val="22"/>
          <w:szCs w:val="22"/>
        </w:rPr>
        <w:t xml:space="preserve"> tenants of </w:t>
      </w:r>
      <w:r w:rsidR="00927FD1">
        <w:rPr>
          <w:sz w:val="22"/>
          <w:szCs w:val="22"/>
        </w:rPr>
        <w:t>Wheatley Homes South</w:t>
      </w:r>
      <w:r w:rsidR="00D756CC">
        <w:rPr>
          <w:sz w:val="22"/>
          <w:szCs w:val="22"/>
        </w:rPr>
        <w:t xml:space="preserve"> during the year</w:t>
      </w:r>
      <w:r w:rsidRPr="006C0004">
        <w:rPr>
          <w:sz w:val="22"/>
          <w:szCs w:val="22"/>
        </w:rPr>
        <w:t xml:space="preserve"> and have</w:t>
      </w:r>
      <w:r w:rsidR="00D756CC">
        <w:rPr>
          <w:sz w:val="22"/>
          <w:szCs w:val="22"/>
        </w:rPr>
        <w:t>/had</w:t>
      </w:r>
      <w:r w:rsidRPr="006C0004">
        <w:rPr>
          <w:sz w:val="22"/>
          <w:szCs w:val="22"/>
        </w:rPr>
        <w:t xml:space="preserve"> tenancy agreem</w:t>
      </w:r>
      <w:r w:rsidR="008A3221">
        <w:rPr>
          <w:sz w:val="22"/>
          <w:szCs w:val="22"/>
        </w:rPr>
        <w:t>ents that are on the Company</w:t>
      </w:r>
      <w:r w:rsidRPr="006C0004">
        <w:rPr>
          <w:sz w:val="22"/>
          <w:szCs w:val="22"/>
        </w:rPr>
        <w:t xml:space="preserve">'s normal terms and they cannot use their positions to their advantage. </w:t>
      </w:r>
    </w:p>
    <w:p w14:paraId="1F7E53A6" w14:textId="77777777" w:rsidR="00667BE3" w:rsidRPr="00274BE3" w:rsidRDefault="00667BE3" w:rsidP="00667BE3">
      <w:pPr>
        <w:jc w:val="both"/>
        <w:rPr>
          <w:sz w:val="22"/>
          <w:szCs w:val="22"/>
        </w:rPr>
      </w:pPr>
    </w:p>
    <w:p w14:paraId="4C5BC4F8" w14:textId="77777777" w:rsidR="00D756CC" w:rsidRDefault="00D756CC" w:rsidP="00D756CC">
      <w:pPr>
        <w:jc w:val="both"/>
        <w:rPr>
          <w:sz w:val="22"/>
          <w:szCs w:val="22"/>
        </w:rPr>
      </w:pPr>
      <w:r w:rsidRPr="00D756CC">
        <w:rPr>
          <w:sz w:val="22"/>
          <w:szCs w:val="22"/>
        </w:rPr>
        <w:t>Mr Michael Greaves-MacIntosh</w:t>
      </w:r>
    </w:p>
    <w:p w14:paraId="4D36C674" w14:textId="2EAFC67D" w:rsidR="00E61276" w:rsidRDefault="006A1122" w:rsidP="00D756CC">
      <w:pPr>
        <w:jc w:val="both"/>
        <w:rPr>
          <w:sz w:val="22"/>
          <w:szCs w:val="22"/>
        </w:rPr>
      </w:pPr>
      <w:r>
        <w:rPr>
          <w:sz w:val="22"/>
          <w:szCs w:val="22"/>
        </w:rPr>
        <w:t>Mr Hugh Martin</w:t>
      </w:r>
      <w:r w:rsidR="007C0C21">
        <w:rPr>
          <w:sz w:val="22"/>
          <w:szCs w:val="22"/>
        </w:rPr>
        <w:t xml:space="preserve"> </w:t>
      </w:r>
    </w:p>
    <w:p w14:paraId="3A1198F0" w14:textId="77DEC5DD" w:rsidR="006A1122" w:rsidRDefault="006A1122" w:rsidP="00D756CC">
      <w:pPr>
        <w:jc w:val="both"/>
        <w:rPr>
          <w:sz w:val="22"/>
          <w:szCs w:val="22"/>
        </w:rPr>
      </w:pPr>
      <w:r>
        <w:rPr>
          <w:sz w:val="22"/>
          <w:szCs w:val="22"/>
        </w:rPr>
        <w:t xml:space="preserve">Mr </w:t>
      </w:r>
      <w:r w:rsidR="00616200">
        <w:rPr>
          <w:sz w:val="22"/>
          <w:szCs w:val="22"/>
        </w:rPr>
        <w:t xml:space="preserve">John McCraw </w:t>
      </w:r>
    </w:p>
    <w:p w14:paraId="5B601D09" w14:textId="77777777" w:rsidR="00B24ADF" w:rsidRDefault="00B24ADF" w:rsidP="00054D47">
      <w:pPr>
        <w:rPr>
          <w:sz w:val="22"/>
          <w:szCs w:val="22"/>
        </w:rPr>
      </w:pPr>
    </w:p>
    <w:p w14:paraId="1146BD29" w14:textId="1D63B63F" w:rsidR="00054D47" w:rsidRDefault="00054D47" w:rsidP="00054D47">
      <w:pPr>
        <w:rPr>
          <w:sz w:val="22"/>
          <w:szCs w:val="22"/>
        </w:rPr>
      </w:pPr>
      <w:r w:rsidRPr="00F813FB">
        <w:rPr>
          <w:sz w:val="22"/>
          <w:szCs w:val="22"/>
        </w:rPr>
        <w:t>Transactions</w:t>
      </w:r>
      <w:r w:rsidR="00C42DC5" w:rsidRPr="00F813FB">
        <w:rPr>
          <w:sz w:val="22"/>
          <w:szCs w:val="22"/>
        </w:rPr>
        <w:t xml:space="preserve"> entered into with members,</w:t>
      </w:r>
      <w:r w:rsidRPr="00F813FB">
        <w:rPr>
          <w:sz w:val="22"/>
          <w:szCs w:val="22"/>
        </w:rPr>
        <w:t xml:space="preserve"> and </w:t>
      </w:r>
      <w:r w:rsidR="00C42DC5" w:rsidRPr="00F813FB">
        <w:rPr>
          <w:sz w:val="22"/>
          <w:szCs w:val="22"/>
        </w:rPr>
        <w:t xml:space="preserve">rent </w:t>
      </w:r>
      <w:r w:rsidRPr="00F813FB">
        <w:rPr>
          <w:sz w:val="22"/>
          <w:szCs w:val="22"/>
        </w:rPr>
        <w:t>arrear bala</w:t>
      </w:r>
      <w:r w:rsidR="00DA6B5F" w:rsidRPr="00F813FB">
        <w:rPr>
          <w:sz w:val="22"/>
          <w:szCs w:val="22"/>
        </w:rPr>
        <w:t>nces outstanding</w:t>
      </w:r>
      <w:r w:rsidR="006D1C3B" w:rsidRPr="00F813FB">
        <w:rPr>
          <w:sz w:val="22"/>
          <w:szCs w:val="22"/>
        </w:rPr>
        <w:t xml:space="preserve"> </w:t>
      </w:r>
      <w:r w:rsidR="006D1C3B" w:rsidRPr="00E32C3F">
        <w:rPr>
          <w:sz w:val="22"/>
          <w:szCs w:val="22"/>
        </w:rPr>
        <w:t>at 31 March 202</w:t>
      </w:r>
      <w:r w:rsidR="006C6A73">
        <w:rPr>
          <w:sz w:val="22"/>
          <w:szCs w:val="22"/>
        </w:rPr>
        <w:t>4</w:t>
      </w:r>
      <w:r w:rsidRPr="00F813FB">
        <w:rPr>
          <w:sz w:val="22"/>
          <w:szCs w:val="22"/>
        </w:rPr>
        <w:t xml:space="preserve"> are as follows:</w:t>
      </w:r>
    </w:p>
    <w:p w14:paraId="61D38E08" w14:textId="77777777" w:rsidR="00C42DC5" w:rsidRPr="00274BE3" w:rsidRDefault="00C42DC5" w:rsidP="00054D47">
      <w:pPr>
        <w:rPr>
          <w:sz w:val="22"/>
          <w:szCs w:val="22"/>
        </w:rPr>
      </w:pPr>
    </w:p>
    <w:tbl>
      <w:tblPr>
        <w:tblW w:w="8931" w:type="dxa"/>
        <w:tblLayout w:type="fixed"/>
        <w:tblCellMar>
          <w:left w:w="0" w:type="dxa"/>
          <w:right w:w="0" w:type="dxa"/>
        </w:tblCellMar>
        <w:tblLook w:val="0000" w:firstRow="0" w:lastRow="0" w:firstColumn="0" w:lastColumn="0" w:noHBand="0" w:noVBand="0"/>
      </w:tblPr>
      <w:tblGrid>
        <w:gridCol w:w="5889"/>
        <w:gridCol w:w="1304"/>
        <w:gridCol w:w="652"/>
        <w:gridCol w:w="1086"/>
      </w:tblGrid>
      <w:tr w:rsidR="00054D47" w:rsidRPr="00FB0792" w14:paraId="0032D460" w14:textId="77777777" w:rsidTr="00D756CC">
        <w:trPr>
          <w:cantSplit/>
          <w:trHeight w:val="266"/>
        </w:trPr>
        <w:tc>
          <w:tcPr>
            <w:tcW w:w="5889" w:type="dxa"/>
            <w:tcBorders>
              <w:left w:val="nil"/>
              <w:right w:val="nil"/>
            </w:tcBorders>
            <w:noWrap/>
            <w:tcMar>
              <w:top w:w="17" w:type="dxa"/>
              <w:left w:w="17" w:type="dxa"/>
              <w:bottom w:w="0" w:type="dxa"/>
              <w:right w:w="17" w:type="dxa"/>
            </w:tcMar>
            <w:vAlign w:val="bottom"/>
          </w:tcPr>
          <w:p w14:paraId="0BFCB555" w14:textId="77777777" w:rsidR="00054D47" w:rsidRPr="00274BE3" w:rsidRDefault="00054D47" w:rsidP="00EA2D8A">
            <w:pPr>
              <w:rPr>
                <w:color w:val="000000"/>
                <w:sz w:val="22"/>
                <w:szCs w:val="22"/>
              </w:rPr>
            </w:pPr>
          </w:p>
        </w:tc>
        <w:tc>
          <w:tcPr>
            <w:tcW w:w="1304" w:type="dxa"/>
            <w:tcBorders>
              <w:left w:val="nil"/>
              <w:right w:val="nil"/>
            </w:tcBorders>
            <w:noWrap/>
            <w:tcMar>
              <w:top w:w="17" w:type="dxa"/>
              <w:left w:w="17" w:type="dxa"/>
              <w:bottom w:w="0" w:type="dxa"/>
              <w:right w:w="17" w:type="dxa"/>
            </w:tcMar>
            <w:vAlign w:val="bottom"/>
          </w:tcPr>
          <w:p w14:paraId="78C52AFC" w14:textId="77777777" w:rsidR="00054D47" w:rsidRPr="00274BE3" w:rsidRDefault="00054D47" w:rsidP="00EA2D8A">
            <w:pPr>
              <w:rPr>
                <w:color w:val="000000"/>
                <w:sz w:val="22"/>
                <w:szCs w:val="22"/>
              </w:rPr>
            </w:pPr>
          </w:p>
        </w:tc>
        <w:tc>
          <w:tcPr>
            <w:tcW w:w="652" w:type="dxa"/>
            <w:tcBorders>
              <w:left w:val="nil"/>
              <w:right w:val="nil"/>
            </w:tcBorders>
          </w:tcPr>
          <w:p w14:paraId="3F0EECB9" w14:textId="77777777" w:rsidR="00054D47" w:rsidRPr="00274BE3" w:rsidRDefault="00054D47" w:rsidP="00EA2D8A">
            <w:pPr>
              <w:ind w:right="57"/>
              <w:jc w:val="right"/>
              <w:rPr>
                <w:b/>
                <w:color w:val="000000"/>
                <w:sz w:val="22"/>
                <w:szCs w:val="22"/>
              </w:rPr>
            </w:pPr>
          </w:p>
        </w:tc>
        <w:tc>
          <w:tcPr>
            <w:tcW w:w="1086" w:type="dxa"/>
            <w:tcBorders>
              <w:left w:val="nil"/>
              <w:right w:val="nil"/>
            </w:tcBorders>
          </w:tcPr>
          <w:p w14:paraId="3A9C53B1" w14:textId="77777777" w:rsidR="00B24ADF" w:rsidRPr="00FB0792" w:rsidRDefault="00B24ADF" w:rsidP="00EA2D8A">
            <w:pPr>
              <w:ind w:right="57"/>
              <w:jc w:val="right"/>
              <w:rPr>
                <w:b/>
                <w:sz w:val="22"/>
                <w:szCs w:val="22"/>
              </w:rPr>
            </w:pPr>
          </w:p>
          <w:p w14:paraId="1A438904" w14:textId="3856423D" w:rsidR="00054D47" w:rsidRPr="00FB0792" w:rsidRDefault="006D1C3B" w:rsidP="00EA2D8A">
            <w:pPr>
              <w:ind w:right="57"/>
              <w:jc w:val="right"/>
              <w:rPr>
                <w:b/>
                <w:sz w:val="22"/>
                <w:szCs w:val="22"/>
              </w:rPr>
            </w:pPr>
            <w:r w:rsidRPr="00FB0792">
              <w:rPr>
                <w:b/>
                <w:sz w:val="22"/>
                <w:szCs w:val="22"/>
              </w:rPr>
              <w:t>202</w:t>
            </w:r>
            <w:r w:rsidR="006C6A73">
              <w:rPr>
                <w:b/>
                <w:sz w:val="22"/>
                <w:szCs w:val="22"/>
              </w:rPr>
              <w:t>4</w:t>
            </w:r>
          </w:p>
          <w:p w14:paraId="2BEC1E85" w14:textId="77777777" w:rsidR="00054D47" w:rsidRPr="00FB0792" w:rsidRDefault="00054D47" w:rsidP="00EA2D8A">
            <w:pPr>
              <w:ind w:right="57"/>
              <w:jc w:val="right"/>
              <w:rPr>
                <w:b/>
                <w:sz w:val="22"/>
                <w:szCs w:val="22"/>
              </w:rPr>
            </w:pPr>
            <w:r w:rsidRPr="00FB0792">
              <w:rPr>
                <w:b/>
                <w:sz w:val="22"/>
                <w:szCs w:val="22"/>
              </w:rPr>
              <w:t>£’000</w:t>
            </w:r>
          </w:p>
          <w:p w14:paraId="1C5B9369" w14:textId="77777777" w:rsidR="00054D47" w:rsidRPr="00FB0792" w:rsidRDefault="00054D47" w:rsidP="00EA2D8A">
            <w:pPr>
              <w:ind w:right="57"/>
              <w:jc w:val="right"/>
              <w:rPr>
                <w:b/>
                <w:sz w:val="22"/>
                <w:szCs w:val="22"/>
              </w:rPr>
            </w:pPr>
          </w:p>
        </w:tc>
      </w:tr>
      <w:tr w:rsidR="00054D47" w:rsidRPr="003935DD" w14:paraId="59EEFE04" w14:textId="77777777" w:rsidTr="00D756CC">
        <w:trPr>
          <w:cantSplit/>
          <w:trHeight w:val="266"/>
        </w:trPr>
        <w:tc>
          <w:tcPr>
            <w:tcW w:w="5889" w:type="dxa"/>
            <w:tcBorders>
              <w:left w:val="nil"/>
              <w:right w:val="nil"/>
            </w:tcBorders>
            <w:noWrap/>
            <w:tcMar>
              <w:top w:w="17" w:type="dxa"/>
              <w:left w:w="17" w:type="dxa"/>
              <w:bottom w:w="0" w:type="dxa"/>
              <w:right w:w="17" w:type="dxa"/>
            </w:tcMar>
            <w:vAlign w:val="bottom"/>
          </w:tcPr>
          <w:p w14:paraId="390A2750" w14:textId="77777777" w:rsidR="00054D47" w:rsidRPr="003935DD" w:rsidRDefault="00054D47" w:rsidP="00EA2D8A">
            <w:pPr>
              <w:rPr>
                <w:color w:val="000000"/>
                <w:sz w:val="22"/>
                <w:szCs w:val="22"/>
              </w:rPr>
            </w:pPr>
            <w:r w:rsidRPr="003935DD">
              <w:rPr>
                <w:color w:val="000000"/>
                <w:sz w:val="22"/>
                <w:szCs w:val="22"/>
              </w:rPr>
              <w:t xml:space="preserve">Rent charged during the year </w:t>
            </w:r>
          </w:p>
        </w:tc>
        <w:tc>
          <w:tcPr>
            <w:tcW w:w="1304" w:type="dxa"/>
            <w:tcBorders>
              <w:left w:val="nil"/>
              <w:right w:val="nil"/>
            </w:tcBorders>
            <w:noWrap/>
            <w:tcMar>
              <w:top w:w="17" w:type="dxa"/>
              <w:left w:w="17" w:type="dxa"/>
              <w:bottom w:w="0" w:type="dxa"/>
              <w:right w:w="17" w:type="dxa"/>
            </w:tcMar>
            <w:vAlign w:val="bottom"/>
          </w:tcPr>
          <w:p w14:paraId="559309FF" w14:textId="77777777" w:rsidR="00054D47" w:rsidRPr="003935DD" w:rsidRDefault="00054D47" w:rsidP="00EA2D8A">
            <w:pPr>
              <w:rPr>
                <w:color w:val="000000"/>
                <w:sz w:val="22"/>
                <w:szCs w:val="22"/>
              </w:rPr>
            </w:pPr>
          </w:p>
        </w:tc>
        <w:tc>
          <w:tcPr>
            <w:tcW w:w="652" w:type="dxa"/>
            <w:tcBorders>
              <w:left w:val="nil"/>
              <w:right w:val="nil"/>
            </w:tcBorders>
          </w:tcPr>
          <w:p w14:paraId="04F34D03" w14:textId="77777777" w:rsidR="00054D47" w:rsidRPr="003935DD" w:rsidRDefault="00054D47" w:rsidP="00EA2D8A">
            <w:pPr>
              <w:ind w:right="57"/>
              <w:jc w:val="right"/>
              <w:rPr>
                <w:color w:val="000000"/>
                <w:sz w:val="22"/>
                <w:szCs w:val="22"/>
              </w:rPr>
            </w:pPr>
          </w:p>
        </w:tc>
        <w:tc>
          <w:tcPr>
            <w:tcW w:w="1086" w:type="dxa"/>
            <w:tcBorders>
              <w:left w:val="nil"/>
              <w:right w:val="nil"/>
            </w:tcBorders>
            <w:vAlign w:val="bottom"/>
          </w:tcPr>
          <w:p w14:paraId="04DE299C" w14:textId="6A99AA9A" w:rsidR="00054D47" w:rsidRPr="003935DD" w:rsidRDefault="001D0883" w:rsidP="00845C5E">
            <w:pPr>
              <w:ind w:right="57"/>
              <w:jc w:val="right"/>
              <w:rPr>
                <w:sz w:val="22"/>
                <w:szCs w:val="22"/>
              </w:rPr>
            </w:pPr>
            <w:r>
              <w:rPr>
                <w:sz w:val="22"/>
                <w:szCs w:val="22"/>
              </w:rPr>
              <w:t>14</w:t>
            </w:r>
          </w:p>
        </w:tc>
      </w:tr>
      <w:tr w:rsidR="00054D47" w:rsidRPr="003935DD" w14:paraId="7E5B8D90" w14:textId="77777777" w:rsidTr="00D756CC">
        <w:trPr>
          <w:cantSplit/>
          <w:trHeight w:val="266"/>
        </w:trPr>
        <w:tc>
          <w:tcPr>
            <w:tcW w:w="5889" w:type="dxa"/>
            <w:tcBorders>
              <w:left w:val="nil"/>
              <w:right w:val="nil"/>
            </w:tcBorders>
            <w:noWrap/>
            <w:tcMar>
              <w:top w:w="17" w:type="dxa"/>
              <w:left w:w="17" w:type="dxa"/>
              <w:bottom w:w="0" w:type="dxa"/>
              <w:right w:w="17" w:type="dxa"/>
            </w:tcMar>
            <w:vAlign w:val="bottom"/>
          </w:tcPr>
          <w:p w14:paraId="4093D012" w14:textId="3DFF7172" w:rsidR="00054D47" w:rsidRPr="003935DD" w:rsidRDefault="00054D47" w:rsidP="009114E8">
            <w:pPr>
              <w:rPr>
                <w:color w:val="000000"/>
                <w:sz w:val="22"/>
                <w:szCs w:val="22"/>
              </w:rPr>
            </w:pPr>
            <w:r w:rsidRPr="003935DD">
              <w:rPr>
                <w:color w:val="000000"/>
                <w:sz w:val="22"/>
                <w:szCs w:val="22"/>
              </w:rPr>
              <w:t>Arrear bala</w:t>
            </w:r>
            <w:r w:rsidR="00DA6B5F" w:rsidRPr="003935DD">
              <w:rPr>
                <w:color w:val="000000"/>
                <w:sz w:val="22"/>
                <w:szCs w:val="22"/>
              </w:rPr>
              <w:t>nces outstanding at 31 March 202</w:t>
            </w:r>
            <w:r w:rsidR="006C6A73">
              <w:rPr>
                <w:color w:val="000000"/>
                <w:sz w:val="22"/>
                <w:szCs w:val="22"/>
              </w:rPr>
              <w:t>4</w:t>
            </w:r>
          </w:p>
        </w:tc>
        <w:tc>
          <w:tcPr>
            <w:tcW w:w="1304" w:type="dxa"/>
            <w:tcBorders>
              <w:left w:val="nil"/>
              <w:right w:val="nil"/>
            </w:tcBorders>
            <w:noWrap/>
            <w:tcMar>
              <w:top w:w="17" w:type="dxa"/>
              <w:left w:w="17" w:type="dxa"/>
              <w:bottom w:w="0" w:type="dxa"/>
              <w:right w:w="17" w:type="dxa"/>
            </w:tcMar>
            <w:vAlign w:val="bottom"/>
          </w:tcPr>
          <w:p w14:paraId="01A21C9B" w14:textId="77777777" w:rsidR="00054D47" w:rsidRPr="003935DD" w:rsidRDefault="00054D47" w:rsidP="00EA2D8A">
            <w:pPr>
              <w:rPr>
                <w:color w:val="000000"/>
                <w:sz w:val="22"/>
                <w:szCs w:val="22"/>
              </w:rPr>
            </w:pPr>
          </w:p>
        </w:tc>
        <w:tc>
          <w:tcPr>
            <w:tcW w:w="652" w:type="dxa"/>
            <w:tcBorders>
              <w:left w:val="nil"/>
              <w:right w:val="nil"/>
            </w:tcBorders>
          </w:tcPr>
          <w:p w14:paraId="43302686" w14:textId="77777777" w:rsidR="00054D47" w:rsidRPr="003935DD" w:rsidRDefault="00054D47" w:rsidP="00EA2D8A">
            <w:pPr>
              <w:ind w:right="57"/>
              <w:jc w:val="right"/>
              <w:rPr>
                <w:color w:val="000000"/>
                <w:sz w:val="22"/>
                <w:szCs w:val="22"/>
              </w:rPr>
            </w:pPr>
          </w:p>
        </w:tc>
        <w:tc>
          <w:tcPr>
            <w:tcW w:w="1086" w:type="dxa"/>
            <w:tcBorders>
              <w:left w:val="nil"/>
              <w:right w:val="nil"/>
            </w:tcBorders>
            <w:vAlign w:val="bottom"/>
          </w:tcPr>
          <w:p w14:paraId="2942AFB5" w14:textId="2666171D" w:rsidR="00054D47" w:rsidRPr="003935DD" w:rsidRDefault="00A82E7D" w:rsidP="00EA2D8A">
            <w:pPr>
              <w:ind w:right="57"/>
              <w:jc w:val="right"/>
              <w:rPr>
                <w:sz w:val="22"/>
                <w:szCs w:val="22"/>
              </w:rPr>
            </w:pPr>
            <w:r>
              <w:rPr>
                <w:sz w:val="22"/>
                <w:szCs w:val="22"/>
              </w:rPr>
              <w:t>-</w:t>
            </w:r>
          </w:p>
        </w:tc>
      </w:tr>
    </w:tbl>
    <w:p w14:paraId="1952D336" w14:textId="77777777" w:rsidR="00F22CDF" w:rsidRPr="003935DD" w:rsidRDefault="00F22CDF" w:rsidP="00667BE3">
      <w:pPr>
        <w:jc w:val="both"/>
        <w:rPr>
          <w:sz w:val="22"/>
          <w:szCs w:val="22"/>
        </w:rPr>
      </w:pPr>
    </w:p>
    <w:p w14:paraId="197D88E0" w14:textId="77777777" w:rsidR="00522B02" w:rsidRDefault="00522B02" w:rsidP="00667BE3">
      <w:pPr>
        <w:jc w:val="both"/>
        <w:rPr>
          <w:sz w:val="22"/>
          <w:szCs w:val="22"/>
          <w:highlight w:val="yellow"/>
        </w:rPr>
      </w:pPr>
    </w:p>
    <w:p w14:paraId="50D94446" w14:textId="77777777" w:rsidR="007A49C1" w:rsidRDefault="007A49C1">
      <w:pPr>
        <w:rPr>
          <w:b/>
          <w:bCs/>
          <w:sz w:val="22"/>
          <w:szCs w:val="22"/>
        </w:rPr>
      </w:pPr>
      <w:bookmarkStart w:id="14" w:name="_Hlk74601825"/>
      <w:r>
        <w:rPr>
          <w:b/>
          <w:bCs/>
          <w:sz w:val="22"/>
          <w:szCs w:val="22"/>
        </w:rPr>
        <w:br w:type="page"/>
      </w:r>
    </w:p>
    <w:p w14:paraId="0214987C" w14:textId="7B7E037C" w:rsidR="00B7511E" w:rsidRPr="00E14D05" w:rsidRDefault="00B7511E" w:rsidP="009114E8">
      <w:pPr>
        <w:pStyle w:val="ACText"/>
        <w:spacing w:before="0"/>
        <w:rPr>
          <w:b/>
          <w:sz w:val="22"/>
          <w:szCs w:val="22"/>
          <w:highlight w:val="yellow"/>
        </w:rPr>
      </w:pPr>
      <w:r w:rsidRPr="00E14D05">
        <w:rPr>
          <w:b/>
          <w:bCs/>
          <w:sz w:val="22"/>
          <w:szCs w:val="22"/>
        </w:rPr>
        <w:lastRenderedPageBreak/>
        <w:t xml:space="preserve">NOTES TO THE FINANCIAL STATEMENTS FOR THE YEAR ENDED </w:t>
      </w:r>
      <w:r w:rsidR="00A272BD" w:rsidRPr="00E14D05">
        <w:rPr>
          <w:b/>
          <w:bCs/>
          <w:sz w:val="22"/>
          <w:szCs w:val="22"/>
        </w:rPr>
        <w:t>31 MARCH 202</w:t>
      </w:r>
      <w:r w:rsidR="006C6A73">
        <w:rPr>
          <w:b/>
          <w:bCs/>
          <w:sz w:val="22"/>
          <w:szCs w:val="22"/>
        </w:rPr>
        <w:t>4</w:t>
      </w:r>
      <w:r w:rsidRPr="00E14D05">
        <w:rPr>
          <w:b/>
          <w:bCs/>
          <w:sz w:val="22"/>
          <w:szCs w:val="22"/>
        </w:rPr>
        <w:t xml:space="preserve"> (continued)</w:t>
      </w:r>
    </w:p>
    <w:bookmarkEnd w:id="14"/>
    <w:p w14:paraId="6B2A73C8" w14:textId="77777777" w:rsidR="00054D47" w:rsidRPr="00F75532" w:rsidRDefault="00054D47" w:rsidP="00086A6F">
      <w:pPr>
        <w:rPr>
          <w:b/>
          <w:sz w:val="22"/>
          <w:szCs w:val="22"/>
        </w:rPr>
      </w:pPr>
    </w:p>
    <w:p w14:paraId="56A8BC57" w14:textId="50B235C6" w:rsidR="00930A5A" w:rsidRPr="00F75532" w:rsidRDefault="006C1224" w:rsidP="004661F2">
      <w:pPr>
        <w:rPr>
          <w:b/>
          <w:sz w:val="22"/>
          <w:szCs w:val="22"/>
        </w:rPr>
      </w:pPr>
      <w:r w:rsidRPr="003A0B6C">
        <w:rPr>
          <w:b/>
          <w:sz w:val="22"/>
          <w:szCs w:val="22"/>
        </w:rPr>
        <w:t>2</w:t>
      </w:r>
      <w:r w:rsidR="00AF5224">
        <w:rPr>
          <w:b/>
          <w:sz w:val="22"/>
          <w:szCs w:val="22"/>
        </w:rPr>
        <w:t>3</w:t>
      </w:r>
      <w:r w:rsidR="006C1B5C" w:rsidRPr="003A0B6C">
        <w:rPr>
          <w:b/>
          <w:sz w:val="22"/>
          <w:szCs w:val="22"/>
        </w:rPr>
        <w:t xml:space="preserve">.  Cash </w:t>
      </w:r>
      <w:r w:rsidR="0006476E" w:rsidRPr="003A0B6C">
        <w:rPr>
          <w:b/>
          <w:sz w:val="22"/>
          <w:szCs w:val="22"/>
        </w:rPr>
        <w:t>f</w:t>
      </w:r>
      <w:r w:rsidR="006C1B5C" w:rsidRPr="003A0B6C">
        <w:rPr>
          <w:b/>
          <w:sz w:val="22"/>
          <w:szCs w:val="22"/>
        </w:rPr>
        <w:t xml:space="preserve">low </w:t>
      </w:r>
      <w:r w:rsidR="00C42DC5" w:rsidRPr="003A0B6C">
        <w:rPr>
          <w:b/>
          <w:sz w:val="22"/>
          <w:szCs w:val="22"/>
        </w:rPr>
        <w:t>analysis</w:t>
      </w:r>
      <w:r w:rsidR="006C1B5C" w:rsidRPr="00F75532">
        <w:rPr>
          <w:b/>
          <w:sz w:val="22"/>
          <w:szCs w:val="22"/>
        </w:rPr>
        <w:t xml:space="preserve"> </w:t>
      </w:r>
    </w:p>
    <w:p w14:paraId="224E29C1" w14:textId="77777777" w:rsidR="00461824" w:rsidRPr="00F75532" w:rsidRDefault="00461824" w:rsidP="004661F2">
      <w:pPr>
        <w:rPr>
          <w:b/>
          <w:sz w:val="22"/>
          <w:szCs w:val="22"/>
        </w:rPr>
      </w:pPr>
    </w:p>
    <w:tbl>
      <w:tblPr>
        <w:tblW w:w="8976" w:type="dxa"/>
        <w:tblLayout w:type="fixed"/>
        <w:tblCellMar>
          <w:left w:w="0" w:type="dxa"/>
          <w:right w:w="0" w:type="dxa"/>
        </w:tblCellMar>
        <w:tblLook w:val="0000" w:firstRow="0" w:lastRow="0" w:firstColumn="0" w:lastColumn="0" w:noHBand="0" w:noVBand="0"/>
      </w:tblPr>
      <w:tblGrid>
        <w:gridCol w:w="5829"/>
        <w:gridCol w:w="19"/>
        <w:gridCol w:w="1382"/>
        <w:gridCol w:w="446"/>
        <w:gridCol w:w="24"/>
        <w:gridCol w:w="1248"/>
        <w:gridCol w:w="28"/>
      </w:tblGrid>
      <w:tr w:rsidR="00D2149C" w:rsidRPr="00F96EE6" w14:paraId="3EEC900A" w14:textId="77777777" w:rsidTr="00EE359C">
        <w:trPr>
          <w:gridAfter w:val="1"/>
          <w:wAfter w:w="28" w:type="dxa"/>
          <w:trHeight w:val="24"/>
        </w:trPr>
        <w:tc>
          <w:tcPr>
            <w:tcW w:w="5829" w:type="dxa"/>
            <w:noWrap/>
            <w:tcMar>
              <w:top w:w="17" w:type="dxa"/>
              <w:left w:w="17" w:type="dxa"/>
              <w:bottom w:w="0" w:type="dxa"/>
              <w:right w:w="17" w:type="dxa"/>
            </w:tcMar>
            <w:vAlign w:val="bottom"/>
          </w:tcPr>
          <w:p w14:paraId="63FCE83E" w14:textId="2C5D61F7" w:rsidR="00D2149C" w:rsidRPr="00F96EE6" w:rsidRDefault="00D2149C" w:rsidP="00D2149C">
            <w:pPr>
              <w:rPr>
                <w:b/>
                <w:bCs/>
                <w:sz w:val="22"/>
                <w:szCs w:val="22"/>
              </w:rPr>
            </w:pPr>
            <w:r>
              <w:br w:type="page"/>
            </w:r>
            <w:r w:rsidRPr="000B3EBC">
              <w:rPr>
                <w:b/>
                <w:bCs/>
                <w:sz w:val="22"/>
                <w:szCs w:val="22"/>
              </w:rPr>
              <w:t xml:space="preserve">Cash flow from operating activities </w:t>
            </w:r>
          </w:p>
          <w:p w14:paraId="78667A12" w14:textId="77777777" w:rsidR="00D2149C" w:rsidRPr="00F96EE6" w:rsidRDefault="00D2149C" w:rsidP="00D2149C">
            <w:pPr>
              <w:rPr>
                <w:b/>
                <w:bCs/>
                <w:sz w:val="22"/>
                <w:szCs w:val="22"/>
              </w:rPr>
            </w:pPr>
          </w:p>
        </w:tc>
        <w:tc>
          <w:tcPr>
            <w:tcW w:w="1401" w:type="dxa"/>
            <w:gridSpan w:val="2"/>
            <w:noWrap/>
            <w:tcMar>
              <w:top w:w="17" w:type="dxa"/>
              <w:left w:w="17" w:type="dxa"/>
              <w:bottom w:w="0" w:type="dxa"/>
              <w:right w:w="17" w:type="dxa"/>
            </w:tcMar>
            <w:vAlign w:val="bottom"/>
          </w:tcPr>
          <w:p w14:paraId="0E6605CB" w14:textId="597CB9DB" w:rsidR="00D2149C" w:rsidRPr="00F4705F" w:rsidRDefault="00D2149C" w:rsidP="00D2149C">
            <w:pPr>
              <w:ind w:right="57"/>
              <w:jc w:val="right"/>
              <w:rPr>
                <w:b/>
                <w:sz w:val="22"/>
                <w:szCs w:val="22"/>
              </w:rPr>
            </w:pPr>
            <w:r w:rsidRPr="00F4705F">
              <w:rPr>
                <w:b/>
                <w:sz w:val="22"/>
                <w:szCs w:val="22"/>
              </w:rPr>
              <w:t>202</w:t>
            </w:r>
            <w:r w:rsidR="006C6A73" w:rsidRPr="00F4705F">
              <w:rPr>
                <w:b/>
                <w:sz w:val="22"/>
                <w:szCs w:val="22"/>
              </w:rPr>
              <w:t>4</w:t>
            </w:r>
            <w:r w:rsidRPr="00F4705F">
              <w:rPr>
                <w:b/>
                <w:sz w:val="22"/>
                <w:szCs w:val="22"/>
              </w:rPr>
              <w:t xml:space="preserve">                   </w:t>
            </w:r>
          </w:p>
        </w:tc>
        <w:tc>
          <w:tcPr>
            <w:tcW w:w="446" w:type="dxa"/>
            <w:vAlign w:val="bottom"/>
          </w:tcPr>
          <w:p w14:paraId="7AF8FCF5" w14:textId="77777777" w:rsidR="00D2149C" w:rsidRPr="00F96EE6" w:rsidRDefault="00D2149C" w:rsidP="00D2149C">
            <w:pPr>
              <w:ind w:right="57"/>
              <w:jc w:val="right"/>
              <w:rPr>
                <w:b/>
                <w:sz w:val="22"/>
                <w:szCs w:val="22"/>
                <w:u w:val="double"/>
              </w:rPr>
            </w:pPr>
          </w:p>
        </w:tc>
        <w:tc>
          <w:tcPr>
            <w:tcW w:w="1272" w:type="dxa"/>
            <w:gridSpan w:val="2"/>
            <w:vAlign w:val="bottom"/>
          </w:tcPr>
          <w:p w14:paraId="3D0D3665" w14:textId="621C9640" w:rsidR="00D2149C" w:rsidRPr="00F96EE6" w:rsidRDefault="00D2149C" w:rsidP="00D2149C">
            <w:pPr>
              <w:ind w:right="57"/>
              <w:jc w:val="right"/>
              <w:rPr>
                <w:b/>
                <w:sz w:val="22"/>
                <w:szCs w:val="22"/>
              </w:rPr>
            </w:pPr>
            <w:r w:rsidRPr="00F96EE6">
              <w:rPr>
                <w:b/>
                <w:sz w:val="22"/>
                <w:szCs w:val="22"/>
              </w:rPr>
              <w:t>20</w:t>
            </w:r>
            <w:r>
              <w:rPr>
                <w:b/>
                <w:sz w:val="22"/>
                <w:szCs w:val="22"/>
              </w:rPr>
              <w:t>2</w:t>
            </w:r>
            <w:r w:rsidR="006C6A73">
              <w:rPr>
                <w:b/>
                <w:sz w:val="22"/>
                <w:szCs w:val="22"/>
              </w:rPr>
              <w:t>3</w:t>
            </w:r>
            <w:r>
              <w:rPr>
                <w:b/>
                <w:sz w:val="22"/>
                <w:szCs w:val="22"/>
              </w:rPr>
              <w:t xml:space="preserve">                   </w:t>
            </w:r>
          </w:p>
        </w:tc>
      </w:tr>
      <w:tr w:rsidR="00D2149C" w:rsidRPr="00F96EE6" w14:paraId="58664E02" w14:textId="77777777" w:rsidTr="00EE359C">
        <w:trPr>
          <w:gridAfter w:val="1"/>
          <w:wAfter w:w="28" w:type="dxa"/>
          <w:trHeight w:val="193"/>
        </w:trPr>
        <w:tc>
          <w:tcPr>
            <w:tcW w:w="5829" w:type="dxa"/>
            <w:noWrap/>
            <w:tcMar>
              <w:top w:w="17" w:type="dxa"/>
              <w:left w:w="17" w:type="dxa"/>
              <w:bottom w:w="0" w:type="dxa"/>
              <w:right w:w="17" w:type="dxa"/>
            </w:tcMar>
            <w:vAlign w:val="bottom"/>
          </w:tcPr>
          <w:p w14:paraId="145EB730" w14:textId="77777777" w:rsidR="00D2149C" w:rsidRPr="00F96EE6" w:rsidRDefault="00D2149C" w:rsidP="00D2149C">
            <w:pPr>
              <w:rPr>
                <w:bCs/>
                <w:sz w:val="22"/>
                <w:szCs w:val="22"/>
              </w:rPr>
            </w:pPr>
          </w:p>
        </w:tc>
        <w:tc>
          <w:tcPr>
            <w:tcW w:w="1401" w:type="dxa"/>
            <w:gridSpan w:val="2"/>
            <w:noWrap/>
            <w:tcMar>
              <w:top w:w="17" w:type="dxa"/>
              <w:left w:w="17" w:type="dxa"/>
              <w:bottom w:w="0" w:type="dxa"/>
              <w:right w:w="17" w:type="dxa"/>
            </w:tcMar>
            <w:vAlign w:val="bottom"/>
          </w:tcPr>
          <w:p w14:paraId="10A660F7" w14:textId="77777777" w:rsidR="00D2149C" w:rsidRPr="00F4705F" w:rsidRDefault="00D2149C" w:rsidP="00D2149C">
            <w:pPr>
              <w:ind w:right="57"/>
              <w:jc w:val="right"/>
              <w:rPr>
                <w:b/>
                <w:sz w:val="22"/>
                <w:szCs w:val="22"/>
              </w:rPr>
            </w:pPr>
            <w:r w:rsidRPr="00F4705F">
              <w:rPr>
                <w:b/>
                <w:sz w:val="22"/>
                <w:szCs w:val="22"/>
              </w:rPr>
              <w:t>£’000</w:t>
            </w:r>
          </w:p>
        </w:tc>
        <w:tc>
          <w:tcPr>
            <w:tcW w:w="446" w:type="dxa"/>
            <w:vAlign w:val="bottom"/>
          </w:tcPr>
          <w:p w14:paraId="59E2A3DE" w14:textId="77777777" w:rsidR="00D2149C" w:rsidRPr="00F96EE6" w:rsidRDefault="00D2149C" w:rsidP="00D2149C">
            <w:pPr>
              <w:ind w:right="57"/>
              <w:jc w:val="right"/>
              <w:rPr>
                <w:b/>
                <w:sz w:val="22"/>
                <w:szCs w:val="22"/>
                <w:u w:val="double"/>
              </w:rPr>
            </w:pPr>
          </w:p>
        </w:tc>
        <w:tc>
          <w:tcPr>
            <w:tcW w:w="1272" w:type="dxa"/>
            <w:gridSpan w:val="2"/>
            <w:vAlign w:val="bottom"/>
          </w:tcPr>
          <w:p w14:paraId="66B56811" w14:textId="5048DA4D" w:rsidR="00D2149C" w:rsidRPr="00F96EE6" w:rsidRDefault="00D2149C" w:rsidP="00D2149C">
            <w:pPr>
              <w:ind w:right="57"/>
              <w:jc w:val="right"/>
              <w:rPr>
                <w:b/>
                <w:sz w:val="22"/>
                <w:szCs w:val="22"/>
              </w:rPr>
            </w:pPr>
            <w:r w:rsidRPr="00F96EE6">
              <w:rPr>
                <w:b/>
                <w:sz w:val="22"/>
                <w:szCs w:val="22"/>
              </w:rPr>
              <w:t>£’000</w:t>
            </w:r>
          </w:p>
        </w:tc>
      </w:tr>
      <w:tr w:rsidR="006C6A73" w:rsidRPr="00F96EE6" w14:paraId="4B0917C3" w14:textId="77777777" w:rsidTr="00EE359C">
        <w:trPr>
          <w:gridAfter w:val="1"/>
          <w:wAfter w:w="28" w:type="dxa"/>
          <w:trHeight w:val="193"/>
        </w:trPr>
        <w:tc>
          <w:tcPr>
            <w:tcW w:w="5829" w:type="dxa"/>
            <w:noWrap/>
            <w:tcMar>
              <w:top w:w="17" w:type="dxa"/>
              <w:left w:w="17" w:type="dxa"/>
              <w:bottom w:w="0" w:type="dxa"/>
              <w:right w:w="17" w:type="dxa"/>
            </w:tcMar>
            <w:vAlign w:val="bottom"/>
          </w:tcPr>
          <w:p w14:paraId="67CB89E7" w14:textId="16C101A3" w:rsidR="006C6A73" w:rsidRPr="00E803CA" w:rsidRDefault="006C6A73" w:rsidP="006C6A73">
            <w:pPr>
              <w:rPr>
                <w:bCs/>
                <w:sz w:val="22"/>
                <w:szCs w:val="22"/>
              </w:rPr>
            </w:pPr>
            <w:r w:rsidRPr="00E803CA">
              <w:rPr>
                <w:bCs/>
                <w:sz w:val="22"/>
                <w:szCs w:val="22"/>
              </w:rPr>
              <w:t>Surplus for the year</w:t>
            </w:r>
          </w:p>
        </w:tc>
        <w:tc>
          <w:tcPr>
            <w:tcW w:w="1401" w:type="dxa"/>
            <w:gridSpan w:val="2"/>
            <w:noWrap/>
            <w:tcMar>
              <w:top w:w="17" w:type="dxa"/>
              <w:left w:w="17" w:type="dxa"/>
              <w:bottom w:w="0" w:type="dxa"/>
              <w:right w:w="17" w:type="dxa"/>
            </w:tcMar>
            <w:vAlign w:val="bottom"/>
          </w:tcPr>
          <w:p w14:paraId="06764155" w14:textId="06F4C9CB" w:rsidR="006C6A73" w:rsidRPr="00C86FFC" w:rsidRDefault="00D60995" w:rsidP="006C6A73">
            <w:pPr>
              <w:ind w:right="57"/>
              <w:jc w:val="right"/>
              <w:rPr>
                <w:sz w:val="22"/>
                <w:szCs w:val="22"/>
              </w:rPr>
            </w:pPr>
            <w:r w:rsidRPr="00C86FFC">
              <w:rPr>
                <w:sz w:val="22"/>
                <w:szCs w:val="22"/>
              </w:rPr>
              <w:t>14,996</w:t>
            </w:r>
          </w:p>
        </w:tc>
        <w:tc>
          <w:tcPr>
            <w:tcW w:w="446" w:type="dxa"/>
            <w:vAlign w:val="bottom"/>
          </w:tcPr>
          <w:p w14:paraId="01B50843" w14:textId="77777777" w:rsidR="006C6A73" w:rsidRPr="00E803CA" w:rsidRDefault="006C6A73" w:rsidP="006C6A73">
            <w:pPr>
              <w:ind w:right="57"/>
              <w:jc w:val="right"/>
              <w:rPr>
                <w:sz w:val="22"/>
                <w:szCs w:val="22"/>
                <w:u w:val="double"/>
              </w:rPr>
            </w:pPr>
          </w:p>
        </w:tc>
        <w:tc>
          <w:tcPr>
            <w:tcW w:w="1272" w:type="dxa"/>
            <w:gridSpan w:val="2"/>
            <w:vAlign w:val="bottom"/>
          </w:tcPr>
          <w:p w14:paraId="190AB687" w14:textId="24CD595D" w:rsidR="006C6A73" w:rsidRPr="00E803CA" w:rsidRDefault="006C6A73" w:rsidP="006C6A73">
            <w:pPr>
              <w:ind w:right="57"/>
              <w:jc w:val="right"/>
              <w:rPr>
                <w:sz w:val="22"/>
                <w:szCs w:val="22"/>
              </w:rPr>
            </w:pPr>
            <w:r w:rsidRPr="00E803CA">
              <w:rPr>
                <w:sz w:val="22"/>
                <w:szCs w:val="22"/>
              </w:rPr>
              <w:t>8,844</w:t>
            </w:r>
          </w:p>
        </w:tc>
      </w:tr>
      <w:tr w:rsidR="006C6A73" w:rsidRPr="00F96EE6" w14:paraId="20249241" w14:textId="77777777" w:rsidTr="00EE359C">
        <w:trPr>
          <w:gridAfter w:val="1"/>
          <w:wAfter w:w="28" w:type="dxa"/>
          <w:trHeight w:val="193"/>
        </w:trPr>
        <w:tc>
          <w:tcPr>
            <w:tcW w:w="5829" w:type="dxa"/>
            <w:noWrap/>
            <w:tcMar>
              <w:top w:w="17" w:type="dxa"/>
              <w:left w:w="17" w:type="dxa"/>
              <w:bottom w:w="0" w:type="dxa"/>
              <w:right w:w="17" w:type="dxa"/>
            </w:tcMar>
            <w:vAlign w:val="bottom"/>
          </w:tcPr>
          <w:p w14:paraId="36E15F98" w14:textId="77777777" w:rsidR="006C6A73" w:rsidRPr="00E803CA" w:rsidRDefault="006C6A73" w:rsidP="006C6A73">
            <w:pPr>
              <w:rPr>
                <w:bCs/>
                <w:sz w:val="22"/>
                <w:szCs w:val="22"/>
              </w:rPr>
            </w:pPr>
          </w:p>
        </w:tc>
        <w:tc>
          <w:tcPr>
            <w:tcW w:w="1401" w:type="dxa"/>
            <w:gridSpan w:val="2"/>
            <w:noWrap/>
            <w:tcMar>
              <w:top w:w="17" w:type="dxa"/>
              <w:left w:w="17" w:type="dxa"/>
              <w:bottom w:w="0" w:type="dxa"/>
              <w:right w:w="17" w:type="dxa"/>
            </w:tcMar>
            <w:vAlign w:val="bottom"/>
          </w:tcPr>
          <w:p w14:paraId="7F1D1631" w14:textId="77777777" w:rsidR="006C6A73" w:rsidRPr="00C86FFC" w:rsidRDefault="006C6A73" w:rsidP="006C6A73">
            <w:pPr>
              <w:ind w:right="57"/>
              <w:jc w:val="right"/>
              <w:rPr>
                <w:sz w:val="22"/>
                <w:szCs w:val="22"/>
              </w:rPr>
            </w:pPr>
          </w:p>
        </w:tc>
        <w:tc>
          <w:tcPr>
            <w:tcW w:w="446" w:type="dxa"/>
            <w:vAlign w:val="bottom"/>
          </w:tcPr>
          <w:p w14:paraId="19E95D0D" w14:textId="77777777" w:rsidR="006C6A73" w:rsidRPr="00E803CA" w:rsidRDefault="006C6A73" w:rsidP="006C6A73">
            <w:pPr>
              <w:ind w:right="57"/>
              <w:jc w:val="right"/>
              <w:rPr>
                <w:sz w:val="22"/>
                <w:szCs w:val="22"/>
                <w:u w:val="double"/>
              </w:rPr>
            </w:pPr>
          </w:p>
        </w:tc>
        <w:tc>
          <w:tcPr>
            <w:tcW w:w="1272" w:type="dxa"/>
            <w:gridSpan w:val="2"/>
            <w:vAlign w:val="bottom"/>
          </w:tcPr>
          <w:p w14:paraId="28A369F5" w14:textId="77777777" w:rsidR="006C6A73" w:rsidRPr="00E803CA" w:rsidRDefault="006C6A73" w:rsidP="006C6A73">
            <w:pPr>
              <w:ind w:right="57"/>
              <w:jc w:val="right"/>
              <w:rPr>
                <w:sz w:val="22"/>
                <w:szCs w:val="22"/>
              </w:rPr>
            </w:pPr>
          </w:p>
        </w:tc>
      </w:tr>
      <w:tr w:rsidR="006C6A73" w:rsidRPr="00C42DC5" w14:paraId="2FF7A949" w14:textId="77777777" w:rsidTr="00EE359C">
        <w:trPr>
          <w:gridAfter w:val="1"/>
          <w:wAfter w:w="28" w:type="dxa"/>
          <w:trHeight w:val="193"/>
        </w:trPr>
        <w:tc>
          <w:tcPr>
            <w:tcW w:w="5829" w:type="dxa"/>
            <w:noWrap/>
            <w:tcMar>
              <w:top w:w="17" w:type="dxa"/>
              <w:left w:w="17" w:type="dxa"/>
              <w:bottom w:w="0" w:type="dxa"/>
              <w:right w:w="17" w:type="dxa"/>
            </w:tcMar>
            <w:vAlign w:val="bottom"/>
          </w:tcPr>
          <w:p w14:paraId="360B8E92" w14:textId="77777777" w:rsidR="006C6A73" w:rsidRPr="00E803CA" w:rsidRDefault="006C6A73" w:rsidP="006C6A73">
            <w:pPr>
              <w:rPr>
                <w:bCs/>
                <w:sz w:val="22"/>
                <w:szCs w:val="22"/>
                <w:u w:val="single"/>
              </w:rPr>
            </w:pPr>
            <w:r w:rsidRPr="00E803CA">
              <w:rPr>
                <w:bCs/>
                <w:sz w:val="22"/>
                <w:szCs w:val="22"/>
                <w:u w:val="single"/>
              </w:rPr>
              <w:t>Adjustments for non-cash items:</w:t>
            </w:r>
          </w:p>
        </w:tc>
        <w:tc>
          <w:tcPr>
            <w:tcW w:w="1401" w:type="dxa"/>
            <w:gridSpan w:val="2"/>
            <w:noWrap/>
            <w:tcMar>
              <w:top w:w="17" w:type="dxa"/>
              <w:left w:w="17" w:type="dxa"/>
              <w:bottom w:w="0" w:type="dxa"/>
              <w:right w:w="17" w:type="dxa"/>
            </w:tcMar>
            <w:vAlign w:val="bottom"/>
          </w:tcPr>
          <w:p w14:paraId="74695166" w14:textId="77777777" w:rsidR="006C6A73" w:rsidRPr="00C86FFC" w:rsidRDefault="006C6A73" w:rsidP="006C6A73">
            <w:pPr>
              <w:ind w:right="57"/>
              <w:jc w:val="right"/>
              <w:rPr>
                <w:sz w:val="22"/>
                <w:szCs w:val="22"/>
                <w:u w:val="single"/>
              </w:rPr>
            </w:pPr>
          </w:p>
        </w:tc>
        <w:tc>
          <w:tcPr>
            <w:tcW w:w="446" w:type="dxa"/>
            <w:vAlign w:val="bottom"/>
          </w:tcPr>
          <w:p w14:paraId="0764B882" w14:textId="77777777" w:rsidR="006C6A73" w:rsidRPr="00E803CA" w:rsidRDefault="006C6A73" w:rsidP="006C6A73">
            <w:pPr>
              <w:ind w:right="57"/>
              <w:jc w:val="right"/>
              <w:rPr>
                <w:sz w:val="22"/>
                <w:szCs w:val="22"/>
                <w:u w:val="single"/>
              </w:rPr>
            </w:pPr>
          </w:p>
        </w:tc>
        <w:tc>
          <w:tcPr>
            <w:tcW w:w="1272" w:type="dxa"/>
            <w:gridSpan w:val="2"/>
            <w:vAlign w:val="bottom"/>
          </w:tcPr>
          <w:p w14:paraId="3E070FD8" w14:textId="77777777" w:rsidR="006C6A73" w:rsidRPr="00E803CA" w:rsidRDefault="006C6A73" w:rsidP="006C6A73">
            <w:pPr>
              <w:ind w:right="57"/>
              <w:jc w:val="right"/>
              <w:rPr>
                <w:sz w:val="22"/>
                <w:szCs w:val="22"/>
                <w:u w:val="single"/>
              </w:rPr>
            </w:pPr>
          </w:p>
        </w:tc>
      </w:tr>
      <w:tr w:rsidR="006C6A73" w:rsidRPr="00F96EE6" w14:paraId="035C82AC" w14:textId="77777777" w:rsidTr="00EE359C">
        <w:trPr>
          <w:gridAfter w:val="1"/>
          <w:wAfter w:w="28" w:type="dxa"/>
          <w:trHeight w:val="193"/>
        </w:trPr>
        <w:tc>
          <w:tcPr>
            <w:tcW w:w="5829" w:type="dxa"/>
            <w:noWrap/>
            <w:tcMar>
              <w:top w:w="17" w:type="dxa"/>
              <w:left w:w="17" w:type="dxa"/>
              <w:bottom w:w="0" w:type="dxa"/>
              <w:right w:w="17" w:type="dxa"/>
            </w:tcMar>
            <w:vAlign w:val="bottom"/>
          </w:tcPr>
          <w:p w14:paraId="4B262ADD" w14:textId="77777777" w:rsidR="006C6A73" w:rsidRPr="00E803CA" w:rsidRDefault="006C6A73" w:rsidP="006C6A73">
            <w:pPr>
              <w:rPr>
                <w:bCs/>
                <w:sz w:val="22"/>
                <w:szCs w:val="22"/>
              </w:rPr>
            </w:pPr>
            <w:r w:rsidRPr="00E803CA">
              <w:rPr>
                <w:bCs/>
                <w:sz w:val="22"/>
                <w:szCs w:val="22"/>
              </w:rPr>
              <w:t>Depreciation of tangible fixed assets</w:t>
            </w:r>
          </w:p>
        </w:tc>
        <w:tc>
          <w:tcPr>
            <w:tcW w:w="1401" w:type="dxa"/>
            <w:gridSpan w:val="2"/>
            <w:noWrap/>
            <w:tcMar>
              <w:top w:w="17" w:type="dxa"/>
              <w:left w:w="17" w:type="dxa"/>
              <w:bottom w:w="0" w:type="dxa"/>
              <w:right w:w="17" w:type="dxa"/>
            </w:tcMar>
            <w:vAlign w:val="bottom"/>
          </w:tcPr>
          <w:p w14:paraId="124735DB" w14:textId="4E1A18D1" w:rsidR="006C6A73" w:rsidRPr="00C86FFC" w:rsidRDefault="00233E27" w:rsidP="006C6A73">
            <w:pPr>
              <w:ind w:right="57"/>
              <w:jc w:val="right"/>
              <w:rPr>
                <w:sz w:val="22"/>
                <w:szCs w:val="22"/>
              </w:rPr>
            </w:pPr>
            <w:r w:rsidRPr="00C86FFC">
              <w:rPr>
                <w:sz w:val="22"/>
                <w:szCs w:val="22"/>
              </w:rPr>
              <w:t>12,599</w:t>
            </w:r>
          </w:p>
        </w:tc>
        <w:tc>
          <w:tcPr>
            <w:tcW w:w="446" w:type="dxa"/>
            <w:vAlign w:val="bottom"/>
          </w:tcPr>
          <w:p w14:paraId="50E9D6AB" w14:textId="77777777" w:rsidR="006C6A73" w:rsidRPr="00E803CA" w:rsidRDefault="006C6A73" w:rsidP="006C6A73">
            <w:pPr>
              <w:ind w:right="57"/>
              <w:jc w:val="right"/>
              <w:rPr>
                <w:sz w:val="22"/>
                <w:szCs w:val="22"/>
                <w:u w:val="double"/>
              </w:rPr>
            </w:pPr>
          </w:p>
        </w:tc>
        <w:tc>
          <w:tcPr>
            <w:tcW w:w="1272" w:type="dxa"/>
            <w:gridSpan w:val="2"/>
            <w:vAlign w:val="bottom"/>
          </w:tcPr>
          <w:p w14:paraId="35DD3C3B" w14:textId="528C29FB" w:rsidR="006C6A73" w:rsidRPr="00E803CA" w:rsidRDefault="006C6A73" w:rsidP="006C6A73">
            <w:pPr>
              <w:ind w:right="57"/>
              <w:jc w:val="right"/>
              <w:rPr>
                <w:sz w:val="22"/>
                <w:szCs w:val="22"/>
              </w:rPr>
            </w:pPr>
            <w:r w:rsidRPr="00E803CA">
              <w:rPr>
                <w:sz w:val="22"/>
                <w:szCs w:val="22"/>
              </w:rPr>
              <w:t>11,768</w:t>
            </w:r>
          </w:p>
        </w:tc>
      </w:tr>
      <w:tr w:rsidR="006C6A73" w:rsidRPr="00F96EE6" w14:paraId="2E522813" w14:textId="77777777" w:rsidTr="00EE359C">
        <w:trPr>
          <w:gridAfter w:val="1"/>
          <w:wAfter w:w="28" w:type="dxa"/>
          <w:trHeight w:val="193"/>
        </w:trPr>
        <w:tc>
          <w:tcPr>
            <w:tcW w:w="5829" w:type="dxa"/>
            <w:noWrap/>
            <w:tcMar>
              <w:top w:w="17" w:type="dxa"/>
              <w:left w:w="17" w:type="dxa"/>
              <w:bottom w:w="0" w:type="dxa"/>
              <w:right w:w="17" w:type="dxa"/>
            </w:tcMar>
            <w:vAlign w:val="bottom"/>
          </w:tcPr>
          <w:p w14:paraId="0F0DAECB" w14:textId="2836346C" w:rsidR="006C6A73" w:rsidRPr="00E803CA" w:rsidRDefault="006C6A73" w:rsidP="006C6A73">
            <w:pPr>
              <w:rPr>
                <w:bCs/>
                <w:sz w:val="22"/>
                <w:szCs w:val="22"/>
              </w:rPr>
            </w:pPr>
            <w:r w:rsidRPr="00E803CA">
              <w:rPr>
                <w:bCs/>
                <w:sz w:val="22"/>
                <w:szCs w:val="22"/>
              </w:rPr>
              <w:t>Decrease in trade and other debtors</w:t>
            </w:r>
          </w:p>
        </w:tc>
        <w:tc>
          <w:tcPr>
            <w:tcW w:w="1401" w:type="dxa"/>
            <w:gridSpan w:val="2"/>
            <w:noWrap/>
            <w:tcMar>
              <w:top w:w="17" w:type="dxa"/>
              <w:left w:w="17" w:type="dxa"/>
              <w:bottom w:w="0" w:type="dxa"/>
              <w:right w:w="17" w:type="dxa"/>
            </w:tcMar>
            <w:vAlign w:val="bottom"/>
          </w:tcPr>
          <w:p w14:paraId="1AF75EF7" w14:textId="2A4796E1" w:rsidR="006C6A73" w:rsidRPr="00C86FFC" w:rsidRDefault="00785287" w:rsidP="006C6A73">
            <w:pPr>
              <w:ind w:right="57"/>
              <w:jc w:val="right"/>
              <w:rPr>
                <w:sz w:val="22"/>
                <w:szCs w:val="22"/>
              </w:rPr>
            </w:pPr>
            <w:r w:rsidRPr="00C86FFC">
              <w:rPr>
                <w:sz w:val="22"/>
                <w:szCs w:val="22"/>
              </w:rPr>
              <w:t>65</w:t>
            </w:r>
            <w:r w:rsidR="00ED2E25" w:rsidRPr="00C86FFC">
              <w:rPr>
                <w:sz w:val="22"/>
                <w:szCs w:val="22"/>
              </w:rPr>
              <w:t>0</w:t>
            </w:r>
          </w:p>
        </w:tc>
        <w:tc>
          <w:tcPr>
            <w:tcW w:w="446" w:type="dxa"/>
            <w:vAlign w:val="bottom"/>
          </w:tcPr>
          <w:p w14:paraId="1F02EC92" w14:textId="77777777" w:rsidR="006C6A73" w:rsidRPr="00E803CA" w:rsidRDefault="006C6A73" w:rsidP="006C6A73">
            <w:pPr>
              <w:ind w:right="57"/>
              <w:jc w:val="right"/>
              <w:rPr>
                <w:sz w:val="22"/>
                <w:szCs w:val="22"/>
                <w:u w:val="double"/>
              </w:rPr>
            </w:pPr>
          </w:p>
        </w:tc>
        <w:tc>
          <w:tcPr>
            <w:tcW w:w="1272" w:type="dxa"/>
            <w:gridSpan w:val="2"/>
            <w:vAlign w:val="bottom"/>
          </w:tcPr>
          <w:p w14:paraId="4E3A516A" w14:textId="5BD11EAD" w:rsidR="006C6A73" w:rsidRPr="00E803CA" w:rsidRDefault="006C6A73" w:rsidP="006C6A73">
            <w:pPr>
              <w:ind w:right="57"/>
              <w:jc w:val="right"/>
              <w:rPr>
                <w:sz w:val="22"/>
                <w:szCs w:val="22"/>
              </w:rPr>
            </w:pPr>
            <w:r w:rsidRPr="00E803CA">
              <w:rPr>
                <w:sz w:val="22"/>
                <w:szCs w:val="22"/>
              </w:rPr>
              <w:t>4</w:t>
            </w:r>
            <w:r>
              <w:rPr>
                <w:sz w:val="22"/>
                <w:szCs w:val="22"/>
              </w:rPr>
              <w:t>8</w:t>
            </w:r>
          </w:p>
        </w:tc>
      </w:tr>
      <w:tr w:rsidR="006C6A73" w:rsidRPr="00F96EE6" w14:paraId="7A7D2723" w14:textId="77777777" w:rsidTr="00EE359C">
        <w:trPr>
          <w:gridAfter w:val="1"/>
          <w:wAfter w:w="28" w:type="dxa"/>
          <w:trHeight w:val="193"/>
        </w:trPr>
        <w:tc>
          <w:tcPr>
            <w:tcW w:w="5829" w:type="dxa"/>
            <w:noWrap/>
            <w:tcMar>
              <w:top w:w="17" w:type="dxa"/>
              <w:left w:w="17" w:type="dxa"/>
              <w:bottom w:w="0" w:type="dxa"/>
              <w:right w:w="17" w:type="dxa"/>
            </w:tcMar>
            <w:vAlign w:val="bottom"/>
          </w:tcPr>
          <w:p w14:paraId="20D82F34" w14:textId="46C09E36" w:rsidR="006C6A73" w:rsidRPr="00E803CA" w:rsidRDefault="006C6A73" w:rsidP="006C6A73">
            <w:pPr>
              <w:rPr>
                <w:bCs/>
                <w:sz w:val="22"/>
                <w:szCs w:val="22"/>
              </w:rPr>
            </w:pPr>
            <w:r w:rsidRPr="00E803CA">
              <w:rPr>
                <w:bCs/>
                <w:sz w:val="22"/>
                <w:szCs w:val="22"/>
              </w:rPr>
              <w:t>Decrease in trade and other creditors</w:t>
            </w:r>
          </w:p>
        </w:tc>
        <w:tc>
          <w:tcPr>
            <w:tcW w:w="1401" w:type="dxa"/>
            <w:gridSpan w:val="2"/>
            <w:noWrap/>
            <w:tcMar>
              <w:top w:w="17" w:type="dxa"/>
              <w:left w:w="17" w:type="dxa"/>
              <w:bottom w:w="0" w:type="dxa"/>
              <w:right w:w="17" w:type="dxa"/>
            </w:tcMar>
            <w:vAlign w:val="bottom"/>
          </w:tcPr>
          <w:p w14:paraId="2097B09D" w14:textId="1AC82619" w:rsidR="006C6A73" w:rsidRPr="00C86FFC" w:rsidRDefault="00594F1E" w:rsidP="006C6A73">
            <w:pPr>
              <w:ind w:right="57"/>
              <w:jc w:val="right"/>
              <w:rPr>
                <w:sz w:val="22"/>
                <w:szCs w:val="22"/>
              </w:rPr>
            </w:pPr>
            <w:r w:rsidRPr="00C86FFC">
              <w:rPr>
                <w:sz w:val="22"/>
                <w:szCs w:val="22"/>
              </w:rPr>
              <w:t>(2,</w:t>
            </w:r>
            <w:r w:rsidR="00D60995" w:rsidRPr="00C86FFC">
              <w:rPr>
                <w:sz w:val="22"/>
                <w:szCs w:val="22"/>
              </w:rPr>
              <w:t>076</w:t>
            </w:r>
            <w:r w:rsidRPr="00C86FFC">
              <w:rPr>
                <w:sz w:val="22"/>
                <w:szCs w:val="22"/>
              </w:rPr>
              <w:t>)</w:t>
            </w:r>
          </w:p>
        </w:tc>
        <w:tc>
          <w:tcPr>
            <w:tcW w:w="446" w:type="dxa"/>
            <w:vAlign w:val="bottom"/>
          </w:tcPr>
          <w:p w14:paraId="765F3EE3" w14:textId="77777777" w:rsidR="006C6A73" w:rsidRPr="00E803CA" w:rsidRDefault="006C6A73" w:rsidP="006C6A73">
            <w:pPr>
              <w:ind w:right="57"/>
              <w:jc w:val="right"/>
              <w:rPr>
                <w:sz w:val="22"/>
                <w:szCs w:val="22"/>
                <w:u w:val="double"/>
              </w:rPr>
            </w:pPr>
          </w:p>
        </w:tc>
        <w:tc>
          <w:tcPr>
            <w:tcW w:w="1272" w:type="dxa"/>
            <w:gridSpan w:val="2"/>
            <w:vAlign w:val="bottom"/>
          </w:tcPr>
          <w:p w14:paraId="3EFC9216" w14:textId="19F13FD5" w:rsidR="006C6A73" w:rsidRPr="00E803CA" w:rsidRDefault="006C6A73" w:rsidP="006C6A73">
            <w:pPr>
              <w:ind w:right="57"/>
              <w:jc w:val="right"/>
              <w:rPr>
                <w:sz w:val="22"/>
                <w:szCs w:val="22"/>
              </w:rPr>
            </w:pPr>
            <w:r w:rsidRPr="00E803CA">
              <w:rPr>
                <w:sz w:val="22"/>
                <w:szCs w:val="22"/>
              </w:rPr>
              <w:t>(2,616)</w:t>
            </w:r>
          </w:p>
        </w:tc>
      </w:tr>
      <w:tr w:rsidR="006C6A73" w:rsidRPr="00F96EE6" w14:paraId="0269F889" w14:textId="77777777" w:rsidTr="00EE359C">
        <w:trPr>
          <w:gridAfter w:val="1"/>
          <w:wAfter w:w="28" w:type="dxa"/>
          <w:trHeight w:val="193"/>
        </w:trPr>
        <w:tc>
          <w:tcPr>
            <w:tcW w:w="5829" w:type="dxa"/>
            <w:noWrap/>
            <w:tcMar>
              <w:top w:w="17" w:type="dxa"/>
              <w:left w:w="17" w:type="dxa"/>
              <w:bottom w:w="0" w:type="dxa"/>
              <w:right w:w="17" w:type="dxa"/>
            </w:tcMar>
            <w:vAlign w:val="bottom"/>
          </w:tcPr>
          <w:p w14:paraId="2E535F0E" w14:textId="6CBF9235" w:rsidR="006C6A73" w:rsidRPr="00E803CA" w:rsidRDefault="00444212" w:rsidP="006C6A73">
            <w:pPr>
              <w:rPr>
                <w:bCs/>
                <w:sz w:val="22"/>
                <w:szCs w:val="22"/>
              </w:rPr>
            </w:pPr>
            <w:r>
              <w:rPr>
                <w:bCs/>
                <w:sz w:val="22"/>
                <w:szCs w:val="22"/>
              </w:rPr>
              <w:t xml:space="preserve">Decrease/ </w:t>
            </w:r>
            <w:r w:rsidR="006C6A73" w:rsidRPr="00E803CA">
              <w:rPr>
                <w:bCs/>
                <w:sz w:val="22"/>
                <w:szCs w:val="22"/>
              </w:rPr>
              <w:t>(</w:t>
            </w:r>
            <w:r w:rsidR="002A0149">
              <w:rPr>
                <w:bCs/>
                <w:sz w:val="22"/>
                <w:szCs w:val="22"/>
              </w:rPr>
              <w:t>i</w:t>
            </w:r>
            <w:r w:rsidR="006C6A73" w:rsidRPr="00E803CA">
              <w:rPr>
                <w:bCs/>
                <w:sz w:val="22"/>
                <w:szCs w:val="22"/>
              </w:rPr>
              <w:t>ncrease) in stock</w:t>
            </w:r>
          </w:p>
        </w:tc>
        <w:tc>
          <w:tcPr>
            <w:tcW w:w="1401" w:type="dxa"/>
            <w:gridSpan w:val="2"/>
            <w:noWrap/>
            <w:tcMar>
              <w:top w:w="17" w:type="dxa"/>
              <w:left w:w="17" w:type="dxa"/>
              <w:bottom w:w="0" w:type="dxa"/>
              <w:right w:w="17" w:type="dxa"/>
            </w:tcMar>
            <w:vAlign w:val="bottom"/>
          </w:tcPr>
          <w:p w14:paraId="4F7260F2" w14:textId="422DF8E0" w:rsidR="006C6A73" w:rsidRPr="00C86FFC" w:rsidRDefault="00594F1E" w:rsidP="006C6A73">
            <w:pPr>
              <w:ind w:right="57"/>
              <w:jc w:val="right"/>
              <w:rPr>
                <w:sz w:val="22"/>
                <w:szCs w:val="22"/>
              </w:rPr>
            </w:pPr>
            <w:r w:rsidRPr="00C86FFC">
              <w:rPr>
                <w:sz w:val="22"/>
                <w:szCs w:val="22"/>
              </w:rPr>
              <w:t>58</w:t>
            </w:r>
          </w:p>
        </w:tc>
        <w:tc>
          <w:tcPr>
            <w:tcW w:w="446" w:type="dxa"/>
            <w:vAlign w:val="bottom"/>
          </w:tcPr>
          <w:p w14:paraId="71FDFAFA" w14:textId="77777777" w:rsidR="006C6A73" w:rsidRPr="00E803CA" w:rsidRDefault="006C6A73" w:rsidP="006C6A73">
            <w:pPr>
              <w:ind w:right="57"/>
              <w:jc w:val="right"/>
              <w:rPr>
                <w:sz w:val="22"/>
                <w:szCs w:val="22"/>
                <w:u w:val="double"/>
              </w:rPr>
            </w:pPr>
          </w:p>
        </w:tc>
        <w:tc>
          <w:tcPr>
            <w:tcW w:w="1272" w:type="dxa"/>
            <w:gridSpan w:val="2"/>
            <w:vAlign w:val="bottom"/>
          </w:tcPr>
          <w:p w14:paraId="37924B92" w14:textId="148B0E52" w:rsidR="006C6A73" w:rsidRPr="00E803CA" w:rsidRDefault="006C6A73" w:rsidP="006C6A73">
            <w:pPr>
              <w:ind w:right="57"/>
              <w:jc w:val="right"/>
              <w:rPr>
                <w:sz w:val="22"/>
                <w:szCs w:val="22"/>
              </w:rPr>
            </w:pPr>
            <w:r w:rsidRPr="00E803CA">
              <w:rPr>
                <w:sz w:val="22"/>
                <w:szCs w:val="22"/>
              </w:rPr>
              <w:t>(259)</w:t>
            </w:r>
          </w:p>
        </w:tc>
      </w:tr>
      <w:tr w:rsidR="006C6A73" w:rsidRPr="00F96EE6" w14:paraId="5759E24B" w14:textId="77777777" w:rsidTr="00EE359C">
        <w:trPr>
          <w:gridAfter w:val="1"/>
          <w:wAfter w:w="28" w:type="dxa"/>
          <w:trHeight w:val="193"/>
        </w:trPr>
        <w:tc>
          <w:tcPr>
            <w:tcW w:w="5829" w:type="dxa"/>
            <w:noWrap/>
            <w:tcMar>
              <w:top w:w="17" w:type="dxa"/>
              <w:left w:w="17" w:type="dxa"/>
              <w:bottom w:w="0" w:type="dxa"/>
              <w:right w:w="17" w:type="dxa"/>
            </w:tcMar>
            <w:vAlign w:val="bottom"/>
          </w:tcPr>
          <w:p w14:paraId="6E26EAAF" w14:textId="77777777" w:rsidR="006C6A73" w:rsidRPr="00E803CA" w:rsidRDefault="006C6A73" w:rsidP="006C6A73">
            <w:pPr>
              <w:rPr>
                <w:bCs/>
                <w:sz w:val="22"/>
                <w:szCs w:val="22"/>
              </w:rPr>
            </w:pPr>
          </w:p>
        </w:tc>
        <w:tc>
          <w:tcPr>
            <w:tcW w:w="1401" w:type="dxa"/>
            <w:gridSpan w:val="2"/>
            <w:noWrap/>
            <w:tcMar>
              <w:top w:w="17" w:type="dxa"/>
              <w:left w:w="17" w:type="dxa"/>
              <w:bottom w:w="0" w:type="dxa"/>
              <w:right w:w="17" w:type="dxa"/>
            </w:tcMar>
            <w:vAlign w:val="bottom"/>
          </w:tcPr>
          <w:p w14:paraId="66063987" w14:textId="77777777" w:rsidR="006C6A73" w:rsidRPr="00C86FFC" w:rsidRDefault="006C6A73" w:rsidP="006C6A73">
            <w:pPr>
              <w:ind w:right="57"/>
              <w:jc w:val="right"/>
              <w:rPr>
                <w:sz w:val="22"/>
                <w:szCs w:val="22"/>
              </w:rPr>
            </w:pPr>
          </w:p>
        </w:tc>
        <w:tc>
          <w:tcPr>
            <w:tcW w:w="446" w:type="dxa"/>
            <w:vAlign w:val="bottom"/>
          </w:tcPr>
          <w:p w14:paraId="17D9D6EC" w14:textId="77777777" w:rsidR="006C6A73" w:rsidRPr="00E803CA" w:rsidRDefault="006C6A73" w:rsidP="006C6A73">
            <w:pPr>
              <w:ind w:right="57"/>
              <w:jc w:val="right"/>
              <w:rPr>
                <w:sz w:val="22"/>
                <w:szCs w:val="22"/>
                <w:u w:val="double"/>
              </w:rPr>
            </w:pPr>
          </w:p>
        </w:tc>
        <w:tc>
          <w:tcPr>
            <w:tcW w:w="1272" w:type="dxa"/>
            <w:gridSpan w:val="2"/>
            <w:vAlign w:val="bottom"/>
          </w:tcPr>
          <w:p w14:paraId="1B16DE46" w14:textId="77777777" w:rsidR="006C6A73" w:rsidRPr="00E803CA" w:rsidRDefault="006C6A73" w:rsidP="006C6A73">
            <w:pPr>
              <w:ind w:right="57"/>
              <w:jc w:val="right"/>
              <w:rPr>
                <w:sz w:val="22"/>
                <w:szCs w:val="22"/>
              </w:rPr>
            </w:pPr>
          </w:p>
        </w:tc>
      </w:tr>
      <w:tr w:rsidR="006C6A73" w:rsidRPr="00C42DC5" w14:paraId="2BC20391" w14:textId="77777777" w:rsidTr="00EE359C">
        <w:trPr>
          <w:gridAfter w:val="1"/>
          <w:wAfter w:w="28" w:type="dxa"/>
          <w:trHeight w:val="193"/>
        </w:trPr>
        <w:tc>
          <w:tcPr>
            <w:tcW w:w="5829" w:type="dxa"/>
            <w:noWrap/>
            <w:tcMar>
              <w:top w:w="17" w:type="dxa"/>
              <w:left w:w="17" w:type="dxa"/>
              <w:bottom w:w="0" w:type="dxa"/>
              <w:right w:w="17" w:type="dxa"/>
            </w:tcMar>
            <w:vAlign w:val="bottom"/>
          </w:tcPr>
          <w:p w14:paraId="2E4B404C" w14:textId="77777777" w:rsidR="006C6A73" w:rsidRPr="00E803CA" w:rsidRDefault="006C6A73" w:rsidP="006C6A73">
            <w:pPr>
              <w:rPr>
                <w:bCs/>
                <w:sz w:val="22"/>
                <w:szCs w:val="22"/>
                <w:u w:val="single"/>
              </w:rPr>
            </w:pPr>
            <w:r w:rsidRPr="00E803CA">
              <w:rPr>
                <w:bCs/>
                <w:sz w:val="22"/>
                <w:szCs w:val="22"/>
                <w:u w:val="single"/>
              </w:rPr>
              <w:t>Adjustments for investing or financing activities:</w:t>
            </w:r>
          </w:p>
        </w:tc>
        <w:tc>
          <w:tcPr>
            <w:tcW w:w="1401" w:type="dxa"/>
            <w:gridSpan w:val="2"/>
            <w:noWrap/>
            <w:tcMar>
              <w:top w:w="17" w:type="dxa"/>
              <w:left w:w="17" w:type="dxa"/>
              <w:bottom w:w="0" w:type="dxa"/>
              <w:right w:w="17" w:type="dxa"/>
            </w:tcMar>
            <w:vAlign w:val="bottom"/>
          </w:tcPr>
          <w:p w14:paraId="17EE706A" w14:textId="77777777" w:rsidR="006C6A73" w:rsidRPr="00F4705F" w:rsidRDefault="006C6A73" w:rsidP="006C6A73">
            <w:pPr>
              <w:ind w:right="57"/>
              <w:jc w:val="right"/>
              <w:rPr>
                <w:sz w:val="22"/>
                <w:szCs w:val="22"/>
                <w:u w:val="single"/>
              </w:rPr>
            </w:pPr>
          </w:p>
        </w:tc>
        <w:tc>
          <w:tcPr>
            <w:tcW w:w="446" w:type="dxa"/>
            <w:vAlign w:val="bottom"/>
          </w:tcPr>
          <w:p w14:paraId="315B4CF4" w14:textId="77777777" w:rsidR="006C6A73" w:rsidRPr="00E803CA" w:rsidRDefault="006C6A73" w:rsidP="006C6A73">
            <w:pPr>
              <w:ind w:right="57"/>
              <w:jc w:val="right"/>
              <w:rPr>
                <w:sz w:val="22"/>
                <w:szCs w:val="22"/>
                <w:u w:val="single"/>
              </w:rPr>
            </w:pPr>
          </w:p>
        </w:tc>
        <w:tc>
          <w:tcPr>
            <w:tcW w:w="1272" w:type="dxa"/>
            <w:gridSpan w:val="2"/>
            <w:vAlign w:val="bottom"/>
          </w:tcPr>
          <w:p w14:paraId="16A3FA32" w14:textId="77777777" w:rsidR="006C6A73" w:rsidRPr="00E803CA" w:rsidRDefault="006C6A73" w:rsidP="006C6A73">
            <w:pPr>
              <w:ind w:right="57"/>
              <w:jc w:val="right"/>
              <w:rPr>
                <w:sz w:val="22"/>
                <w:szCs w:val="22"/>
                <w:u w:val="single"/>
              </w:rPr>
            </w:pPr>
          </w:p>
        </w:tc>
      </w:tr>
      <w:tr w:rsidR="006C6A73" w:rsidRPr="00F96EE6" w14:paraId="2FBA60E0" w14:textId="77777777" w:rsidTr="00EE359C">
        <w:trPr>
          <w:gridAfter w:val="1"/>
          <w:wAfter w:w="28" w:type="dxa"/>
          <w:trHeight w:val="193"/>
        </w:trPr>
        <w:tc>
          <w:tcPr>
            <w:tcW w:w="5829" w:type="dxa"/>
            <w:noWrap/>
            <w:tcMar>
              <w:top w:w="17" w:type="dxa"/>
              <w:left w:w="17" w:type="dxa"/>
              <w:bottom w:w="0" w:type="dxa"/>
              <w:right w:w="17" w:type="dxa"/>
            </w:tcMar>
            <w:vAlign w:val="bottom"/>
          </w:tcPr>
          <w:p w14:paraId="4D0F9C61" w14:textId="77777777" w:rsidR="006C6A73" w:rsidRPr="00E803CA" w:rsidRDefault="006C6A73" w:rsidP="006C6A73">
            <w:pPr>
              <w:rPr>
                <w:bCs/>
                <w:sz w:val="22"/>
                <w:szCs w:val="22"/>
              </w:rPr>
            </w:pPr>
            <w:r w:rsidRPr="00E803CA">
              <w:rPr>
                <w:bCs/>
                <w:sz w:val="22"/>
                <w:szCs w:val="22"/>
              </w:rPr>
              <w:t>Government grants utilised in the year</w:t>
            </w:r>
          </w:p>
        </w:tc>
        <w:tc>
          <w:tcPr>
            <w:tcW w:w="1401" w:type="dxa"/>
            <w:gridSpan w:val="2"/>
            <w:noWrap/>
            <w:tcMar>
              <w:top w:w="17" w:type="dxa"/>
              <w:left w:w="17" w:type="dxa"/>
              <w:bottom w:w="0" w:type="dxa"/>
              <w:right w:w="17" w:type="dxa"/>
            </w:tcMar>
            <w:vAlign w:val="bottom"/>
          </w:tcPr>
          <w:p w14:paraId="6AEF12BF" w14:textId="089DFCAA" w:rsidR="006C6A73" w:rsidRPr="00F4705F" w:rsidRDefault="00594F1E" w:rsidP="006C6A73">
            <w:pPr>
              <w:ind w:right="57"/>
              <w:jc w:val="right"/>
              <w:rPr>
                <w:sz w:val="22"/>
                <w:szCs w:val="22"/>
              </w:rPr>
            </w:pPr>
            <w:r w:rsidRPr="00F4705F">
              <w:rPr>
                <w:sz w:val="22"/>
                <w:szCs w:val="22"/>
              </w:rPr>
              <w:t>(5,63</w:t>
            </w:r>
            <w:r w:rsidR="008D05AC" w:rsidRPr="00F4705F">
              <w:rPr>
                <w:sz w:val="22"/>
                <w:szCs w:val="22"/>
              </w:rPr>
              <w:t>6</w:t>
            </w:r>
            <w:r w:rsidRPr="00F4705F">
              <w:rPr>
                <w:sz w:val="22"/>
                <w:szCs w:val="22"/>
              </w:rPr>
              <w:t>)</w:t>
            </w:r>
          </w:p>
        </w:tc>
        <w:tc>
          <w:tcPr>
            <w:tcW w:w="446" w:type="dxa"/>
            <w:vAlign w:val="bottom"/>
          </w:tcPr>
          <w:p w14:paraId="70AF1D99" w14:textId="77777777" w:rsidR="006C6A73" w:rsidRPr="00E803CA" w:rsidRDefault="006C6A73" w:rsidP="006C6A73">
            <w:pPr>
              <w:ind w:right="57"/>
              <w:jc w:val="right"/>
              <w:rPr>
                <w:sz w:val="22"/>
                <w:szCs w:val="22"/>
                <w:u w:val="double"/>
              </w:rPr>
            </w:pPr>
          </w:p>
        </w:tc>
        <w:tc>
          <w:tcPr>
            <w:tcW w:w="1272" w:type="dxa"/>
            <w:gridSpan w:val="2"/>
            <w:vAlign w:val="bottom"/>
          </w:tcPr>
          <w:p w14:paraId="090F6C4C" w14:textId="34BAC1AA" w:rsidR="006C6A73" w:rsidRPr="00E803CA" w:rsidRDefault="006C6A73" w:rsidP="006C6A73">
            <w:pPr>
              <w:ind w:right="57"/>
              <w:jc w:val="right"/>
              <w:rPr>
                <w:sz w:val="22"/>
                <w:szCs w:val="22"/>
              </w:rPr>
            </w:pPr>
            <w:r w:rsidRPr="00E803CA">
              <w:rPr>
                <w:sz w:val="22"/>
                <w:szCs w:val="22"/>
              </w:rPr>
              <w:t>(4,032)</w:t>
            </w:r>
          </w:p>
        </w:tc>
      </w:tr>
      <w:tr w:rsidR="006C6A73" w:rsidRPr="00F96EE6" w14:paraId="7A531F27" w14:textId="77777777" w:rsidTr="00EE359C">
        <w:trPr>
          <w:gridAfter w:val="1"/>
          <w:wAfter w:w="28" w:type="dxa"/>
          <w:trHeight w:val="193"/>
        </w:trPr>
        <w:tc>
          <w:tcPr>
            <w:tcW w:w="5829" w:type="dxa"/>
            <w:noWrap/>
            <w:tcMar>
              <w:top w:w="17" w:type="dxa"/>
              <w:left w:w="17" w:type="dxa"/>
              <w:bottom w:w="0" w:type="dxa"/>
              <w:right w:w="17" w:type="dxa"/>
            </w:tcMar>
            <w:vAlign w:val="bottom"/>
          </w:tcPr>
          <w:p w14:paraId="1C232CDF" w14:textId="77777777" w:rsidR="006C6A73" w:rsidRPr="00E803CA" w:rsidRDefault="006C6A73" w:rsidP="006C6A73">
            <w:pPr>
              <w:rPr>
                <w:bCs/>
                <w:sz w:val="22"/>
                <w:szCs w:val="22"/>
              </w:rPr>
            </w:pPr>
            <w:r w:rsidRPr="00E803CA">
              <w:rPr>
                <w:bCs/>
                <w:sz w:val="22"/>
                <w:szCs w:val="22"/>
              </w:rPr>
              <w:t>Interest payable</w:t>
            </w:r>
          </w:p>
        </w:tc>
        <w:tc>
          <w:tcPr>
            <w:tcW w:w="1401" w:type="dxa"/>
            <w:gridSpan w:val="2"/>
            <w:noWrap/>
            <w:tcMar>
              <w:top w:w="17" w:type="dxa"/>
              <w:left w:w="17" w:type="dxa"/>
              <w:bottom w:w="0" w:type="dxa"/>
              <w:right w:w="17" w:type="dxa"/>
            </w:tcMar>
            <w:vAlign w:val="bottom"/>
          </w:tcPr>
          <w:p w14:paraId="0C7D2308" w14:textId="60BF70C4" w:rsidR="006C6A73" w:rsidRPr="00F4705F" w:rsidRDefault="00594F1E" w:rsidP="006C6A73">
            <w:pPr>
              <w:ind w:right="57"/>
              <w:jc w:val="right"/>
              <w:rPr>
                <w:sz w:val="22"/>
                <w:szCs w:val="22"/>
              </w:rPr>
            </w:pPr>
            <w:r w:rsidRPr="00F4705F">
              <w:rPr>
                <w:sz w:val="22"/>
                <w:szCs w:val="22"/>
              </w:rPr>
              <w:t>6,52</w:t>
            </w:r>
            <w:r w:rsidR="00B367FA" w:rsidRPr="00F4705F">
              <w:rPr>
                <w:sz w:val="22"/>
                <w:szCs w:val="22"/>
              </w:rPr>
              <w:t>5</w:t>
            </w:r>
          </w:p>
        </w:tc>
        <w:tc>
          <w:tcPr>
            <w:tcW w:w="446" w:type="dxa"/>
            <w:vAlign w:val="bottom"/>
          </w:tcPr>
          <w:p w14:paraId="37B5B057" w14:textId="77777777" w:rsidR="006C6A73" w:rsidRPr="00E803CA" w:rsidRDefault="006C6A73" w:rsidP="006C6A73">
            <w:pPr>
              <w:ind w:right="57"/>
              <w:jc w:val="right"/>
              <w:rPr>
                <w:sz w:val="22"/>
                <w:szCs w:val="22"/>
                <w:u w:val="double"/>
              </w:rPr>
            </w:pPr>
          </w:p>
        </w:tc>
        <w:tc>
          <w:tcPr>
            <w:tcW w:w="1272" w:type="dxa"/>
            <w:gridSpan w:val="2"/>
            <w:vAlign w:val="bottom"/>
          </w:tcPr>
          <w:p w14:paraId="503AC98E" w14:textId="6A83FD2A" w:rsidR="006C6A73" w:rsidRPr="00E803CA" w:rsidRDefault="006C6A73" w:rsidP="006C6A73">
            <w:pPr>
              <w:ind w:right="57"/>
              <w:jc w:val="right"/>
              <w:rPr>
                <w:sz w:val="22"/>
                <w:szCs w:val="22"/>
              </w:rPr>
            </w:pPr>
            <w:r w:rsidRPr="00E803CA">
              <w:rPr>
                <w:sz w:val="22"/>
                <w:szCs w:val="22"/>
              </w:rPr>
              <w:t>5,359</w:t>
            </w:r>
          </w:p>
        </w:tc>
      </w:tr>
      <w:tr w:rsidR="006C6A73" w:rsidRPr="00F96EE6" w14:paraId="0C318A32" w14:textId="77777777" w:rsidTr="00EE359C">
        <w:trPr>
          <w:gridAfter w:val="1"/>
          <w:wAfter w:w="28" w:type="dxa"/>
          <w:trHeight w:val="193"/>
        </w:trPr>
        <w:tc>
          <w:tcPr>
            <w:tcW w:w="5829" w:type="dxa"/>
            <w:noWrap/>
            <w:tcMar>
              <w:top w:w="17" w:type="dxa"/>
              <w:left w:w="17" w:type="dxa"/>
              <w:bottom w:w="0" w:type="dxa"/>
              <w:right w:w="17" w:type="dxa"/>
            </w:tcMar>
            <w:vAlign w:val="bottom"/>
          </w:tcPr>
          <w:p w14:paraId="61DF21D0" w14:textId="77777777" w:rsidR="006C6A73" w:rsidRPr="00E803CA" w:rsidRDefault="006C6A73" w:rsidP="006C6A73">
            <w:pPr>
              <w:rPr>
                <w:bCs/>
                <w:sz w:val="22"/>
                <w:szCs w:val="22"/>
              </w:rPr>
            </w:pPr>
            <w:r w:rsidRPr="00E803CA">
              <w:rPr>
                <w:bCs/>
                <w:sz w:val="22"/>
                <w:szCs w:val="22"/>
              </w:rPr>
              <w:t>Interest received</w:t>
            </w:r>
          </w:p>
        </w:tc>
        <w:tc>
          <w:tcPr>
            <w:tcW w:w="1401" w:type="dxa"/>
            <w:gridSpan w:val="2"/>
            <w:noWrap/>
            <w:tcMar>
              <w:top w:w="17" w:type="dxa"/>
              <w:left w:w="17" w:type="dxa"/>
              <w:bottom w:w="0" w:type="dxa"/>
              <w:right w:w="17" w:type="dxa"/>
            </w:tcMar>
            <w:vAlign w:val="bottom"/>
          </w:tcPr>
          <w:p w14:paraId="48211223" w14:textId="0E5DC251" w:rsidR="006C6A73" w:rsidRPr="00E803CA" w:rsidRDefault="00594F1E" w:rsidP="006C6A73">
            <w:pPr>
              <w:ind w:right="57"/>
              <w:jc w:val="right"/>
              <w:rPr>
                <w:sz w:val="22"/>
                <w:szCs w:val="22"/>
              </w:rPr>
            </w:pPr>
            <w:r>
              <w:rPr>
                <w:sz w:val="22"/>
                <w:szCs w:val="22"/>
              </w:rPr>
              <w:t>(188)</w:t>
            </w:r>
          </w:p>
        </w:tc>
        <w:tc>
          <w:tcPr>
            <w:tcW w:w="446" w:type="dxa"/>
            <w:vAlign w:val="bottom"/>
          </w:tcPr>
          <w:p w14:paraId="37C19FEF" w14:textId="77777777" w:rsidR="006C6A73" w:rsidRPr="00E803CA" w:rsidRDefault="006C6A73" w:rsidP="006C6A73">
            <w:pPr>
              <w:ind w:right="57"/>
              <w:jc w:val="right"/>
              <w:rPr>
                <w:sz w:val="22"/>
                <w:szCs w:val="22"/>
                <w:u w:val="double"/>
              </w:rPr>
            </w:pPr>
          </w:p>
        </w:tc>
        <w:tc>
          <w:tcPr>
            <w:tcW w:w="1272" w:type="dxa"/>
            <w:gridSpan w:val="2"/>
            <w:vAlign w:val="bottom"/>
          </w:tcPr>
          <w:p w14:paraId="1A2157C9" w14:textId="1FA59E7B" w:rsidR="006C6A73" w:rsidRPr="00E803CA" w:rsidRDefault="006C6A73" w:rsidP="006C6A73">
            <w:pPr>
              <w:ind w:right="57"/>
              <w:jc w:val="right"/>
              <w:rPr>
                <w:sz w:val="22"/>
                <w:szCs w:val="22"/>
              </w:rPr>
            </w:pPr>
            <w:r w:rsidRPr="00E803CA">
              <w:rPr>
                <w:sz w:val="22"/>
                <w:szCs w:val="22"/>
              </w:rPr>
              <w:t>(22)</w:t>
            </w:r>
          </w:p>
        </w:tc>
      </w:tr>
      <w:tr w:rsidR="006C6A73" w:rsidRPr="00F96EE6" w14:paraId="6FD7B0BE" w14:textId="77777777" w:rsidTr="00EE359C">
        <w:trPr>
          <w:gridAfter w:val="1"/>
          <w:wAfter w:w="28" w:type="dxa"/>
          <w:trHeight w:val="193"/>
        </w:trPr>
        <w:tc>
          <w:tcPr>
            <w:tcW w:w="5829" w:type="dxa"/>
            <w:noWrap/>
            <w:tcMar>
              <w:top w:w="17" w:type="dxa"/>
              <w:left w:w="17" w:type="dxa"/>
              <w:bottom w:w="0" w:type="dxa"/>
              <w:right w:w="17" w:type="dxa"/>
            </w:tcMar>
            <w:vAlign w:val="bottom"/>
          </w:tcPr>
          <w:p w14:paraId="638F6146" w14:textId="77777777" w:rsidR="006C6A73" w:rsidRPr="00E803CA" w:rsidRDefault="006C6A73" w:rsidP="006C6A73">
            <w:pPr>
              <w:rPr>
                <w:bCs/>
                <w:sz w:val="22"/>
                <w:szCs w:val="22"/>
              </w:rPr>
            </w:pPr>
            <w:r w:rsidRPr="00E803CA">
              <w:rPr>
                <w:bCs/>
                <w:sz w:val="22"/>
                <w:szCs w:val="22"/>
              </w:rPr>
              <w:t>Amortisation of loan</w:t>
            </w:r>
          </w:p>
        </w:tc>
        <w:tc>
          <w:tcPr>
            <w:tcW w:w="1401" w:type="dxa"/>
            <w:gridSpan w:val="2"/>
            <w:noWrap/>
            <w:tcMar>
              <w:top w:w="17" w:type="dxa"/>
              <w:left w:w="17" w:type="dxa"/>
              <w:bottom w:w="0" w:type="dxa"/>
              <w:right w:w="17" w:type="dxa"/>
            </w:tcMar>
            <w:vAlign w:val="bottom"/>
          </w:tcPr>
          <w:p w14:paraId="0E93B4B7" w14:textId="43ECA54B" w:rsidR="006C6A73" w:rsidRPr="00E803CA" w:rsidRDefault="00594F1E" w:rsidP="006C6A73">
            <w:pPr>
              <w:ind w:right="57"/>
              <w:jc w:val="right"/>
              <w:rPr>
                <w:sz w:val="22"/>
                <w:szCs w:val="22"/>
              </w:rPr>
            </w:pPr>
            <w:r>
              <w:rPr>
                <w:sz w:val="22"/>
                <w:szCs w:val="22"/>
              </w:rPr>
              <w:t>(52)</w:t>
            </w:r>
          </w:p>
        </w:tc>
        <w:tc>
          <w:tcPr>
            <w:tcW w:w="446" w:type="dxa"/>
            <w:vAlign w:val="bottom"/>
          </w:tcPr>
          <w:p w14:paraId="538894BD" w14:textId="77777777" w:rsidR="006C6A73" w:rsidRPr="00E803CA" w:rsidRDefault="006C6A73" w:rsidP="006C6A73">
            <w:pPr>
              <w:ind w:right="57"/>
              <w:jc w:val="right"/>
              <w:rPr>
                <w:sz w:val="22"/>
                <w:szCs w:val="22"/>
                <w:u w:val="double"/>
              </w:rPr>
            </w:pPr>
          </w:p>
        </w:tc>
        <w:tc>
          <w:tcPr>
            <w:tcW w:w="1272" w:type="dxa"/>
            <w:gridSpan w:val="2"/>
            <w:vAlign w:val="bottom"/>
          </w:tcPr>
          <w:p w14:paraId="39BF02B5" w14:textId="15C41712" w:rsidR="006C6A73" w:rsidRPr="00E803CA" w:rsidRDefault="006C6A73" w:rsidP="006C6A73">
            <w:pPr>
              <w:ind w:right="57"/>
              <w:jc w:val="right"/>
              <w:rPr>
                <w:sz w:val="22"/>
                <w:szCs w:val="22"/>
              </w:rPr>
            </w:pPr>
            <w:r w:rsidRPr="00E803CA">
              <w:rPr>
                <w:sz w:val="22"/>
                <w:szCs w:val="22"/>
              </w:rPr>
              <w:t>(52)</w:t>
            </w:r>
          </w:p>
        </w:tc>
      </w:tr>
      <w:tr w:rsidR="006C6A73" w:rsidRPr="00F96EE6" w14:paraId="3A18AA05" w14:textId="77777777" w:rsidTr="00EE359C">
        <w:trPr>
          <w:gridAfter w:val="1"/>
          <w:wAfter w:w="28" w:type="dxa"/>
          <w:trHeight w:val="193"/>
        </w:trPr>
        <w:tc>
          <w:tcPr>
            <w:tcW w:w="5829" w:type="dxa"/>
            <w:noWrap/>
            <w:tcMar>
              <w:top w:w="17" w:type="dxa"/>
              <w:left w:w="17" w:type="dxa"/>
              <w:bottom w:w="0" w:type="dxa"/>
              <w:right w:w="17" w:type="dxa"/>
            </w:tcMar>
            <w:vAlign w:val="bottom"/>
          </w:tcPr>
          <w:p w14:paraId="40A464CE" w14:textId="01AFB236" w:rsidR="006C6A73" w:rsidRPr="00E803CA" w:rsidRDefault="006C6A73" w:rsidP="006C6A73">
            <w:pPr>
              <w:rPr>
                <w:bCs/>
                <w:sz w:val="22"/>
                <w:szCs w:val="22"/>
              </w:rPr>
            </w:pPr>
            <w:r w:rsidRPr="00E803CA">
              <w:rPr>
                <w:bCs/>
                <w:sz w:val="22"/>
                <w:szCs w:val="22"/>
              </w:rPr>
              <w:t>Loss on investment activities</w:t>
            </w:r>
          </w:p>
        </w:tc>
        <w:tc>
          <w:tcPr>
            <w:tcW w:w="1401" w:type="dxa"/>
            <w:gridSpan w:val="2"/>
            <w:noWrap/>
            <w:tcMar>
              <w:top w:w="17" w:type="dxa"/>
              <w:left w:w="17" w:type="dxa"/>
              <w:bottom w:w="0" w:type="dxa"/>
              <w:right w:w="17" w:type="dxa"/>
            </w:tcMar>
            <w:vAlign w:val="bottom"/>
          </w:tcPr>
          <w:p w14:paraId="7DBC0F5E" w14:textId="7FA7BCAB" w:rsidR="006C6A73" w:rsidRPr="00E803CA" w:rsidRDefault="001474F3" w:rsidP="006C6A73">
            <w:pPr>
              <w:ind w:right="57"/>
              <w:jc w:val="right"/>
              <w:rPr>
                <w:sz w:val="22"/>
                <w:szCs w:val="22"/>
              </w:rPr>
            </w:pPr>
            <w:r>
              <w:rPr>
                <w:sz w:val="22"/>
                <w:szCs w:val="22"/>
              </w:rPr>
              <w:t>600</w:t>
            </w:r>
          </w:p>
        </w:tc>
        <w:tc>
          <w:tcPr>
            <w:tcW w:w="446" w:type="dxa"/>
            <w:vAlign w:val="bottom"/>
          </w:tcPr>
          <w:p w14:paraId="32A695DD" w14:textId="77777777" w:rsidR="006C6A73" w:rsidRPr="00E803CA" w:rsidRDefault="006C6A73" w:rsidP="006C6A73">
            <w:pPr>
              <w:ind w:right="57"/>
              <w:jc w:val="right"/>
              <w:rPr>
                <w:sz w:val="22"/>
                <w:szCs w:val="22"/>
                <w:u w:val="double"/>
              </w:rPr>
            </w:pPr>
          </w:p>
        </w:tc>
        <w:tc>
          <w:tcPr>
            <w:tcW w:w="1272" w:type="dxa"/>
            <w:gridSpan w:val="2"/>
            <w:vAlign w:val="bottom"/>
          </w:tcPr>
          <w:p w14:paraId="3BD01DEC" w14:textId="3C561829" w:rsidR="006C6A73" w:rsidRPr="00E803CA" w:rsidRDefault="006C6A73" w:rsidP="006C6A73">
            <w:pPr>
              <w:ind w:right="57"/>
              <w:jc w:val="right"/>
              <w:rPr>
                <w:sz w:val="22"/>
                <w:szCs w:val="22"/>
              </w:rPr>
            </w:pPr>
            <w:r w:rsidRPr="00E803CA">
              <w:rPr>
                <w:sz w:val="22"/>
                <w:szCs w:val="22"/>
              </w:rPr>
              <w:t>795</w:t>
            </w:r>
          </w:p>
        </w:tc>
      </w:tr>
      <w:tr w:rsidR="006C6A73" w14:paraId="6A5F8641" w14:textId="77777777" w:rsidTr="00EE359C">
        <w:trPr>
          <w:trHeight w:val="179"/>
        </w:trPr>
        <w:tc>
          <w:tcPr>
            <w:tcW w:w="5848" w:type="dxa"/>
            <w:gridSpan w:val="2"/>
            <w:noWrap/>
            <w:tcMar>
              <w:top w:w="17" w:type="dxa"/>
              <w:left w:w="17" w:type="dxa"/>
              <w:bottom w:w="0" w:type="dxa"/>
              <w:right w:w="17" w:type="dxa"/>
            </w:tcMar>
            <w:vAlign w:val="bottom"/>
          </w:tcPr>
          <w:p w14:paraId="5F3F6000" w14:textId="2320A41D" w:rsidR="006C6A73" w:rsidRPr="00E803CA" w:rsidRDefault="003B4E4E" w:rsidP="006C6A73">
            <w:pPr>
              <w:rPr>
                <w:bCs/>
                <w:sz w:val="22"/>
                <w:szCs w:val="22"/>
              </w:rPr>
            </w:pPr>
            <w:r>
              <w:rPr>
                <w:bCs/>
                <w:sz w:val="22"/>
                <w:szCs w:val="22"/>
              </w:rPr>
              <w:t>Increase / (decrease)</w:t>
            </w:r>
            <w:r w:rsidR="006C6A73" w:rsidRPr="00E803CA">
              <w:rPr>
                <w:bCs/>
                <w:sz w:val="22"/>
                <w:szCs w:val="22"/>
              </w:rPr>
              <w:t xml:space="preserve"> in valuation of office property</w:t>
            </w:r>
          </w:p>
        </w:tc>
        <w:tc>
          <w:tcPr>
            <w:tcW w:w="1382" w:type="dxa"/>
            <w:noWrap/>
            <w:tcMar>
              <w:top w:w="17" w:type="dxa"/>
              <w:left w:w="17" w:type="dxa"/>
              <w:bottom w:w="0" w:type="dxa"/>
              <w:right w:w="17" w:type="dxa"/>
            </w:tcMar>
            <w:vAlign w:val="bottom"/>
          </w:tcPr>
          <w:p w14:paraId="1D52C634" w14:textId="2B0F668B" w:rsidR="006C6A73" w:rsidRPr="00E803CA" w:rsidRDefault="003B4E4E" w:rsidP="006C6A73">
            <w:pPr>
              <w:ind w:right="57"/>
              <w:jc w:val="right"/>
              <w:rPr>
                <w:sz w:val="22"/>
                <w:szCs w:val="22"/>
              </w:rPr>
            </w:pPr>
            <w:r>
              <w:rPr>
                <w:sz w:val="22"/>
                <w:szCs w:val="22"/>
              </w:rPr>
              <w:t>(3)</w:t>
            </w:r>
          </w:p>
        </w:tc>
        <w:tc>
          <w:tcPr>
            <w:tcW w:w="470" w:type="dxa"/>
            <w:gridSpan w:val="2"/>
            <w:vAlign w:val="bottom"/>
          </w:tcPr>
          <w:p w14:paraId="0B8A8971" w14:textId="77777777" w:rsidR="006C6A73" w:rsidRPr="00E803CA" w:rsidRDefault="006C6A73" w:rsidP="006C6A73">
            <w:pPr>
              <w:ind w:right="57"/>
              <w:jc w:val="right"/>
              <w:rPr>
                <w:sz w:val="22"/>
                <w:szCs w:val="22"/>
                <w:u w:val="double"/>
              </w:rPr>
            </w:pPr>
          </w:p>
        </w:tc>
        <w:tc>
          <w:tcPr>
            <w:tcW w:w="1276" w:type="dxa"/>
            <w:gridSpan w:val="2"/>
            <w:vAlign w:val="bottom"/>
          </w:tcPr>
          <w:p w14:paraId="5CC771A4" w14:textId="4AD24676" w:rsidR="006C6A73" w:rsidRPr="00E803CA" w:rsidRDefault="006C6A73" w:rsidP="006C6A73">
            <w:pPr>
              <w:ind w:right="57"/>
              <w:jc w:val="right"/>
              <w:rPr>
                <w:sz w:val="22"/>
                <w:szCs w:val="22"/>
              </w:rPr>
            </w:pPr>
            <w:r w:rsidRPr="00E803CA">
              <w:rPr>
                <w:sz w:val="22"/>
                <w:szCs w:val="22"/>
              </w:rPr>
              <w:t>44</w:t>
            </w:r>
          </w:p>
        </w:tc>
      </w:tr>
      <w:tr w:rsidR="006C6A73" w:rsidRPr="00F96EE6" w14:paraId="72C49352" w14:textId="77777777" w:rsidTr="00906122">
        <w:trPr>
          <w:gridAfter w:val="1"/>
          <w:wAfter w:w="28" w:type="dxa"/>
          <w:trHeight w:val="193"/>
        </w:trPr>
        <w:tc>
          <w:tcPr>
            <w:tcW w:w="5829" w:type="dxa"/>
            <w:noWrap/>
            <w:tcMar>
              <w:top w:w="17" w:type="dxa"/>
              <w:left w:w="17" w:type="dxa"/>
              <w:bottom w:w="0" w:type="dxa"/>
              <w:right w:w="17" w:type="dxa"/>
            </w:tcMar>
            <w:vAlign w:val="bottom"/>
          </w:tcPr>
          <w:p w14:paraId="6DAE581B" w14:textId="77777777" w:rsidR="006C6A73" w:rsidRPr="00E803CA" w:rsidRDefault="006C6A73" w:rsidP="006C6A73">
            <w:pPr>
              <w:rPr>
                <w:b/>
                <w:bCs/>
                <w:sz w:val="22"/>
                <w:szCs w:val="22"/>
              </w:rPr>
            </w:pPr>
            <w:r w:rsidRPr="00E803CA">
              <w:rPr>
                <w:bCs/>
                <w:sz w:val="22"/>
                <w:szCs w:val="22"/>
              </w:rPr>
              <w:t>Loss on component disposals</w:t>
            </w:r>
          </w:p>
        </w:tc>
        <w:tc>
          <w:tcPr>
            <w:tcW w:w="1401" w:type="dxa"/>
            <w:gridSpan w:val="2"/>
            <w:noWrap/>
            <w:tcMar>
              <w:top w:w="17" w:type="dxa"/>
              <w:left w:w="17" w:type="dxa"/>
              <w:bottom w:w="0" w:type="dxa"/>
              <w:right w:w="17" w:type="dxa"/>
            </w:tcMar>
            <w:vAlign w:val="bottom"/>
          </w:tcPr>
          <w:p w14:paraId="5477049C" w14:textId="578B4C94" w:rsidR="006C6A73" w:rsidRPr="00E803CA" w:rsidRDefault="003B4E4E" w:rsidP="006C6A73">
            <w:pPr>
              <w:ind w:right="57"/>
              <w:jc w:val="right"/>
              <w:rPr>
                <w:sz w:val="22"/>
                <w:szCs w:val="22"/>
              </w:rPr>
            </w:pPr>
            <w:r>
              <w:rPr>
                <w:sz w:val="22"/>
                <w:szCs w:val="22"/>
              </w:rPr>
              <w:t>686</w:t>
            </w:r>
          </w:p>
        </w:tc>
        <w:tc>
          <w:tcPr>
            <w:tcW w:w="446" w:type="dxa"/>
            <w:vAlign w:val="bottom"/>
          </w:tcPr>
          <w:p w14:paraId="74F8B7CD" w14:textId="77777777" w:rsidR="006C6A73" w:rsidRPr="00E803CA" w:rsidRDefault="006C6A73" w:rsidP="006C6A73">
            <w:pPr>
              <w:ind w:right="57"/>
              <w:jc w:val="right"/>
              <w:rPr>
                <w:sz w:val="22"/>
                <w:szCs w:val="22"/>
                <w:u w:val="double"/>
              </w:rPr>
            </w:pPr>
          </w:p>
        </w:tc>
        <w:tc>
          <w:tcPr>
            <w:tcW w:w="1272" w:type="dxa"/>
            <w:gridSpan w:val="2"/>
            <w:vAlign w:val="bottom"/>
          </w:tcPr>
          <w:p w14:paraId="04B0193B" w14:textId="342ACFF2" w:rsidR="006C6A73" w:rsidRPr="00E803CA" w:rsidRDefault="006C6A73" w:rsidP="006C6A73">
            <w:pPr>
              <w:ind w:right="57"/>
              <w:jc w:val="right"/>
              <w:rPr>
                <w:sz w:val="22"/>
                <w:szCs w:val="22"/>
              </w:rPr>
            </w:pPr>
            <w:r w:rsidRPr="00E803CA">
              <w:rPr>
                <w:sz w:val="22"/>
                <w:szCs w:val="22"/>
              </w:rPr>
              <w:t>652</w:t>
            </w:r>
          </w:p>
        </w:tc>
      </w:tr>
      <w:tr w:rsidR="006C6A73" w:rsidRPr="00F96EE6" w14:paraId="3A361C0A" w14:textId="77777777" w:rsidTr="006E3889">
        <w:trPr>
          <w:trHeight w:val="193"/>
        </w:trPr>
        <w:tc>
          <w:tcPr>
            <w:tcW w:w="5829" w:type="dxa"/>
            <w:noWrap/>
            <w:tcMar>
              <w:top w:w="17" w:type="dxa"/>
              <w:left w:w="17" w:type="dxa"/>
              <w:bottom w:w="0" w:type="dxa"/>
              <w:right w:w="17" w:type="dxa"/>
            </w:tcMar>
            <w:vAlign w:val="bottom"/>
          </w:tcPr>
          <w:p w14:paraId="0734F4F5" w14:textId="45F1BF43" w:rsidR="006C6A73" w:rsidRPr="00E803CA" w:rsidRDefault="003B4E4E" w:rsidP="006C6A73">
            <w:pPr>
              <w:rPr>
                <w:bCs/>
                <w:sz w:val="22"/>
                <w:szCs w:val="22"/>
              </w:rPr>
            </w:pPr>
            <w:r>
              <w:rPr>
                <w:bCs/>
                <w:sz w:val="22"/>
                <w:szCs w:val="22"/>
              </w:rPr>
              <w:t>Gain on sale of fixed assets</w:t>
            </w:r>
          </w:p>
        </w:tc>
        <w:tc>
          <w:tcPr>
            <w:tcW w:w="1401" w:type="dxa"/>
            <w:gridSpan w:val="2"/>
            <w:tcBorders>
              <w:bottom w:val="single" w:sz="4" w:space="0" w:color="auto"/>
            </w:tcBorders>
            <w:noWrap/>
            <w:tcMar>
              <w:top w:w="17" w:type="dxa"/>
              <w:left w:w="17" w:type="dxa"/>
              <w:bottom w:w="0" w:type="dxa"/>
              <w:right w:w="17" w:type="dxa"/>
            </w:tcMar>
            <w:vAlign w:val="bottom"/>
          </w:tcPr>
          <w:p w14:paraId="15A61A52" w14:textId="587422F8" w:rsidR="006C6A73" w:rsidRPr="00E803CA" w:rsidRDefault="008D4E4F" w:rsidP="006C6A73">
            <w:pPr>
              <w:ind w:right="57"/>
              <w:jc w:val="right"/>
              <w:rPr>
                <w:sz w:val="22"/>
                <w:szCs w:val="22"/>
              </w:rPr>
            </w:pPr>
            <w:r>
              <w:rPr>
                <w:sz w:val="22"/>
                <w:szCs w:val="22"/>
              </w:rPr>
              <w:t>(3</w:t>
            </w:r>
            <w:r w:rsidR="00DD48A2">
              <w:rPr>
                <w:sz w:val="22"/>
                <w:szCs w:val="22"/>
              </w:rPr>
              <w:t>59</w:t>
            </w:r>
            <w:r>
              <w:rPr>
                <w:sz w:val="22"/>
                <w:szCs w:val="22"/>
              </w:rPr>
              <w:t>)</w:t>
            </w:r>
          </w:p>
        </w:tc>
        <w:tc>
          <w:tcPr>
            <w:tcW w:w="446" w:type="dxa"/>
            <w:vAlign w:val="bottom"/>
          </w:tcPr>
          <w:p w14:paraId="204C81ED" w14:textId="77777777" w:rsidR="006C6A73" w:rsidRPr="00E803CA" w:rsidRDefault="006C6A73" w:rsidP="006C6A73">
            <w:pPr>
              <w:ind w:right="57"/>
              <w:jc w:val="right"/>
              <w:rPr>
                <w:sz w:val="22"/>
                <w:szCs w:val="22"/>
                <w:u w:val="double"/>
              </w:rPr>
            </w:pPr>
          </w:p>
        </w:tc>
        <w:tc>
          <w:tcPr>
            <w:tcW w:w="1300" w:type="dxa"/>
            <w:gridSpan w:val="3"/>
            <w:tcBorders>
              <w:bottom w:val="single" w:sz="4" w:space="0" w:color="auto"/>
            </w:tcBorders>
            <w:vAlign w:val="bottom"/>
          </w:tcPr>
          <w:p w14:paraId="3221152D" w14:textId="446BF411" w:rsidR="006C6A73" w:rsidRPr="00E803CA" w:rsidRDefault="006C6A73" w:rsidP="006C6A73">
            <w:pPr>
              <w:ind w:right="57"/>
              <w:jc w:val="right"/>
              <w:rPr>
                <w:sz w:val="22"/>
                <w:szCs w:val="22"/>
              </w:rPr>
            </w:pPr>
            <w:r w:rsidRPr="00E803CA">
              <w:rPr>
                <w:sz w:val="22"/>
                <w:szCs w:val="22"/>
              </w:rPr>
              <w:t>-</w:t>
            </w:r>
          </w:p>
        </w:tc>
      </w:tr>
      <w:tr w:rsidR="006C6A73" w:rsidRPr="00C42DC5" w14:paraId="4DF43DBA" w14:textId="77777777" w:rsidTr="00EE359C">
        <w:trPr>
          <w:gridAfter w:val="1"/>
          <w:wAfter w:w="28" w:type="dxa"/>
          <w:trHeight w:val="193"/>
        </w:trPr>
        <w:tc>
          <w:tcPr>
            <w:tcW w:w="5829" w:type="dxa"/>
            <w:noWrap/>
            <w:tcMar>
              <w:top w:w="17" w:type="dxa"/>
              <w:left w:w="17" w:type="dxa"/>
              <w:bottom w:w="0" w:type="dxa"/>
              <w:right w:w="17" w:type="dxa"/>
            </w:tcMar>
            <w:vAlign w:val="bottom"/>
          </w:tcPr>
          <w:p w14:paraId="7A54950A" w14:textId="77777777" w:rsidR="006C6A73" w:rsidRPr="00E803CA" w:rsidRDefault="006C6A73" w:rsidP="006C6A73">
            <w:pPr>
              <w:rPr>
                <w:b/>
                <w:bCs/>
                <w:i/>
                <w:sz w:val="22"/>
                <w:szCs w:val="22"/>
              </w:rPr>
            </w:pPr>
            <w:r w:rsidRPr="00E803CA">
              <w:rPr>
                <w:b/>
                <w:bCs/>
                <w:sz w:val="22"/>
                <w:szCs w:val="22"/>
              </w:rPr>
              <w:t>Net cash inflow from operating activities</w:t>
            </w:r>
          </w:p>
        </w:tc>
        <w:tc>
          <w:tcPr>
            <w:tcW w:w="1401" w:type="dxa"/>
            <w:gridSpan w:val="2"/>
            <w:tcBorders>
              <w:top w:val="single" w:sz="4" w:space="0" w:color="auto"/>
              <w:bottom w:val="single" w:sz="4" w:space="0" w:color="auto"/>
            </w:tcBorders>
            <w:noWrap/>
            <w:tcMar>
              <w:top w:w="17" w:type="dxa"/>
              <w:left w:w="17" w:type="dxa"/>
              <w:bottom w:w="0" w:type="dxa"/>
              <w:right w:w="17" w:type="dxa"/>
            </w:tcMar>
            <w:vAlign w:val="bottom"/>
          </w:tcPr>
          <w:p w14:paraId="19E6A256" w14:textId="6B2982A3" w:rsidR="006C6A73" w:rsidRPr="00E803CA" w:rsidRDefault="008D4E4F" w:rsidP="006C6A73">
            <w:pPr>
              <w:ind w:right="57"/>
              <w:jc w:val="right"/>
              <w:rPr>
                <w:b/>
                <w:sz w:val="22"/>
                <w:szCs w:val="22"/>
              </w:rPr>
            </w:pPr>
            <w:r>
              <w:rPr>
                <w:b/>
                <w:sz w:val="22"/>
                <w:szCs w:val="22"/>
              </w:rPr>
              <w:t>27,</w:t>
            </w:r>
            <w:r w:rsidR="001474F3">
              <w:rPr>
                <w:b/>
                <w:sz w:val="22"/>
                <w:szCs w:val="22"/>
              </w:rPr>
              <w:t>80</w:t>
            </w:r>
            <w:r w:rsidR="001F039C">
              <w:rPr>
                <w:b/>
                <w:sz w:val="22"/>
                <w:szCs w:val="22"/>
              </w:rPr>
              <w:t>0</w:t>
            </w:r>
          </w:p>
        </w:tc>
        <w:tc>
          <w:tcPr>
            <w:tcW w:w="446" w:type="dxa"/>
            <w:vAlign w:val="bottom"/>
          </w:tcPr>
          <w:p w14:paraId="3FEE80E7" w14:textId="77777777" w:rsidR="006C6A73" w:rsidRPr="00E803CA" w:rsidRDefault="006C6A73" w:rsidP="006C6A73">
            <w:pPr>
              <w:ind w:right="57"/>
              <w:jc w:val="right"/>
              <w:rPr>
                <w:b/>
                <w:sz w:val="22"/>
                <w:szCs w:val="22"/>
                <w:u w:val="double"/>
              </w:rPr>
            </w:pPr>
          </w:p>
        </w:tc>
        <w:tc>
          <w:tcPr>
            <w:tcW w:w="1272" w:type="dxa"/>
            <w:gridSpan w:val="2"/>
            <w:tcBorders>
              <w:top w:val="single" w:sz="4" w:space="0" w:color="auto"/>
              <w:bottom w:val="single" w:sz="4" w:space="0" w:color="auto"/>
            </w:tcBorders>
            <w:vAlign w:val="bottom"/>
          </w:tcPr>
          <w:p w14:paraId="3BD3F895" w14:textId="2F73DB5A" w:rsidR="006C6A73" w:rsidRPr="00E803CA" w:rsidRDefault="006C6A73" w:rsidP="006C6A73">
            <w:pPr>
              <w:ind w:right="57"/>
              <w:jc w:val="right"/>
              <w:rPr>
                <w:b/>
                <w:sz w:val="22"/>
                <w:szCs w:val="22"/>
              </w:rPr>
            </w:pPr>
            <w:r w:rsidRPr="00E803CA">
              <w:rPr>
                <w:b/>
                <w:sz w:val="22"/>
                <w:szCs w:val="22"/>
              </w:rPr>
              <w:t>20,529</w:t>
            </w:r>
          </w:p>
        </w:tc>
      </w:tr>
    </w:tbl>
    <w:p w14:paraId="2DF0DAFE" w14:textId="77777777" w:rsidR="009114E8" w:rsidRDefault="009114E8" w:rsidP="009114E8">
      <w:pPr>
        <w:pStyle w:val="Text"/>
        <w:tabs>
          <w:tab w:val="clear" w:pos="284"/>
          <w:tab w:val="left" w:pos="540"/>
        </w:tabs>
        <w:spacing w:after="0"/>
        <w:rPr>
          <w:b/>
        </w:rPr>
      </w:pPr>
    </w:p>
    <w:p w14:paraId="1339E325" w14:textId="77777777" w:rsidR="00AF3BC6" w:rsidRDefault="00AF3BC6" w:rsidP="009114E8">
      <w:pPr>
        <w:pStyle w:val="Text"/>
        <w:tabs>
          <w:tab w:val="clear" w:pos="284"/>
          <w:tab w:val="left" w:pos="540"/>
        </w:tabs>
        <w:spacing w:after="0"/>
        <w:rPr>
          <w:b/>
        </w:rPr>
      </w:pPr>
    </w:p>
    <w:p w14:paraId="2CC49A6B" w14:textId="77777777" w:rsidR="00906122" w:rsidRDefault="00906122" w:rsidP="009114E8">
      <w:pPr>
        <w:pStyle w:val="Text"/>
        <w:tabs>
          <w:tab w:val="clear" w:pos="284"/>
          <w:tab w:val="left" w:pos="540"/>
        </w:tabs>
        <w:spacing w:after="0"/>
        <w:rPr>
          <w:b/>
        </w:rPr>
      </w:pPr>
    </w:p>
    <w:p w14:paraId="2ECBAB94" w14:textId="441EE5F1" w:rsidR="00930A5A" w:rsidRPr="0025628B" w:rsidRDefault="006C1224" w:rsidP="009114E8">
      <w:pPr>
        <w:pStyle w:val="Text"/>
        <w:tabs>
          <w:tab w:val="clear" w:pos="284"/>
          <w:tab w:val="left" w:pos="540"/>
        </w:tabs>
        <w:spacing w:after="0"/>
        <w:rPr>
          <w:b/>
        </w:rPr>
      </w:pPr>
      <w:r w:rsidRPr="0025628B">
        <w:rPr>
          <w:b/>
        </w:rPr>
        <w:t>2</w:t>
      </w:r>
      <w:r w:rsidR="00AF5224">
        <w:rPr>
          <w:b/>
        </w:rPr>
        <w:t>4</w:t>
      </w:r>
      <w:r w:rsidR="00930A5A" w:rsidRPr="0025628B">
        <w:rPr>
          <w:b/>
        </w:rPr>
        <w:t xml:space="preserve">.   </w:t>
      </w:r>
      <w:bookmarkStart w:id="15" w:name="_Toc108166256"/>
      <w:r w:rsidR="00C42DC5">
        <w:rPr>
          <w:b/>
        </w:rPr>
        <w:tab/>
      </w:r>
      <w:r w:rsidR="00930A5A" w:rsidRPr="0025628B">
        <w:rPr>
          <w:b/>
        </w:rPr>
        <w:t>Ultimate parent organisation</w:t>
      </w:r>
      <w:bookmarkEnd w:id="15"/>
    </w:p>
    <w:p w14:paraId="56821BE4" w14:textId="77777777" w:rsidR="00930A5A" w:rsidRPr="0025628B" w:rsidRDefault="00BE2226" w:rsidP="00930A5A">
      <w:pPr>
        <w:pStyle w:val="ACText"/>
        <w:rPr>
          <w:sz w:val="22"/>
        </w:rPr>
      </w:pPr>
      <w:r>
        <w:rPr>
          <w:sz w:val="22"/>
        </w:rPr>
        <w:t>The Company</w:t>
      </w:r>
      <w:r w:rsidR="00930A5A" w:rsidRPr="0025628B">
        <w:rPr>
          <w:sz w:val="22"/>
        </w:rPr>
        <w:t xml:space="preserve"> is a </w:t>
      </w:r>
      <w:r w:rsidR="008C2EA5">
        <w:rPr>
          <w:sz w:val="22"/>
        </w:rPr>
        <w:t xml:space="preserve">“wholly owned” </w:t>
      </w:r>
      <w:r w:rsidR="00930A5A" w:rsidRPr="0025628B">
        <w:rPr>
          <w:sz w:val="22"/>
        </w:rPr>
        <w:t>subsidiary undertaking of Wheatley Housing Group Limited, a company limited by guarantee and registered in Scotland.</w:t>
      </w:r>
    </w:p>
    <w:p w14:paraId="5874CC79" w14:textId="77777777" w:rsidR="00930A5A" w:rsidRPr="0025628B" w:rsidRDefault="00930A5A" w:rsidP="00930A5A">
      <w:pPr>
        <w:jc w:val="both"/>
        <w:rPr>
          <w:sz w:val="22"/>
          <w:szCs w:val="20"/>
        </w:rPr>
      </w:pPr>
    </w:p>
    <w:p w14:paraId="13D52536" w14:textId="77777777" w:rsidR="00C42DC5" w:rsidRDefault="00C42DC5" w:rsidP="00C42DC5">
      <w:pPr>
        <w:jc w:val="both"/>
        <w:rPr>
          <w:sz w:val="22"/>
          <w:szCs w:val="20"/>
        </w:rPr>
      </w:pPr>
      <w:r w:rsidRPr="0012168B">
        <w:rPr>
          <w:sz w:val="22"/>
          <w:szCs w:val="20"/>
        </w:rPr>
        <w:t>The only group into whic</w:t>
      </w:r>
      <w:r w:rsidR="00BE2226">
        <w:rPr>
          <w:sz w:val="22"/>
          <w:szCs w:val="20"/>
        </w:rPr>
        <w:t>h the results of the Company</w:t>
      </w:r>
      <w:r w:rsidRPr="0012168B">
        <w:rPr>
          <w:sz w:val="22"/>
          <w:szCs w:val="20"/>
        </w:rPr>
        <w:t xml:space="preserve"> are consolidated is Wheatley Housing Group Limited.  The consolidated financial statements of Wheatley Housing Group Limited may be obtained from the registered office at Wheatley House, 25 Cochrane Street, Glasgow, G1 1HL.</w:t>
      </w:r>
    </w:p>
    <w:p w14:paraId="730147A1" w14:textId="77777777" w:rsidR="00930A5A" w:rsidRDefault="00930A5A" w:rsidP="00930A5A">
      <w:pPr>
        <w:jc w:val="both"/>
        <w:rPr>
          <w:sz w:val="22"/>
          <w:szCs w:val="22"/>
          <w:highlight w:val="yellow"/>
        </w:rPr>
      </w:pPr>
    </w:p>
    <w:p w14:paraId="1325E27A" w14:textId="77777777" w:rsidR="00C42DC5" w:rsidRPr="004D388B" w:rsidRDefault="00C42DC5" w:rsidP="00930A5A">
      <w:pPr>
        <w:jc w:val="both"/>
        <w:rPr>
          <w:sz w:val="22"/>
          <w:szCs w:val="22"/>
          <w:highlight w:val="yellow"/>
        </w:rPr>
      </w:pPr>
    </w:p>
    <w:p w14:paraId="2F6E26E2" w14:textId="77777777" w:rsidR="00B823BB" w:rsidRPr="004D388B" w:rsidRDefault="00B823BB" w:rsidP="00930A5A">
      <w:pPr>
        <w:jc w:val="both"/>
        <w:rPr>
          <w:sz w:val="22"/>
          <w:szCs w:val="22"/>
          <w:highlight w:val="yellow"/>
        </w:rPr>
      </w:pPr>
    </w:p>
    <w:p w14:paraId="2FD6674C" w14:textId="77777777" w:rsidR="00B823BB" w:rsidRPr="004D388B" w:rsidRDefault="004C7018" w:rsidP="004C7018">
      <w:pPr>
        <w:jc w:val="both"/>
        <w:rPr>
          <w:sz w:val="22"/>
          <w:szCs w:val="22"/>
          <w:highlight w:val="yellow"/>
        </w:rPr>
      </w:pPr>
      <w:r w:rsidRPr="004D388B">
        <w:rPr>
          <w:sz w:val="22"/>
          <w:szCs w:val="22"/>
          <w:highlight w:val="yellow"/>
        </w:rPr>
        <w:t xml:space="preserve"> </w:t>
      </w:r>
    </w:p>
    <w:p w14:paraId="4F45951E" w14:textId="77777777" w:rsidR="0082666A" w:rsidRDefault="00D14D69" w:rsidP="002A227D">
      <w:pPr>
        <w:jc w:val="both"/>
        <w:rPr>
          <w:b/>
          <w:bCs/>
        </w:rPr>
      </w:pPr>
      <w:r w:rsidRPr="004D388B">
        <w:rPr>
          <w:b/>
          <w:bCs/>
          <w:highlight w:val="yellow"/>
        </w:rPr>
        <w:br w:type="page"/>
      </w:r>
    </w:p>
    <w:p w14:paraId="3B7676D1" w14:textId="77777777" w:rsidR="002A227D" w:rsidRPr="0025628B" w:rsidRDefault="002A227D" w:rsidP="002A227D">
      <w:pPr>
        <w:jc w:val="both"/>
        <w:rPr>
          <w:b/>
          <w:bCs/>
        </w:rPr>
      </w:pPr>
      <w:r w:rsidRPr="0025628B">
        <w:rPr>
          <w:b/>
          <w:bCs/>
        </w:rPr>
        <w:lastRenderedPageBreak/>
        <w:t>SUPPLEMENTARY INFORMATION</w:t>
      </w:r>
    </w:p>
    <w:p w14:paraId="4AB8FE60" w14:textId="77777777" w:rsidR="002A227D" w:rsidRPr="0025628B" w:rsidRDefault="002A227D" w:rsidP="002A227D">
      <w:pPr>
        <w:jc w:val="both"/>
        <w:rPr>
          <w:bCs/>
        </w:rPr>
      </w:pPr>
    </w:p>
    <w:p w14:paraId="36038989" w14:textId="77777777" w:rsidR="002A227D" w:rsidRPr="00C92234" w:rsidRDefault="002A227D" w:rsidP="002A227D">
      <w:pPr>
        <w:rPr>
          <w:b/>
          <w:sz w:val="22"/>
          <w:szCs w:val="22"/>
        </w:rPr>
      </w:pPr>
      <w:r w:rsidRPr="00C92234">
        <w:rPr>
          <w:b/>
          <w:sz w:val="22"/>
          <w:szCs w:val="22"/>
        </w:rPr>
        <w:t>Secretary and Registered Office</w:t>
      </w:r>
    </w:p>
    <w:p w14:paraId="40C00C62" w14:textId="77777777" w:rsidR="002A227D" w:rsidRPr="00C92234" w:rsidRDefault="0014756F" w:rsidP="002A227D">
      <w:pPr>
        <w:rPr>
          <w:sz w:val="22"/>
          <w:szCs w:val="22"/>
        </w:rPr>
      </w:pPr>
      <w:r>
        <w:rPr>
          <w:sz w:val="22"/>
          <w:szCs w:val="22"/>
        </w:rPr>
        <w:t>Anthony Allison</w:t>
      </w:r>
    </w:p>
    <w:p w14:paraId="636D4693" w14:textId="39F2F2C5" w:rsidR="00146BC6" w:rsidRPr="00C92234" w:rsidRDefault="00146BC6" w:rsidP="002A227D">
      <w:pPr>
        <w:rPr>
          <w:sz w:val="22"/>
          <w:szCs w:val="22"/>
        </w:rPr>
      </w:pPr>
      <w:r>
        <w:rPr>
          <w:sz w:val="22"/>
          <w:szCs w:val="22"/>
        </w:rPr>
        <w:t>Wheatley Homes South Limited</w:t>
      </w:r>
    </w:p>
    <w:p w14:paraId="22A7ED9C" w14:textId="77777777" w:rsidR="00897C4E" w:rsidRDefault="0014756F" w:rsidP="00F41905">
      <w:pPr>
        <w:rPr>
          <w:sz w:val="22"/>
          <w:szCs w:val="22"/>
        </w:rPr>
      </w:pPr>
      <w:r w:rsidRPr="0014756F">
        <w:rPr>
          <w:sz w:val="22"/>
          <w:szCs w:val="22"/>
        </w:rPr>
        <w:t>Wheatley House</w:t>
      </w:r>
    </w:p>
    <w:p w14:paraId="1F5343A1" w14:textId="560D83B7" w:rsidR="0014756F" w:rsidRDefault="0014756F" w:rsidP="00F41905">
      <w:pPr>
        <w:rPr>
          <w:sz w:val="22"/>
          <w:szCs w:val="22"/>
        </w:rPr>
      </w:pPr>
      <w:r w:rsidRPr="0014756F">
        <w:rPr>
          <w:sz w:val="22"/>
          <w:szCs w:val="22"/>
        </w:rPr>
        <w:t>25 Cochran</w:t>
      </w:r>
      <w:r w:rsidR="001250E0">
        <w:rPr>
          <w:sz w:val="22"/>
          <w:szCs w:val="22"/>
        </w:rPr>
        <w:t xml:space="preserve">e </w:t>
      </w:r>
      <w:r w:rsidRPr="0014756F">
        <w:rPr>
          <w:sz w:val="22"/>
          <w:szCs w:val="22"/>
        </w:rPr>
        <w:t>Street</w:t>
      </w:r>
    </w:p>
    <w:p w14:paraId="585635AD" w14:textId="77777777" w:rsidR="003C0D25" w:rsidRPr="00C92234" w:rsidRDefault="0014756F" w:rsidP="00F41905">
      <w:pPr>
        <w:rPr>
          <w:sz w:val="22"/>
          <w:szCs w:val="22"/>
        </w:rPr>
      </w:pPr>
      <w:r>
        <w:rPr>
          <w:sz w:val="22"/>
          <w:szCs w:val="22"/>
        </w:rPr>
        <w:t>Glasgow</w:t>
      </w:r>
    </w:p>
    <w:p w14:paraId="7E5624E8" w14:textId="77777777" w:rsidR="00F41905" w:rsidRPr="00C92234" w:rsidRDefault="0014756F" w:rsidP="00F41905">
      <w:pPr>
        <w:rPr>
          <w:sz w:val="22"/>
          <w:szCs w:val="22"/>
        </w:rPr>
      </w:pPr>
      <w:r>
        <w:rPr>
          <w:sz w:val="22"/>
          <w:szCs w:val="22"/>
        </w:rPr>
        <w:t>G1 1HL</w:t>
      </w:r>
    </w:p>
    <w:p w14:paraId="49D2CA2C" w14:textId="77777777" w:rsidR="00917583" w:rsidRDefault="00917583" w:rsidP="002A227D">
      <w:pPr>
        <w:rPr>
          <w:b/>
          <w:sz w:val="22"/>
          <w:szCs w:val="22"/>
        </w:rPr>
      </w:pPr>
    </w:p>
    <w:p w14:paraId="36A2D76C" w14:textId="77777777" w:rsidR="002A227D" w:rsidRPr="006C0004" w:rsidRDefault="005229AC" w:rsidP="002A227D">
      <w:pPr>
        <w:rPr>
          <w:b/>
          <w:sz w:val="22"/>
          <w:szCs w:val="22"/>
        </w:rPr>
      </w:pPr>
      <w:r w:rsidRPr="006C0004">
        <w:rPr>
          <w:b/>
          <w:sz w:val="22"/>
          <w:szCs w:val="22"/>
        </w:rPr>
        <w:t xml:space="preserve">Independent </w:t>
      </w:r>
      <w:r w:rsidR="00917583">
        <w:rPr>
          <w:b/>
          <w:sz w:val="22"/>
          <w:szCs w:val="22"/>
        </w:rPr>
        <w:t>Auditor</w:t>
      </w:r>
    </w:p>
    <w:p w14:paraId="202F111E" w14:textId="77777777" w:rsidR="002A227D" w:rsidRPr="006C0004" w:rsidRDefault="006C0004" w:rsidP="002A227D">
      <w:pPr>
        <w:rPr>
          <w:sz w:val="22"/>
          <w:szCs w:val="22"/>
        </w:rPr>
      </w:pPr>
      <w:r w:rsidRPr="006C0004">
        <w:rPr>
          <w:sz w:val="22"/>
          <w:szCs w:val="22"/>
        </w:rPr>
        <w:t>KPMG</w:t>
      </w:r>
      <w:r w:rsidR="002A227D" w:rsidRPr="006C0004">
        <w:rPr>
          <w:sz w:val="22"/>
          <w:szCs w:val="22"/>
        </w:rPr>
        <w:t xml:space="preserve"> LLP</w:t>
      </w:r>
    </w:p>
    <w:p w14:paraId="48B07F4B" w14:textId="77777777" w:rsidR="002A227D" w:rsidRPr="006C0004" w:rsidRDefault="006C0004" w:rsidP="002A227D">
      <w:pPr>
        <w:rPr>
          <w:sz w:val="22"/>
          <w:szCs w:val="22"/>
        </w:rPr>
      </w:pPr>
      <w:r w:rsidRPr="006C0004">
        <w:rPr>
          <w:sz w:val="22"/>
          <w:szCs w:val="22"/>
        </w:rPr>
        <w:t>319 St Vincent Street</w:t>
      </w:r>
    </w:p>
    <w:p w14:paraId="36104074" w14:textId="77777777" w:rsidR="002A227D" w:rsidRPr="006C0004" w:rsidRDefault="002A227D" w:rsidP="002A227D">
      <w:pPr>
        <w:rPr>
          <w:sz w:val="22"/>
          <w:szCs w:val="22"/>
        </w:rPr>
      </w:pPr>
      <w:r w:rsidRPr="006C0004">
        <w:rPr>
          <w:sz w:val="22"/>
          <w:szCs w:val="22"/>
        </w:rPr>
        <w:t xml:space="preserve">Glasgow </w:t>
      </w:r>
      <w:r w:rsidR="006C0004" w:rsidRPr="006C0004">
        <w:rPr>
          <w:sz w:val="22"/>
          <w:szCs w:val="22"/>
        </w:rPr>
        <w:t>G2 5AS</w:t>
      </w:r>
    </w:p>
    <w:p w14:paraId="288584AC" w14:textId="77777777" w:rsidR="00846112" w:rsidRDefault="00846112" w:rsidP="002A227D">
      <w:pPr>
        <w:rPr>
          <w:b/>
          <w:sz w:val="22"/>
          <w:szCs w:val="22"/>
        </w:rPr>
      </w:pPr>
    </w:p>
    <w:p w14:paraId="253F8EDB" w14:textId="77777777" w:rsidR="002A227D" w:rsidRPr="0025628B" w:rsidRDefault="00D01483" w:rsidP="002A227D">
      <w:pPr>
        <w:rPr>
          <w:b/>
          <w:sz w:val="22"/>
          <w:szCs w:val="22"/>
        </w:rPr>
      </w:pPr>
      <w:r>
        <w:rPr>
          <w:b/>
          <w:sz w:val="22"/>
          <w:szCs w:val="22"/>
        </w:rPr>
        <w:t>Banker</w:t>
      </w:r>
    </w:p>
    <w:tbl>
      <w:tblPr>
        <w:tblW w:w="0" w:type="auto"/>
        <w:tblInd w:w="-142" w:type="dxa"/>
        <w:tblLook w:val="0000" w:firstRow="0" w:lastRow="0" w:firstColumn="0" w:lastColumn="0" w:noHBand="0" w:noVBand="0"/>
      </w:tblPr>
      <w:tblGrid>
        <w:gridCol w:w="5290"/>
      </w:tblGrid>
      <w:tr w:rsidR="00C46A10" w:rsidRPr="0090776B" w14:paraId="11C5E8D2" w14:textId="77777777" w:rsidTr="00B61315">
        <w:trPr>
          <w:trHeight w:val="297"/>
        </w:trPr>
        <w:tc>
          <w:tcPr>
            <w:tcW w:w="5290" w:type="dxa"/>
          </w:tcPr>
          <w:p w14:paraId="12582F45" w14:textId="77777777" w:rsidR="002A227D" w:rsidRPr="0025628B" w:rsidRDefault="002A227D" w:rsidP="0024079A">
            <w:pPr>
              <w:ind w:left="33"/>
              <w:rPr>
                <w:sz w:val="22"/>
              </w:rPr>
            </w:pPr>
            <w:r w:rsidRPr="0025628B">
              <w:rPr>
                <w:sz w:val="22"/>
              </w:rPr>
              <w:t xml:space="preserve">Royal Bank of Scotland                                                         </w:t>
            </w:r>
          </w:p>
          <w:p w14:paraId="7C19F936" w14:textId="77777777" w:rsidR="002A227D" w:rsidRDefault="008614E0" w:rsidP="0024079A">
            <w:pPr>
              <w:ind w:left="33" w:hanging="33"/>
              <w:rPr>
                <w:sz w:val="22"/>
              </w:rPr>
            </w:pPr>
            <w:r>
              <w:rPr>
                <w:sz w:val="22"/>
              </w:rPr>
              <w:t>4</w:t>
            </w:r>
            <w:r w:rsidRPr="008614E0">
              <w:rPr>
                <w:sz w:val="22"/>
                <w:vertAlign w:val="superscript"/>
              </w:rPr>
              <w:t>th</w:t>
            </w:r>
            <w:r>
              <w:rPr>
                <w:sz w:val="22"/>
              </w:rPr>
              <w:t xml:space="preserve"> Floor</w:t>
            </w:r>
          </w:p>
          <w:p w14:paraId="3202667E" w14:textId="77777777" w:rsidR="008614E0" w:rsidRDefault="008614E0" w:rsidP="0024079A">
            <w:pPr>
              <w:ind w:left="33" w:hanging="33"/>
              <w:rPr>
                <w:sz w:val="22"/>
              </w:rPr>
            </w:pPr>
            <w:r>
              <w:rPr>
                <w:sz w:val="22"/>
              </w:rPr>
              <w:t>110 Queen Street</w:t>
            </w:r>
          </w:p>
          <w:p w14:paraId="393D6AF6" w14:textId="77777777" w:rsidR="008614E0" w:rsidRDefault="008614E0" w:rsidP="0024079A">
            <w:pPr>
              <w:ind w:left="33" w:hanging="33"/>
              <w:rPr>
                <w:sz w:val="22"/>
              </w:rPr>
            </w:pPr>
            <w:r>
              <w:rPr>
                <w:sz w:val="22"/>
              </w:rPr>
              <w:t>Glasgow</w:t>
            </w:r>
          </w:p>
          <w:p w14:paraId="486625D3" w14:textId="7C99DC88" w:rsidR="008614E0" w:rsidRPr="0090776B" w:rsidRDefault="008614E0" w:rsidP="0024079A">
            <w:pPr>
              <w:ind w:left="33" w:hanging="33"/>
              <w:rPr>
                <w:sz w:val="22"/>
              </w:rPr>
            </w:pPr>
            <w:r>
              <w:rPr>
                <w:sz w:val="22"/>
              </w:rPr>
              <w:t>G1 3BX</w:t>
            </w:r>
          </w:p>
        </w:tc>
      </w:tr>
    </w:tbl>
    <w:p w14:paraId="7081799B" w14:textId="77777777" w:rsidR="002A227D" w:rsidRPr="0090776B" w:rsidRDefault="002A227D" w:rsidP="002A227D">
      <w:pPr>
        <w:rPr>
          <w:sz w:val="22"/>
        </w:rPr>
      </w:pPr>
    </w:p>
    <w:p w14:paraId="32232DCA" w14:textId="77777777" w:rsidR="002A227D" w:rsidRPr="009C62BB" w:rsidRDefault="002A227D" w:rsidP="00930A5A">
      <w:pPr>
        <w:spacing w:after="200" w:line="276" w:lineRule="auto"/>
        <w:rPr>
          <w:b/>
          <w:sz w:val="22"/>
          <w:szCs w:val="22"/>
        </w:rPr>
      </w:pPr>
    </w:p>
    <w:sectPr w:rsidR="002A227D" w:rsidRPr="009C62BB" w:rsidSect="00100191">
      <w:pgSz w:w="11906" w:h="16838" w:code="9"/>
      <w:pgMar w:top="1418" w:right="1286" w:bottom="737"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2F0F" w14:textId="77777777" w:rsidR="005026D4" w:rsidRDefault="005026D4">
      <w:r>
        <w:separator/>
      </w:r>
    </w:p>
  </w:endnote>
  <w:endnote w:type="continuationSeparator" w:id="0">
    <w:p w14:paraId="75C58313" w14:textId="77777777" w:rsidR="005026D4" w:rsidRDefault="005026D4">
      <w:r>
        <w:continuationSeparator/>
      </w:r>
    </w:p>
  </w:endnote>
  <w:endnote w:type="continuationNotice" w:id="1">
    <w:p w14:paraId="4D07F944" w14:textId="77777777" w:rsidR="005026D4" w:rsidRDefault="00502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FS Me">
    <w:panose1 w:val="00000000000000000000"/>
    <w:charset w:val="00"/>
    <w:family w:val="modern"/>
    <w:notTrueType/>
    <w:pitch w:val="variable"/>
    <w:sig w:usb0="8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58D9" w14:textId="77777777" w:rsidR="001001EE" w:rsidRDefault="001001EE" w:rsidP="009A4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B6B6D" w14:textId="77777777" w:rsidR="001001EE" w:rsidRDefault="001001EE" w:rsidP="009A4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D29A2" w14:textId="77777777" w:rsidR="001001EE" w:rsidRPr="002F7C88" w:rsidRDefault="001001EE" w:rsidP="009A4EE5">
    <w:pPr>
      <w:pStyle w:val="Footer"/>
      <w:framePr w:wrap="around" w:vAnchor="text" w:hAnchor="margin" w:xAlign="center" w:y="1"/>
      <w:jc w:val="center"/>
      <w:rPr>
        <w:sz w:val="22"/>
        <w:szCs w:val="22"/>
      </w:rPr>
    </w:pPr>
    <w:r>
      <w:rPr>
        <w:noProof/>
        <w:sz w:val="22"/>
        <w:szCs w:val="22"/>
        <w:lang w:eastAsia="en-GB"/>
      </w:rPr>
      <mc:AlternateContent>
        <mc:Choice Requires="wps">
          <w:drawing>
            <wp:anchor distT="0" distB="0" distL="114300" distR="114300" simplePos="0" relativeHeight="251658240" behindDoc="0" locked="0" layoutInCell="0" allowOverlap="1" wp14:anchorId="7221770C" wp14:editId="08E10983">
              <wp:simplePos x="0" y="0"/>
              <wp:positionH relativeFrom="page">
                <wp:posOffset>0</wp:posOffset>
              </wp:positionH>
              <wp:positionV relativeFrom="page">
                <wp:posOffset>10234930</wp:posOffset>
              </wp:positionV>
              <wp:extent cx="7560310" cy="266700"/>
              <wp:effectExtent l="0" t="0" r="2540" b="4445"/>
              <wp:wrapNone/>
              <wp:docPr id="3" name="Text Box 3" descr="{&quot;HashCode&quot;:205147173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5840" w14:textId="77777777" w:rsidR="001001EE" w:rsidRPr="0083338E" w:rsidRDefault="001001EE" w:rsidP="0083338E">
                          <w:pPr>
                            <w:rPr>
                              <w:rFonts w:ascii="Calibri" w:hAnsi="Calibri"/>
                              <w:color w:val="000000"/>
                              <w:sz w:val="20"/>
                            </w:rPr>
                          </w:pPr>
                          <w:r w:rsidRPr="0083338E">
                            <w:rPr>
                              <w:rFonts w:ascii="Calibri" w:hAnsi="Calibri"/>
                              <w:color w:val="000000"/>
                              <w:sz w:val="20"/>
                            </w:rPr>
                            <w:t>Classified as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770C" id="_x0000_t202" coordsize="21600,21600" o:spt="202" path="m,l,21600r21600,l21600,xe">
              <v:stroke joinstyle="miter"/>
              <v:path gradientshapeok="t" o:connecttype="rect"/>
            </v:shapetype>
            <v:shape id="Text Box 3" o:spid="_x0000_s1026" type="#_x0000_t202" alt="{&quot;HashCode&quot;:2051471737,&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6m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" o:allowincell="f" filled="f" stroked="f">
              <v:textbox inset="20pt,0,,0">
                <w:txbxContent>
                  <w:p w14:paraId="6C215840" w14:textId="77777777" w:rsidR="001001EE" w:rsidRPr="0083338E" w:rsidRDefault="001001EE" w:rsidP="0083338E">
                    <w:pPr>
                      <w:rPr>
                        <w:rFonts w:ascii="Calibri" w:hAnsi="Calibri"/>
                        <w:color w:val="000000"/>
                        <w:sz w:val="20"/>
                      </w:rPr>
                    </w:pPr>
                    <w:r w:rsidRPr="0083338E">
                      <w:rPr>
                        <w:rFonts w:ascii="Calibri" w:hAnsi="Calibri"/>
                        <w:color w:val="000000"/>
                        <w:sz w:val="20"/>
                      </w:rPr>
                      <w:t>Classified as Internal</w:t>
                    </w:r>
                  </w:p>
                </w:txbxContent>
              </v:textbox>
              <w10:wrap anchorx="page" anchory="page"/>
            </v:shape>
          </w:pict>
        </mc:Fallback>
      </mc:AlternateContent>
    </w:r>
    <w:r w:rsidRPr="002F7C88">
      <w:rPr>
        <w:rStyle w:val="PageNumber"/>
        <w:sz w:val="22"/>
        <w:szCs w:val="22"/>
      </w:rPr>
      <w:fldChar w:fldCharType="begin"/>
    </w:r>
    <w:r w:rsidRPr="002F7C88">
      <w:rPr>
        <w:rStyle w:val="PageNumber"/>
        <w:sz w:val="22"/>
        <w:szCs w:val="22"/>
      </w:rPr>
      <w:instrText xml:space="preserve"> PAGE </w:instrText>
    </w:r>
    <w:r w:rsidRPr="002F7C88">
      <w:rPr>
        <w:rStyle w:val="PageNumber"/>
        <w:sz w:val="22"/>
        <w:szCs w:val="22"/>
      </w:rPr>
      <w:fldChar w:fldCharType="separate"/>
    </w:r>
    <w:r>
      <w:rPr>
        <w:rStyle w:val="PageNumber"/>
        <w:noProof/>
        <w:sz w:val="22"/>
        <w:szCs w:val="22"/>
      </w:rPr>
      <w:t>34</w:t>
    </w:r>
    <w:r w:rsidRPr="002F7C88">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93B8" w14:textId="77777777" w:rsidR="001001EE" w:rsidRDefault="001001EE">
    <w:pPr>
      <w:pStyle w:val="Footer"/>
    </w:pPr>
    <w:r>
      <w:rPr>
        <w:noProof/>
        <w:lang w:eastAsia="en-GB"/>
      </w:rPr>
      <mc:AlternateContent>
        <mc:Choice Requires="wps">
          <w:drawing>
            <wp:anchor distT="0" distB="0" distL="114300" distR="114300" simplePos="0" relativeHeight="251658241" behindDoc="0" locked="0" layoutInCell="0" allowOverlap="1" wp14:anchorId="3C36ADB3" wp14:editId="18B26DF8">
              <wp:simplePos x="0" y="0"/>
              <wp:positionH relativeFrom="page">
                <wp:posOffset>0</wp:posOffset>
              </wp:positionH>
              <wp:positionV relativeFrom="page">
                <wp:posOffset>10234930</wp:posOffset>
              </wp:positionV>
              <wp:extent cx="7560310" cy="266700"/>
              <wp:effectExtent l="0" t="0" r="2540" b="4445"/>
              <wp:wrapNone/>
              <wp:docPr id="2" name="Text Box 2" descr="{&quot;HashCode&quot;:2051471737,&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8C5F" w14:textId="264CA359" w:rsidR="001001EE" w:rsidRPr="0083338E" w:rsidRDefault="001001EE" w:rsidP="0083338E">
                          <w:pPr>
                            <w:rPr>
                              <w:rFonts w:ascii="Calibri" w:hAnsi="Calibri"/>
                              <w:color w:val="000000"/>
                              <w:sz w:val="2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6ADB3" id="_x0000_t202" coordsize="21600,21600" o:spt="202" path="m,l,21600r21600,l21600,xe">
              <v:stroke joinstyle="miter"/>
              <v:path gradientshapeok="t" o:connecttype="rect"/>
            </v:shapetype>
            <v:shape id="Text Box 2" o:spid="_x0000_s1027" type="#_x0000_t202" alt="{&quot;HashCode&quot;:2051471737,&quot;Height&quot;:841.0,&quot;Width&quot;:595.0,&quot;Placement&quot;:&quot;Footer&quot;,&quot;Index&quot;:&quot;FirstPage&quot;,&quot;Section&quot;:1,&quot;Top&quot;:0.0,&quot;Left&quot;:0.0}" style="position:absolute;margin-left:0;margin-top:805.9pt;width:595.3pt;height:2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" o:allowincell="f" filled="f" stroked="f">
              <v:textbox inset="20pt,0,,0">
                <w:txbxContent>
                  <w:p w14:paraId="78678C5F" w14:textId="264CA359" w:rsidR="001001EE" w:rsidRPr="0083338E" w:rsidRDefault="001001EE" w:rsidP="0083338E">
                    <w:pPr>
                      <w:rPr>
                        <w:rFonts w:ascii="Calibri" w:hAnsi="Calibri"/>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E6BD" w14:textId="5623F0E4" w:rsidR="001001EE" w:rsidRDefault="001001EE">
    <w:pPr>
      <w:pStyle w:val="Footer"/>
      <w:jc w:val="center"/>
    </w:pPr>
    <w:r>
      <w:rPr>
        <w:noProof/>
        <w:lang w:eastAsia="en-GB"/>
      </w:rPr>
      <mc:AlternateContent>
        <mc:Choice Requires="wps">
          <w:drawing>
            <wp:anchor distT="0" distB="0" distL="114300" distR="114300" simplePos="0" relativeHeight="251658242" behindDoc="0" locked="0" layoutInCell="0" allowOverlap="1" wp14:anchorId="10317094" wp14:editId="53B89B0E">
              <wp:simplePos x="0" y="0"/>
              <wp:positionH relativeFrom="page">
                <wp:posOffset>0</wp:posOffset>
              </wp:positionH>
              <wp:positionV relativeFrom="page">
                <wp:posOffset>10234930</wp:posOffset>
              </wp:positionV>
              <wp:extent cx="7560310" cy="266700"/>
              <wp:effectExtent l="0" t="0" r="2540" b="4445"/>
              <wp:wrapNone/>
              <wp:docPr id="1" name="Text Box 1" descr="{&quot;HashCode&quot;:2051471737,&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304B" w14:textId="5C738C96" w:rsidR="001001EE" w:rsidRPr="00A1632D" w:rsidRDefault="001001EE" w:rsidP="00A1632D">
                          <w:pPr>
                            <w:rPr>
                              <w:rFonts w:ascii="Calibri" w:hAnsi="Calibri"/>
                              <w:color w:val="000000"/>
                              <w:sz w:val="20"/>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7094" id="_x0000_t202" coordsize="21600,21600" o:spt="202" path="m,l,21600r21600,l21600,xe">
              <v:stroke joinstyle="miter"/>
              <v:path gradientshapeok="t" o:connecttype="rect"/>
            </v:shapetype>
            <v:shape id="Text Box 1" o:spid="_x0000_s1028" type="#_x0000_t202" alt="{&quot;HashCode&quot;:2051471737,&quot;Height&quot;:841.0,&quot;Width&quot;:595.0,&quot;Placement&quot;:&quot;Footer&quot;,&quot;Index&quot;:&quot;Primary&quot;,&quot;Section&quot;:2,&quot;Top&quot;:0.0,&quot;Left&quot;:0.0}" style="position:absolute;left:0;text-align:left;margin-left:0;margin-top:805.9pt;width:595.3pt;height:2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kR5QEAAKE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" o:allowincell="f" filled="f" stroked="f">
              <v:textbox inset="20pt,0,,0">
                <w:txbxContent>
                  <w:p w14:paraId="6C5C304B" w14:textId="5C738C96" w:rsidR="001001EE" w:rsidRPr="00A1632D" w:rsidRDefault="001001EE" w:rsidP="00A1632D">
                    <w:pPr>
                      <w:rPr>
                        <w:rFonts w:ascii="Calibri" w:hAnsi="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sidR="004D753B">
      <w:rPr>
        <w:noProof/>
      </w:rPr>
      <w:t>2</w:t>
    </w:r>
    <w:r>
      <w:rPr>
        <w:noProof/>
      </w:rPr>
      <w:fldChar w:fldCharType="end"/>
    </w:r>
  </w:p>
  <w:p w14:paraId="6A21CF54" w14:textId="77777777" w:rsidR="001001EE" w:rsidRDefault="00100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D82AE" w14:textId="77777777" w:rsidR="005026D4" w:rsidRDefault="005026D4">
      <w:r>
        <w:separator/>
      </w:r>
    </w:p>
  </w:footnote>
  <w:footnote w:type="continuationSeparator" w:id="0">
    <w:p w14:paraId="44373905" w14:textId="77777777" w:rsidR="005026D4" w:rsidRDefault="005026D4">
      <w:r>
        <w:continuationSeparator/>
      </w:r>
    </w:p>
  </w:footnote>
  <w:footnote w:type="continuationNotice" w:id="1">
    <w:p w14:paraId="519339CD" w14:textId="77777777" w:rsidR="005026D4" w:rsidRDefault="00502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7B20A" w14:textId="77777777" w:rsidR="001001EE" w:rsidRPr="00137577" w:rsidRDefault="001001EE" w:rsidP="00137577"/>
  <w:p w14:paraId="0435F58A" w14:textId="77777777" w:rsidR="001001EE" w:rsidRDefault="001001EE" w:rsidP="00EB1311">
    <w:pPr>
      <w:pStyle w:val="Heading2"/>
      <w:pBdr>
        <w:bottom w:val="single" w:sz="4" w:space="1" w:color="auto"/>
      </w:pBdr>
      <w:jc w:val="right"/>
      <w:rPr>
        <w:rFonts w:cs="Times New Roman"/>
        <w:b w:val="0"/>
        <w:sz w:val="20"/>
        <w:szCs w:val="20"/>
      </w:rPr>
    </w:pPr>
    <w:r>
      <w:rPr>
        <w:rFonts w:cs="Times New Roman"/>
        <w:b w:val="0"/>
        <w:sz w:val="20"/>
        <w:szCs w:val="20"/>
      </w:rPr>
      <w:t>The Glasgow Housing Association Limited</w:t>
    </w:r>
  </w:p>
  <w:p w14:paraId="251962AF" w14:textId="77777777" w:rsidR="001001EE" w:rsidRDefault="001001EE" w:rsidP="00EB1311">
    <w:pPr>
      <w:pStyle w:val="Heading2"/>
      <w:pBdr>
        <w:bottom w:val="single" w:sz="4" w:space="1" w:color="auto"/>
      </w:pBdr>
      <w:jc w:val="right"/>
      <w:rPr>
        <w:rFonts w:cs="Times New Roman"/>
        <w:b w:val="0"/>
        <w:sz w:val="20"/>
        <w:szCs w:val="20"/>
      </w:rPr>
    </w:pPr>
    <w:r>
      <w:rPr>
        <w:rFonts w:cs="Times New Roman"/>
        <w:b w:val="0"/>
        <w:sz w:val="20"/>
        <w:szCs w:val="20"/>
      </w:rPr>
      <w:t>Board Report and Financial Statements</w:t>
    </w:r>
  </w:p>
  <w:p w14:paraId="59EBAC37" w14:textId="77777777" w:rsidR="001001EE" w:rsidRPr="00137577" w:rsidRDefault="001001EE" w:rsidP="00EB1311">
    <w:pPr>
      <w:pStyle w:val="Heading2"/>
      <w:pBdr>
        <w:bottom w:val="single" w:sz="4" w:space="1" w:color="auto"/>
      </w:pBdr>
      <w:jc w:val="right"/>
      <w:rPr>
        <w:rFonts w:cs="Times New Roman"/>
        <w:b w:val="0"/>
        <w:sz w:val="20"/>
        <w:szCs w:val="20"/>
      </w:rPr>
    </w:pPr>
    <w:r>
      <w:rPr>
        <w:b w:val="0"/>
        <w:sz w:val="20"/>
        <w:szCs w:val="20"/>
      </w:rPr>
      <w:t>Year ended 31 March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C3D6" w14:textId="4EB92CC4" w:rsidR="001001EE" w:rsidRPr="0054686F" w:rsidRDefault="00FF5922" w:rsidP="00E3059D">
    <w:pPr>
      <w:pStyle w:val="Heading2"/>
      <w:pBdr>
        <w:bottom w:val="single" w:sz="4" w:space="1" w:color="auto"/>
      </w:pBdr>
      <w:jc w:val="right"/>
      <w:rPr>
        <w:rFonts w:cs="Times New Roman"/>
        <w:b w:val="0"/>
        <w:sz w:val="22"/>
        <w:szCs w:val="20"/>
      </w:rPr>
    </w:pPr>
    <w:r>
      <w:rPr>
        <w:rFonts w:cs="Times New Roman"/>
        <w:b w:val="0"/>
        <w:sz w:val="22"/>
        <w:szCs w:val="20"/>
      </w:rPr>
      <w:t>Wheatley Homes South</w:t>
    </w:r>
    <w:r w:rsidR="001001EE">
      <w:rPr>
        <w:rFonts w:cs="Times New Roman"/>
        <w:b w:val="0"/>
        <w:sz w:val="22"/>
        <w:szCs w:val="20"/>
      </w:rPr>
      <w:t xml:space="preserve"> </w:t>
    </w:r>
    <w:r w:rsidR="001001EE" w:rsidRPr="0054686F">
      <w:rPr>
        <w:rFonts w:cs="Times New Roman"/>
        <w:b w:val="0"/>
        <w:sz w:val="22"/>
        <w:szCs w:val="20"/>
      </w:rPr>
      <w:t xml:space="preserve">Limited </w:t>
    </w:r>
  </w:p>
  <w:p w14:paraId="2692B326" w14:textId="00D57593" w:rsidR="001001EE" w:rsidRPr="0054686F" w:rsidRDefault="001001EE" w:rsidP="00E3059D">
    <w:pPr>
      <w:pStyle w:val="Heading2"/>
      <w:pBdr>
        <w:bottom w:val="single" w:sz="4" w:space="1" w:color="auto"/>
      </w:pBdr>
      <w:jc w:val="right"/>
      <w:rPr>
        <w:rFonts w:cs="Times New Roman"/>
        <w:b w:val="0"/>
        <w:sz w:val="22"/>
        <w:szCs w:val="20"/>
      </w:rPr>
    </w:pPr>
    <w:r w:rsidRPr="0054686F">
      <w:rPr>
        <w:rFonts w:cs="Times New Roman"/>
        <w:b w:val="0"/>
        <w:sz w:val="22"/>
        <w:szCs w:val="20"/>
      </w:rPr>
      <w:t>Annual Report and Financial Statements</w:t>
    </w:r>
  </w:p>
  <w:p w14:paraId="64EF7A71" w14:textId="1EE23A50" w:rsidR="001001EE" w:rsidRPr="0054686F" w:rsidRDefault="001001EE" w:rsidP="0054686F">
    <w:pPr>
      <w:pStyle w:val="Heading2"/>
      <w:pBdr>
        <w:bottom w:val="single" w:sz="4" w:space="1" w:color="auto"/>
      </w:pBdr>
      <w:jc w:val="right"/>
      <w:rPr>
        <w:b w:val="0"/>
        <w:sz w:val="22"/>
        <w:szCs w:val="20"/>
      </w:rPr>
    </w:pPr>
    <w:r>
      <w:rPr>
        <w:b w:val="0"/>
        <w:sz w:val="22"/>
        <w:szCs w:val="20"/>
      </w:rPr>
      <w:t>Year ended 31 March 202</w:t>
    </w:r>
    <w:r w:rsidR="0091732E">
      <w:rPr>
        <w:b w:val="0"/>
        <w:sz w:val="22"/>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A58D9" w14:textId="77777777" w:rsidR="001001EE" w:rsidRDefault="00100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D420F" w14:textId="1899A116" w:rsidR="001001EE" w:rsidRPr="0054686F" w:rsidRDefault="000E5099" w:rsidP="00EB1311">
    <w:pPr>
      <w:pStyle w:val="Heading2"/>
      <w:pBdr>
        <w:bottom w:val="single" w:sz="4" w:space="1" w:color="auto"/>
      </w:pBdr>
      <w:jc w:val="right"/>
      <w:rPr>
        <w:rFonts w:cs="Times New Roman"/>
        <w:b w:val="0"/>
        <w:sz w:val="22"/>
        <w:szCs w:val="20"/>
      </w:rPr>
    </w:pPr>
    <w:r>
      <w:rPr>
        <w:rFonts w:cs="Times New Roman"/>
        <w:b w:val="0"/>
        <w:sz w:val="22"/>
        <w:szCs w:val="20"/>
      </w:rPr>
      <w:t>Wheatley Homes South</w:t>
    </w:r>
    <w:r w:rsidR="001001EE" w:rsidRPr="0054686F">
      <w:rPr>
        <w:rFonts w:cs="Times New Roman"/>
        <w:b w:val="0"/>
        <w:sz w:val="22"/>
        <w:szCs w:val="20"/>
      </w:rPr>
      <w:t xml:space="preserve"> Limited</w:t>
    </w:r>
  </w:p>
  <w:p w14:paraId="4C3BFCCF" w14:textId="58C58190" w:rsidR="001001EE" w:rsidRPr="0054686F" w:rsidRDefault="001001EE" w:rsidP="00EB1311">
    <w:pPr>
      <w:pStyle w:val="Heading2"/>
      <w:pBdr>
        <w:bottom w:val="single" w:sz="4" w:space="1" w:color="auto"/>
      </w:pBdr>
      <w:jc w:val="right"/>
      <w:rPr>
        <w:rFonts w:cs="Times New Roman"/>
        <w:b w:val="0"/>
        <w:sz w:val="22"/>
        <w:szCs w:val="20"/>
      </w:rPr>
    </w:pPr>
    <w:r w:rsidRPr="0054686F">
      <w:rPr>
        <w:rFonts w:cs="Times New Roman"/>
        <w:b w:val="0"/>
        <w:sz w:val="22"/>
        <w:szCs w:val="20"/>
      </w:rPr>
      <w:t>Annual Report and Financial Statements</w:t>
    </w:r>
  </w:p>
  <w:p w14:paraId="345E765A" w14:textId="39FBFE10" w:rsidR="001001EE" w:rsidRPr="0054686F" w:rsidRDefault="001001EE" w:rsidP="0054686F">
    <w:pPr>
      <w:pStyle w:val="Heading2"/>
      <w:pBdr>
        <w:bottom w:val="single" w:sz="4" w:space="1" w:color="auto"/>
      </w:pBdr>
      <w:jc w:val="right"/>
      <w:rPr>
        <w:b w:val="0"/>
        <w:sz w:val="22"/>
        <w:szCs w:val="20"/>
      </w:rPr>
    </w:pPr>
    <w:r>
      <w:rPr>
        <w:b w:val="0"/>
        <w:sz w:val="22"/>
        <w:szCs w:val="20"/>
      </w:rPr>
      <w:t>Year ended 31 March 202</w:t>
    </w:r>
    <w:r w:rsidR="00427070">
      <w:rPr>
        <w:b w:val="0"/>
        <w:sz w:val="22"/>
        <w:szCs w:val="2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6F37" w14:textId="77777777" w:rsidR="001001EE" w:rsidRDefault="001001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F38C" w14:textId="3C92F1F1" w:rsidR="001001EE" w:rsidRPr="0054686F" w:rsidRDefault="00C32E0F" w:rsidP="00797A06">
    <w:pPr>
      <w:pStyle w:val="Heading2"/>
      <w:pBdr>
        <w:bottom w:val="single" w:sz="4" w:space="1" w:color="auto"/>
      </w:pBdr>
      <w:jc w:val="right"/>
      <w:rPr>
        <w:rFonts w:cs="Times New Roman"/>
        <w:b w:val="0"/>
        <w:sz w:val="22"/>
        <w:szCs w:val="20"/>
      </w:rPr>
    </w:pPr>
    <w:r>
      <w:rPr>
        <w:rFonts w:cs="Times New Roman"/>
        <w:b w:val="0"/>
        <w:sz w:val="22"/>
        <w:szCs w:val="20"/>
      </w:rPr>
      <w:t>Wheatley Homes South</w:t>
    </w:r>
    <w:r w:rsidR="001001EE" w:rsidRPr="0054686F">
      <w:rPr>
        <w:rFonts w:cs="Times New Roman"/>
        <w:b w:val="0"/>
        <w:sz w:val="22"/>
        <w:szCs w:val="20"/>
      </w:rPr>
      <w:t xml:space="preserve"> Limited</w:t>
    </w:r>
  </w:p>
  <w:p w14:paraId="2DF60A9E" w14:textId="6C588044" w:rsidR="001001EE" w:rsidRPr="0054686F" w:rsidRDefault="001001EE" w:rsidP="00797A06">
    <w:pPr>
      <w:pStyle w:val="Heading2"/>
      <w:pBdr>
        <w:bottom w:val="single" w:sz="4" w:space="1" w:color="auto"/>
      </w:pBdr>
      <w:jc w:val="right"/>
      <w:rPr>
        <w:rFonts w:cs="Times New Roman"/>
        <w:b w:val="0"/>
        <w:sz w:val="22"/>
        <w:szCs w:val="20"/>
      </w:rPr>
    </w:pPr>
    <w:r w:rsidRPr="0054686F">
      <w:rPr>
        <w:rFonts w:cs="Times New Roman"/>
        <w:b w:val="0"/>
        <w:sz w:val="22"/>
        <w:szCs w:val="20"/>
      </w:rPr>
      <w:t>Annual Report and Financial Statements</w:t>
    </w:r>
  </w:p>
  <w:p w14:paraId="5302112F" w14:textId="33AEB477" w:rsidR="001001EE" w:rsidRPr="0054686F" w:rsidRDefault="001001EE" w:rsidP="00797A06">
    <w:pPr>
      <w:pStyle w:val="Heading2"/>
      <w:pBdr>
        <w:bottom w:val="single" w:sz="4" w:space="1" w:color="auto"/>
      </w:pBdr>
      <w:jc w:val="right"/>
      <w:rPr>
        <w:b w:val="0"/>
        <w:sz w:val="22"/>
        <w:szCs w:val="20"/>
      </w:rPr>
    </w:pPr>
    <w:r>
      <w:rPr>
        <w:b w:val="0"/>
        <w:sz w:val="22"/>
        <w:szCs w:val="20"/>
      </w:rPr>
      <w:t>Year ended 31 March 202</w:t>
    </w:r>
    <w:r w:rsidR="00427070">
      <w:rPr>
        <w:b w:val="0"/>
        <w:sz w:val="22"/>
        <w:szCs w:val="20"/>
      </w:rPr>
      <w:t>4</w:t>
    </w:r>
  </w:p>
  <w:p w14:paraId="115A2459" w14:textId="77777777" w:rsidR="001001EE" w:rsidRPr="00797A06" w:rsidRDefault="001001EE" w:rsidP="0079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464FA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F2C7D"/>
    <w:multiLevelType w:val="hybridMultilevel"/>
    <w:tmpl w:val="BEB4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F36AB"/>
    <w:multiLevelType w:val="hybridMultilevel"/>
    <w:tmpl w:val="DE8E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F258F"/>
    <w:multiLevelType w:val="hybridMultilevel"/>
    <w:tmpl w:val="5268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33B8"/>
    <w:multiLevelType w:val="hybridMultilevel"/>
    <w:tmpl w:val="D6E8FF28"/>
    <w:lvl w:ilvl="0" w:tplc="57724B38">
      <w:start w:val="1"/>
      <w:numFmt w:val="bullet"/>
      <w:lvlText w:val="■"/>
      <w:lvlJc w:val="left"/>
      <w:pPr>
        <w:tabs>
          <w:tab w:val="num" w:pos="990"/>
        </w:tabs>
        <w:ind w:left="913" w:hanging="283"/>
      </w:pPr>
      <w:rPr>
        <w:rFonts w:ascii="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AFA5256"/>
    <w:multiLevelType w:val="hybridMultilevel"/>
    <w:tmpl w:val="CF048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944E4B"/>
    <w:multiLevelType w:val="hybridMultilevel"/>
    <w:tmpl w:val="B15A7226"/>
    <w:lvl w:ilvl="0" w:tplc="08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1647540D"/>
    <w:multiLevelType w:val="hybridMultilevel"/>
    <w:tmpl w:val="9C9A6366"/>
    <w:lvl w:ilvl="0" w:tplc="C752238A">
      <w:start w:val="1"/>
      <w:numFmt w:val="bullet"/>
      <w:pStyle w:val="1point"/>
      <w:lvlText w:val=""/>
      <w:lvlJc w:val="left"/>
      <w:pPr>
        <w:tabs>
          <w:tab w:val="num" w:pos="360"/>
        </w:tabs>
        <w:ind w:left="0" w:firstLine="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51A56"/>
    <w:multiLevelType w:val="hybridMultilevel"/>
    <w:tmpl w:val="18A6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76CA3"/>
    <w:multiLevelType w:val="hybridMultilevel"/>
    <w:tmpl w:val="D6A8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07D71"/>
    <w:multiLevelType w:val="hybridMultilevel"/>
    <w:tmpl w:val="388233A2"/>
    <w:lvl w:ilvl="0" w:tplc="1560669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E7FFA"/>
    <w:multiLevelType w:val="hybridMultilevel"/>
    <w:tmpl w:val="F59E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7136D"/>
    <w:multiLevelType w:val="hybridMultilevel"/>
    <w:tmpl w:val="F728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22D36"/>
    <w:multiLevelType w:val="hybridMultilevel"/>
    <w:tmpl w:val="331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6288B"/>
    <w:multiLevelType w:val="hybridMultilevel"/>
    <w:tmpl w:val="3F9A7732"/>
    <w:lvl w:ilvl="0" w:tplc="57724B3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7B12B1"/>
    <w:multiLevelType w:val="multilevel"/>
    <w:tmpl w:val="5CF8FD02"/>
    <w:lvl w:ilvl="0">
      <w:start w:val="1"/>
      <w:numFmt w:val="lowerLetter"/>
      <w:pStyle w:val="LetteredFootnote"/>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40B47C9"/>
    <w:multiLevelType w:val="hybridMultilevel"/>
    <w:tmpl w:val="7E4C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A7466"/>
    <w:multiLevelType w:val="hybridMultilevel"/>
    <w:tmpl w:val="F6C201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73E87"/>
    <w:multiLevelType w:val="hybridMultilevel"/>
    <w:tmpl w:val="2892BC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71608D6"/>
    <w:multiLevelType w:val="hybridMultilevel"/>
    <w:tmpl w:val="44004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EB2A6A"/>
    <w:multiLevelType w:val="hybridMultilevel"/>
    <w:tmpl w:val="06E6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C1DD5"/>
    <w:multiLevelType w:val="multilevel"/>
    <w:tmpl w:val="78A61A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266C57"/>
    <w:multiLevelType w:val="hybridMultilevel"/>
    <w:tmpl w:val="06C4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045B1"/>
    <w:multiLevelType w:val="hybridMultilevel"/>
    <w:tmpl w:val="D8FEFFB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42740C8E"/>
    <w:multiLevelType w:val="hybridMultilevel"/>
    <w:tmpl w:val="88C0A7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42F14817"/>
    <w:multiLevelType w:val="hybridMultilevel"/>
    <w:tmpl w:val="E132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57E2FC8"/>
    <w:multiLevelType w:val="hybridMultilevel"/>
    <w:tmpl w:val="C72C7D0E"/>
    <w:lvl w:ilvl="0" w:tplc="80887900">
      <w:start w:val="1"/>
      <w:numFmt w:val="bullet"/>
      <w:pStyle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9AA4FA0"/>
    <w:multiLevelType w:val="hybridMultilevel"/>
    <w:tmpl w:val="C93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92E14"/>
    <w:multiLevelType w:val="hybridMultilevel"/>
    <w:tmpl w:val="7396E09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94935"/>
    <w:multiLevelType w:val="multilevel"/>
    <w:tmpl w:val="6C705FA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30" w15:restartNumberingAfterBreak="0">
    <w:nsid w:val="55403C04"/>
    <w:multiLevelType w:val="hybridMultilevel"/>
    <w:tmpl w:val="B60C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E30EA2"/>
    <w:multiLevelType w:val="hybridMultilevel"/>
    <w:tmpl w:val="373AFA4C"/>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6128F2"/>
    <w:multiLevelType w:val="hybridMultilevel"/>
    <w:tmpl w:val="F6C201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B50755"/>
    <w:multiLevelType w:val="hybridMultilevel"/>
    <w:tmpl w:val="D67CEA5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FB12A1"/>
    <w:multiLevelType w:val="multilevel"/>
    <w:tmpl w:val="B02886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F63474"/>
    <w:multiLevelType w:val="multilevel"/>
    <w:tmpl w:val="1FC2A0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6260BB"/>
    <w:multiLevelType w:val="hybridMultilevel"/>
    <w:tmpl w:val="77F0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40A14"/>
    <w:multiLevelType w:val="hybridMultilevel"/>
    <w:tmpl w:val="9BA8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3290C"/>
    <w:multiLevelType w:val="multilevel"/>
    <w:tmpl w:val="C86C6812"/>
    <w:lvl w:ilvl="0">
      <w:start w:val="1"/>
      <w:numFmt w:val="bullet"/>
      <w:lvlText w:val=""/>
      <w:lvlJc w:val="left"/>
      <w:pPr>
        <w:tabs>
          <w:tab w:val="num" w:pos="829"/>
        </w:tabs>
        <w:ind w:left="829" w:hanging="360"/>
      </w:pPr>
      <w:rPr>
        <w:rFonts w:ascii="Symbol" w:hAnsi="Symbol" w:hint="default"/>
        <w:sz w:val="20"/>
      </w:rPr>
    </w:lvl>
    <w:lvl w:ilvl="1" w:tentative="1">
      <w:start w:val="1"/>
      <w:numFmt w:val="bullet"/>
      <w:lvlText w:val=""/>
      <w:lvlJc w:val="left"/>
      <w:pPr>
        <w:tabs>
          <w:tab w:val="num" w:pos="1549"/>
        </w:tabs>
        <w:ind w:left="1549" w:hanging="360"/>
      </w:pPr>
      <w:rPr>
        <w:rFonts w:ascii="Symbol" w:hAnsi="Symbol" w:hint="default"/>
        <w:sz w:val="20"/>
      </w:rPr>
    </w:lvl>
    <w:lvl w:ilvl="2" w:tentative="1">
      <w:start w:val="1"/>
      <w:numFmt w:val="bullet"/>
      <w:lvlText w:val=""/>
      <w:lvlJc w:val="left"/>
      <w:pPr>
        <w:tabs>
          <w:tab w:val="num" w:pos="2269"/>
        </w:tabs>
        <w:ind w:left="2269" w:hanging="360"/>
      </w:pPr>
      <w:rPr>
        <w:rFonts w:ascii="Symbol" w:hAnsi="Symbol" w:hint="default"/>
        <w:sz w:val="20"/>
      </w:rPr>
    </w:lvl>
    <w:lvl w:ilvl="3" w:tentative="1">
      <w:start w:val="1"/>
      <w:numFmt w:val="bullet"/>
      <w:lvlText w:val=""/>
      <w:lvlJc w:val="left"/>
      <w:pPr>
        <w:tabs>
          <w:tab w:val="num" w:pos="2989"/>
        </w:tabs>
        <w:ind w:left="2989" w:hanging="360"/>
      </w:pPr>
      <w:rPr>
        <w:rFonts w:ascii="Symbol" w:hAnsi="Symbol" w:hint="default"/>
        <w:sz w:val="20"/>
      </w:rPr>
    </w:lvl>
    <w:lvl w:ilvl="4" w:tentative="1">
      <w:start w:val="1"/>
      <w:numFmt w:val="bullet"/>
      <w:lvlText w:val=""/>
      <w:lvlJc w:val="left"/>
      <w:pPr>
        <w:tabs>
          <w:tab w:val="num" w:pos="3709"/>
        </w:tabs>
        <w:ind w:left="3709" w:hanging="360"/>
      </w:pPr>
      <w:rPr>
        <w:rFonts w:ascii="Symbol" w:hAnsi="Symbol" w:hint="default"/>
        <w:sz w:val="20"/>
      </w:rPr>
    </w:lvl>
    <w:lvl w:ilvl="5" w:tentative="1">
      <w:start w:val="1"/>
      <w:numFmt w:val="bullet"/>
      <w:lvlText w:val=""/>
      <w:lvlJc w:val="left"/>
      <w:pPr>
        <w:tabs>
          <w:tab w:val="num" w:pos="4429"/>
        </w:tabs>
        <w:ind w:left="4429" w:hanging="360"/>
      </w:pPr>
      <w:rPr>
        <w:rFonts w:ascii="Symbol" w:hAnsi="Symbol" w:hint="default"/>
        <w:sz w:val="20"/>
      </w:rPr>
    </w:lvl>
    <w:lvl w:ilvl="6" w:tentative="1">
      <w:start w:val="1"/>
      <w:numFmt w:val="bullet"/>
      <w:lvlText w:val=""/>
      <w:lvlJc w:val="left"/>
      <w:pPr>
        <w:tabs>
          <w:tab w:val="num" w:pos="5149"/>
        </w:tabs>
        <w:ind w:left="5149" w:hanging="360"/>
      </w:pPr>
      <w:rPr>
        <w:rFonts w:ascii="Symbol" w:hAnsi="Symbol" w:hint="default"/>
        <w:sz w:val="20"/>
      </w:rPr>
    </w:lvl>
    <w:lvl w:ilvl="7" w:tentative="1">
      <w:start w:val="1"/>
      <w:numFmt w:val="bullet"/>
      <w:lvlText w:val=""/>
      <w:lvlJc w:val="left"/>
      <w:pPr>
        <w:tabs>
          <w:tab w:val="num" w:pos="5869"/>
        </w:tabs>
        <w:ind w:left="5869" w:hanging="360"/>
      </w:pPr>
      <w:rPr>
        <w:rFonts w:ascii="Symbol" w:hAnsi="Symbol" w:hint="default"/>
        <w:sz w:val="20"/>
      </w:rPr>
    </w:lvl>
    <w:lvl w:ilvl="8" w:tentative="1">
      <w:start w:val="1"/>
      <w:numFmt w:val="bullet"/>
      <w:lvlText w:val=""/>
      <w:lvlJc w:val="left"/>
      <w:pPr>
        <w:tabs>
          <w:tab w:val="num" w:pos="6589"/>
        </w:tabs>
        <w:ind w:left="6589" w:hanging="360"/>
      </w:pPr>
      <w:rPr>
        <w:rFonts w:ascii="Symbol" w:hAnsi="Symbol" w:hint="default"/>
        <w:sz w:val="20"/>
      </w:rPr>
    </w:lvl>
  </w:abstractNum>
  <w:abstractNum w:abstractNumId="39" w15:restartNumberingAfterBreak="0">
    <w:nsid w:val="7AA143CB"/>
    <w:multiLevelType w:val="hybridMultilevel"/>
    <w:tmpl w:val="EB96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22D11"/>
    <w:multiLevelType w:val="hybridMultilevel"/>
    <w:tmpl w:val="6220B98A"/>
    <w:lvl w:ilvl="0" w:tplc="02CE0302">
      <w:start w:val="2"/>
      <w:numFmt w:val="decimal"/>
      <w:pStyle w:val="Heading9"/>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316029872">
    <w:abstractNumId w:val="40"/>
  </w:num>
  <w:num w:numId="2" w16cid:durableId="19204038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64606">
    <w:abstractNumId w:val="0"/>
  </w:num>
  <w:num w:numId="4" w16cid:durableId="67681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2411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99670">
    <w:abstractNumId w:val="9"/>
  </w:num>
  <w:num w:numId="7" w16cid:durableId="686564623">
    <w:abstractNumId w:val="20"/>
  </w:num>
  <w:num w:numId="8" w16cid:durableId="1586839998">
    <w:abstractNumId w:val="32"/>
  </w:num>
  <w:num w:numId="9" w16cid:durableId="1303267993">
    <w:abstractNumId w:val="22"/>
  </w:num>
  <w:num w:numId="10" w16cid:durableId="242833570">
    <w:abstractNumId w:val="19"/>
  </w:num>
  <w:num w:numId="11" w16cid:durableId="311761642">
    <w:abstractNumId w:val="3"/>
  </w:num>
  <w:num w:numId="12" w16cid:durableId="1005010434">
    <w:abstractNumId w:val="18"/>
  </w:num>
  <w:num w:numId="13" w16cid:durableId="107505174">
    <w:abstractNumId w:val="36"/>
  </w:num>
  <w:num w:numId="14" w16cid:durableId="627664250">
    <w:abstractNumId w:val="14"/>
  </w:num>
  <w:num w:numId="15" w16cid:durableId="1079519900">
    <w:abstractNumId w:val="31"/>
  </w:num>
  <w:num w:numId="16" w16cid:durableId="1381250935">
    <w:abstractNumId w:val="1"/>
  </w:num>
  <w:num w:numId="17" w16cid:durableId="242953680">
    <w:abstractNumId w:val="33"/>
  </w:num>
  <w:num w:numId="18" w16cid:durableId="794640643">
    <w:abstractNumId w:val="25"/>
  </w:num>
  <w:num w:numId="19" w16cid:durableId="1330055871">
    <w:abstractNumId w:val="30"/>
  </w:num>
  <w:num w:numId="20" w16cid:durableId="1669746667">
    <w:abstractNumId w:val="12"/>
  </w:num>
  <w:num w:numId="21" w16cid:durableId="1010718719">
    <w:abstractNumId w:val="38"/>
  </w:num>
  <w:num w:numId="22" w16cid:durableId="731998602">
    <w:abstractNumId w:val="17"/>
  </w:num>
  <w:num w:numId="23" w16cid:durableId="409238317">
    <w:abstractNumId w:val="6"/>
  </w:num>
  <w:num w:numId="24" w16cid:durableId="873228721">
    <w:abstractNumId w:val="10"/>
  </w:num>
  <w:num w:numId="25" w16cid:durableId="65301839">
    <w:abstractNumId w:val="7"/>
  </w:num>
  <w:num w:numId="26" w16cid:durableId="1253977496">
    <w:abstractNumId w:val="39"/>
  </w:num>
  <w:num w:numId="27" w16cid:durableId="1467158400">
    <w:abstractNumId w:val="28"/>
  </w:num>
  <w:num w:numId="28" w16cid:durableId="1384400997">
    <w:abstractNumId w:val="34"/>
  </w:num>
  <w:num w:numId="29" w16cid:durableId="514346897">
    <w:abstractNumId w:val="35"/>
  </w:num>
  <w:num w:numId="30" w16cid:durableId="1098525110">
    <w:abstractNumId w:val="29"/>
  </w:num>
  <w:num w:numId="31" w16cid:durableId="1414006456">
    <w:abstractNumId w:val="21"/>
  </w:num>
  <w:num w:numId="32" w16cid:durableId="2113746983">
    <w:abstractNumId w:val="11"/>
  </w:num>
  <w:num w:numId="33" w16cid:durableId="1506942323">
    <w:abstractNumId w:val="5"/>
  </w:num>
  <w:num w:numId="34" w16cid:durableId="2051225805">
    <w:abstractNumId w:val="37"/>
  </w:num>
  <w:num w:numId="35" w16cid:durableId="94861112">
    <w:abstractNumId w:val="25"/>
  </w:num>
  <w:num w:numId="36" w16cid:durableId="223759914">
    <w:abstractNumId w:val="4"/>
  </w:num>
  <w:num w:numId="37" w16cid:durableId="1668171907">
    <w:abstractNumId w:val="2"/>
  </w:num>
  <w:num w:numId="38" w16cid:durableId="2098861285">
    <w:abstractNumId w:val="27"/>
  </w:num>
  <w:num w:numId="39" w16cid:durableId="510489998">
    <w:abstractNumId w:val="8"/>
  </w:num>
  <w:num w:numId="40" w16cid:durableId="770007494">
    <w:abstractNumId w:val="16"/>
  </w:num>
  <w:num w:numId="41" w16cid:durableId="2086105930">
    <w:abstractNumId w:val="13"/>
  </w:num>
  <w:num w:numId="42" w16cid:durableId="336273400">
    <w:abstractNumId w:val="23"/>
  </w:num>
  <w:num w:numId="43" w16cid:durableId="663672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1"/>
    <w:rsid w:val="00000043"/>
    <w:rsid w:val="00000061"/>
    <w:rsid w:val="0000018B"/>
    <w:rsid w:val="0000031C"/>
    <w:rsid w:val="00000A46"/>
    <w:rsid w:val="00000B0E"/>
    <w:rsid w:val="00000BB9"/>
    <w:rsid w:val="00000D57"/>
    <w:rsid w:val="000010CC"/>
    <w:rsid w:val="000010EB"/>
    <w:rsid w:val="00001BBF"/>
    <w:rsid w:val="00001C65"/>
    <w:rsid w:val="000023FF"/>
    <w:rsid w:val="00002613"/>
    <w:rsid w:val="00002895"/>
    <w:rsid w:val="00002BFA"/>
    <w:rsid w:val="00002D46"/>
    <w:rsid w:val="0000380B"/>
    <w:rsid w:val="00004C68"/>
    <w:rsid w:val="0000521F"/>
    <w:rsid w:val="00005557"/>
    <w:rsid w:val="00005746"/>
    <w:rsid w:val="000058B6"/>
    <w:rsid w:val="00005BDA"/>
    <w:rsid w:val="00005C18"/>
    <w:rsid w:val="00005D76"/>
    <w:rsid w:val="00005DF8"/>
    <w:rsid w:val="00005E70"/>
    <w:rsid w:val="000062CA"/>
    <w:rsid w:val="0000649A"/>
    <w:rsid w:val="000068B0"/>
    <w:rsid w:val="000068B7"/>
    <w:rsid w:val="000068DB"/>
    <w:rsid w:val="00006B09"/>
    <w:rsid w:val="00006B4F"/>
    <w:rsid w:val="00006FC7"/>
    <w:rsid w:val="00006FE0"/>
    <w:rsid w:val="00007241"/>
    <w:rsid w:val="0000752E"/>
    <w:rsid w:val="000076D6"/>
    <w:rsid w:val="00007739"/>
    <w:rsid w:val="00007751"/>
    <w:rsid w:val="000077DD"/>
    <w:rsid w:val="0000788F"/>
    <w:rsid w:val="0000792C"/>
    <w:rsid w:val="00007A34"/>
    <w:rsid w:val="00007A6E"/>
    <w:rsid w:val="00007C4A"/>
    <w:rsid w:val="00007D61"/>
    <w:rsid w:val="000100E9"/>
    <w:rsid w:val="000105A7"/>
    <w:rsid w:val="00010835"/>
    <w:rsid w:val="00010841"/>
    <w:rsid w:val="00010B64"/>
    <w:rsid w:val="00010BA6"/>
    <w:rsid w:val="00011736"/>
    <w:rsid w:val="00011E77"/>
    <w:rsid w:val="00011F1B"/>
    <w:rsid w:val="00011FF0"/>
    <w:rsid w:val="00012377"/>
    <w:rsid w:val="000123FB"/>
    <w:rsid w:val="00012480"/>
    <w:rsid w:val="0001268C"/>
    <w:rsid w:val="00012972"/>
    <w:rsid w:val="00012BF8"/>
    <w:rsid w:val="00012C47"/>
    <w:rsid w:val="00012C6B"/>
    <w:rsid w:val="00013158"/>
    <w:rsid w:val="00013186"/>
    <w:rsid w:val="000131A0"/>
    <w:rsid w:val="000134D1"/>
    <w:rsid w:val="00013CE4"/>
    <w:rsid w:val="00013DF0"/>
    <w:rsid w:val="0001400F"/>
    <w:rsid w:val="0001441C"/>
    <w:rsid w:val="0001493B"/>
    <w:rsid w:val="00014F8A"/>
    <w:rsid w:val="00015078"/>
    <w:rsid w:val="000158F1"/>
    <w:rsid w:val="00015AAF"/>
    <w:rsid w:val="00015CE8"/>
    <w:rsid w:val="00015CFB"/>
    <w:rsid w:val="00015F3C"/>
    <w:rsid w:val="00015FA7"/>
    <w:rsid w:val="00015FAB"/>
    <w:rsid w:val="00015FB2"/>
    <w:rsid w:val="00016339"/>
    <w:rsid w:val="0001674F"/>
    <w:rsid w:val="00017F4D"/>
    <w:rsid w:val="00017F9E"/>
    <w:rsid w:val="00017FBB"/>
    <w:rsid w:val="00020116"/>
    <w:rsid w:val="000202B4"/>
    <w:rsid w:val="00020CB0"/>
    <w:rsid w:val="000215D5"/>
    <w:rsid w:val="00021D05"/>
    <w:rsid w:val="0002208E"/>
    <w:rsid w:val="00022529"/>
    <w:rsid w:val="000226F8"/>
    <w:rsid w:val="000228C4"/>
    <w:rsid w:val="00022BD2"/>
    <w:rsid w:val="00023376"/>
    <w:rsid w:val="00023484"/>
    <w:rsid w:val="00023690"/>
    <w:rsid w:val="000236AE"/>
    <w:rsid w:val="00023948"/>
    <w:rsid w:val="00023FBB"/>
    <w:rsid w:val="00024023"/>
    <w:rsid w:val="00024779"/>
    <w:rsid w:val="000247EB"/>
    <w:rsid w:val="0002485D"/>
    <w:rsid w:val="00024864"/>
    <w:rsid w:val="0002487D"/>
    <w:rsid w:val="00024EFF"/>
    <w:rsid w:val="00025C4A"/>
    <w:rsid w:val="000260C2"/>
    <w:rsid w:val="00026467"/>
    <w:rsid w:val="00026536"/>
    <w:rsid w:val="00026659"/>
    <w:rsid w:val="00026777"/>
    <w:rsid w:val="00026790"/>
    <w:rsid w:val="000268E6"/>
    <w:rsid w:val="0002697A"/>
    <w:rsid w:val="00026AD1"/>
    <w:rsid w:val="00026B0F"/>
    <w:rsid w:val="00026D3D"/>
    <w:rsid w:val="00027D9E"/>
    <w:rsid w:val="00027E06"/>
    <w:rsid w:val="00030075"/>
    <w:rsid w:val="0003076A"/>
    <w:rsid w:val="000307CF"/>
    <w:rsid w:val="00030949"/>
    <w:rsid w:val="00030ADC"/>
    <w:rsid w:val="00030C04"/>
    <w:rsid w:val="00030E2F"/>
    <w:rsid w:val="000311B7"/>
    <w:rsid w:val="00031201"/>
    <w:rsid w:val="00031209"/>
    <w:rsid w:val="00031344"/>
    <w:rsid w:val="000313DD"/>
    <w:rsid w:val="00031E79"/>
    <w:rsid w:val="00032124"/>
    <w:rsid w:val="0003218A"/>
    <w:rsid w:val="000321B6"/>
    <w:rsid w:val="000323B5"/>
    <w:rsid w:val="0003293A"/>
    <w:rsid w:val="00032B19"/>
    <w:rsid w:val="00032E15"/>
    <w:rsid w:val="000333D6"/>
    <w:rsid w:val="0003357B"/>
    <w:rsid w:val="00033748"/>
    <w:rsid w:val="000338B5"/>
    <w:rsid w:val="000338F7"/>
    <w:rsid w:val="00033918"/>
    <w:rsid w:val="00033BF3"/>
    <w:rsid w:val="00033CE5"/>
    <w:rsid w:val="00033D19"/>
    <w:rsid w:val="00033DA8"/>
    <w:rsid w:val="00033DB3"/>
    <w:rsid w:val="000340E8"/>
    <w:rsid w:val="00034271"/>
    <w:rsid w:val="000347BC"/>
    <w:rsid w:val="00034863"/>
    <w:rsid w:val="00034B09"/>
    <w:rsid w:val="00034C33"/>
    <w:rsid w:val="0003502B"/>
    <w:rsid w:val="00035177"/>
    <w:rsid w:val="0003525A"/>
    <w:rsid w:val="000355E6"/>
    <w:rsid w:val="00035848"/>
    <w:rsid w:val="00035892"/>
    <w:rsid w:val="00035914"/>
    <w:rsid w:val="000359D4"/>
    <w:rsid w:val="00035B6D"/>
    <w:rsid w:val="00035CB9"/>
    <w:rsid w:val="00035D75"/>
    <w:rsid w:val="00035DAF"/>
    <w:rsid w:val="00035E2E"/>
    <w:rsid w:val="00035EEE"/>
    <w:rsid w:val="00035FBA"/>
    <w:rsid w:val="000360A0"/>
    <w:rsid w:val="00036378"/>
    <w:rsid w:val="000363E3"/>
    <w:rsid w:val="00036954"/>
    <w:rsid w:val="00037235"/>
    <w:rsid w:val="0003759F"/>
    <w:rsid w:val="00037A52"/>
    <w:rsid w:val="00037E5A"/>
    <w:rsid w:val="0004020C"/>
    <w:rsid w:val="00040277"/>
    <w:rsid w:val="000402BF"/>
    <w:rsid w:val="00040370"/>
    <w:rsid w:val="000403E9"/>
    <w:rsid w:val="0004071F"/>
    <w:rsid w:val="00040914"/>
    <w:rsid w:val="00040B84"/>
    <w:rsid w:val="00040E72"/>
    <w:rsid w:val="0004108C"/>
    <w:rsid w:val="0004143C"/>
    <w:rsid w:val="0004149C"/>
    <w:rsid w:val="0004157F"/>
    <w:rsid w:val="00041C81"/>
    <w:rsid w:val="00041DE9"/>
    <w:rsid w:val="00041EED"/>
    <w:rsid w:val="000421F7"/>
    <w:rsid w:val="0004296D"/>
    <w:rsid w:val="00042ECF"/>
    <w:rsid w:val="0004302D"/>
    <w:rsid w:val="00043263"/>
    <w:rsid w:val="000432B9"/>
    <w:rsid w:val="00043317"/>
    <w:rsid w:val="00043425"/>
    <w:rsid w:val="0004379E"/>
    <w:rsid w:val="00043984"/>
    <w:rsid w:val="000439A1"/>
    <w:rsid w:val="00043A64"/>
    <w:rsid w:val="00044049"/>
    <w:rsid w:val="000446C6"/>
    <w:rsid w:val="00044C3A"/>
    <w:rsid w:val="00044E1A"/>
    <w:rsid w:val="00045357"/>
    <w:rsid w:val="00045809"/>
    <w:rsid w:val="000458D3"/>
    <w:rsid w:val="00045F78"/>
    <w:rsid w:val="000460C7"/>
    <w:rsid w:val="000461C9"/>
    <w:rsid w:val="00046446"/>
    <w:rsid w:val="00046585"/>
    <w:rsid w:val="00046899"/>
    <w:rsid w:val="00046BE0"/>
    <w:rsid w:val="00046E5A"/>
    <w:rsid w:val="00047338"/>
    <w:rsid w:val="0004739F"/>
    <w:rsid w:val="00047404"/>
    <w:rsid w:val="00047859"/>
    <w:rsid w:val="000479F8"/>
    <w:rsid w:val="00047F86"/>
    <w:rsid w:val="00050193"/>
    <w:rsid w:val="0005033C"/>
    <w:rsid w:val="00050439"/>
    <w:rsid w:val="0005078B"/>
    <w:rsid w:val="00050D69"/>
    <w:rsid w:val="00051557"/>
    <w:rsid w:val="000518E7"/>
    <w:rsid w:val="00051B94"/>
    <w:rsid w:val="000521F9"/>
    <w:rsid w:val="00052276"/>
    <w:rsid w:val="0005235A"/>
    <w:rsid w:val="000524E3"/>
    <w:rsid w:val="00052C80"/>
    <w:rsid w:val="00052EA7"/>
    <w:rsid w:val="00052F6B"/>
    <w:rsid w:val="0005335E"/>
    <w:rsid w:val="00053385"/>
    <w:rsid w:val="00053869"/>
    <w:rsid w:val="000538D1"/>
    <w:rsid w:val="00053B33"/>
    <w:rsid w:val="00053F18"/>
    <w:rsid w:val="0005474F"/>
    <w:rsid w:val="0005492F"/>
    <w:rsid w:val="00054969"/>
    <w:rsid w:val="00054A33"/>
    <w:rsid w:val="00054B2F"/>
    <w:rsid w:val="00054C14"/>
    <w:rsid w:val="00054D47"/>
    <w:rsid w:val="00054F37"/>
    <w:rsid w:val="0005545C"/>
    <w:rsid w:val="00055957"/>
    <w:rsid w:val="000563FC"/>
    <w:rsid w:val="00056423"/>
    <w:rsid w:val="00056517"/>
    <w:rsid w:val="00056755"/>
    <w:rsid w:val="00056A6A"/>
    <w:rsid w:val="00056BF7"/>
    <w:rsid w:val="00056DFB"/>
    <w:rsid w:val="00057594"/>
    <w:rsid w:val="000575FE"/>
    <w:rsid w:val="000576DF"/>
    <w:rsid w:val="00057741"/>
    <w:rsid w:val="00057854"/>
    <w:rsid w:val="00057B13"/>
    <w:rsid w:val="00057C13"/>
    <w:rsid w:val="00057D83"/>
    <w:rsid w:val="000602A6"/>
    <w:rsid w:val="00060860"/>
    <w:rsid w:val="00061171"/>
    <w:rsid w:val="000617CD"/>
    <w:rsid w:val="000619DD"/>
    <w:rsid w:val="000619F8"/>
    <w:rsid w:val="00061B12"/>
    <w:rsid w:val="00061C48"/>
    <w:rsid w:val="00062038"/>
    <w:rsid w:val="000620A2"/>
    <w:rsid w:val="00062126"/>
    <w:rsid w:val="00062242"/>
    <w:rsid w:val="00062A53"/>
    <w:rsid w:val="00063677"/>
    <w:rsid w:val="000636EE"/>
    <w:rsid w:val="0006375E"/>
    <w:rsid w:val="00063B94"/>
    <w:rsid w:val="00064079"/>
    <w:rsid w:val="000640DF"/>
    <w:rsid w:val="00064466"/>
    <w:rsid w:val="000645C0"/>
    <w:rsid w:val="00064760"/>
    <w:rsid w:val="0006476E"/>
    <w:rsid w:val="00064E84"/>
    <w:rsid w:val="00065525"/>
    <w:rsid w:val="00065687"/>
    <w:rsid w:val="00065995"/>
    <w:rsid w:val="00065AE4"/>
    <w:rsid w:val="00065E1E"/>
    <w:rsid w:val="00065E8D"/>
    <w:rsid w:val="00065FC7"/>
    <w:rsid w:val="00066138"/>
    <w:rsid w:val="00066167"/>
    <w:rsid w:val="00066650"/>
    <w:rsid w:val="00066995"/>
    <w:rsid w:val="00066D1E"/>
    <w:rsid w:val="00066E93"/>
    <w:rsid w:val="0006725D"/>
    <w:rsid w:val="00067345"/>
    <w:rsid w:val="000676F5"/>
    <w:rsid w:val="0006775E"/>
    <w:rsid w:val="000677E1"/>
    <w:rsid w:val="00067923"/>
    <w:rsid w:val="000679F6"/>
    <w:rsid w:val="00067A04"/>
    <w:rsid w:val="00067A81"/>
    <w:rsid w:val="00067BAC"/>
    <w:rsid w:val="00067E0E"/>
    <w:rsid w:val="00067E9B"/>
    <w:rsid w:val="00067FB1"/>
    <w:rsid w:val="000701DF"/>
    <w:rsid w:val="0007028B"/>
    <w:rsid w:val="00070352"/>
    <w:rsid w:val="00070416"/>
    <w:rsid w:val="00070672"/>
    <w:rsid w:val="0007086B"/>
    <w:rsid w:val="00070A3D"/>
    <w:rsid w:val="00070ABD"/>
    <w:rsid w:val="0007108D"/>
    <w:rsid w:val="000716D4"/>
    <w:rsid w:val="00071AB4"/>
    <w:rsid w:val="00071EEA"/>
    <w:rsid w:val="000721EA"/>
    <w:rsid w:val="00072357"/>
    <w:rsid w:val="00072386"/>
    <w:rsid w:val="0007247C"/>
    <w:rsid w:val="00072866"/>
    <w:rsid w:val="00072D03"/>
    <w:rsid w:val="000731A8"/>
    <w:rsid w:val="00073633"/>
    <w:rsid w:val="00073758"/>
    <w:rsid w:val="00073B87"/>
    <w:rsid w:val="00073BE8"/>
    <w:rsid w:val="000742B5"/>
    <w:rsid w:val="0007474A"/>
    <w:rsid w:val="0007501B"/>
    <w:rsid w:val="0007546C"/>
    <w:rsid w:val="00075FC3"/>
    <w:rsid w:val="0007618F"/>
    <w:rsid w:val="00076246"/>
    <w:rsid w:val="000764C6"/>
    <w:rsid w:val="0007656D"/>
    <w:rsid w:val="00076B1D"/>
    <w:rsid w:val="00076BAE"/>
    <w:rsid w:val="00076D61"/>
    <w:rsid w:val="00077095"/>
    <w:rsid w:val="00077157"/>
    <w:rsid w:val="0007718F"/>
    <w:rsid w:val="000776A6"/>
    <w:rsid w:val="000776E7"/>
    <w:rsid w:val="00077972"/>
    <w:rsid w:val="00080265"/>
    <w:rsid w:val="000802F0"/>
    <w:rsid w:val="000803B8"/>
    <w:rsid w:val="000804E2"/>
    <w:rsid w:val="0008091E"/>
    <w:rsid w:val="00080D37"/>
    <w:rsid w:val="00080FBA"/>
    <w:rsid w:val="00081518"/>
    <w:rsid w:val="00081AF7"/>
    <w:rsid w:val="00081B49"/>
    <w:rsid w:val="00081DD7"/>
    <w:rsid w:val="00081EE9"/>
    <w:rsid w:val="0008204E"/>
    <w:rsid w:val="000823B1"/>
    <w:rsid w:val="000829CB"/>
    <w:rsid w:val="00082E41"/>
    <w:rsid w:val="00082EB5"/>
    <w:rsid w:val="0008303B"/>
    <w:rsid w:val="000833A1"/>
    <w:rsid w:val="00083771"/>
    <w:rsid w:val="00083931"/>
    <w:rsid w:val="000839E3"/>
    <w:rsid w:val="00083A81"/>
    <w:rsid w:val="0008407F"/>
    <w:rsid w:val="00084303"/>
    <w:rsid w:val="000846C2"/>
    <w:rsid w:val="00084708"/>
    <w:rsid w:val="00084E1E"/>
    <w:rsid w:val="00084E2C"/>
    <w:rsid w:val="000850F1"/>
    <w:rsid w:val="000855E2"/>
    <w:rsid w:val="000857F7"/>
    <w:rsid w:val="0008599C"/>
    <w:rsid w:val="00085DFA"/>
    <w:rsid w:val="00086204"/>
    <w:rsid w:val="00086283"/>
    <w:rsid w:val="000866C8"/>
    <w:rsid w:val="00086A6F"/>
    <w:rsid w:val="00086B0F"/>
    <w:rsid w:val="00086C30"/>
    <w:rsid w:val="00086EA4"/>
    <w:rsid w:val="00086FF9"/>
    <w:rsid w:val="0008714F"/>
    <w:rsid w:val="000873A7"/>
    <w:rsid w:val="000873E3"/>
    <w:rsid w:val="000877D7"/>
    <w:rsid w:val="000878A8"/>
    <w:rsid w:val="0008795E"/>
    <w:rsid w:val="00087A12"/>
    <w:rsid w:val="00087A76"/>
    <w:rsid w:val="00087B14"/>
    <w:rsid w:val="00087F99"/>
    <w:rsid w:val="000900EA"/>
    <w:rsid w:val="00090122"/>
    <w:rsid w:val="000909F8"/>
    <w:rsid w:val="00090B95"/>
    <w:rsid w:val="00090FDE"/>
    <w:rsid w:val="00090FE7"/>
    <w:rsid w:val="0009133A"/>
    <w:rsid w:val="0009163A"/>
    <w:rsid w:val="000916A1"/>
    <w:rsid w:val="0009179F"/>
    <w:rsid w:val="000919D9"/>
    <w:rsid w:val="00091BAD"/>
    <w:rsid w:val="00091BD2"/>
    <w:rsid w:val="00091CA8"/>
    <w:rsid w:val="0009240B"/>
    <w:rsid w:val="00092469"/>
    <w:rsid w:val="000924A3"/>
    <w:rsid w:val="0009267F"/>
    <w:rsid w:val="00092B26"/>
    <w:rsid w:val="00092BE8"/>
    <w:rsid w:val="00092D36"/>
    <w:rsid w:val="00092F03"/>
    <w:rsid w:val="000931C6"/>
    <w:rsid w:val="000935A3"/>
    <w:rsid w:val="00093906"/>
    <w:rsid w:val="00094145"/>
    <w:rsid w:val="000941BF"/>
    <w:rsid w:val="000943D9"/>
    <w:rsid w:val="000943F8"/>
    <w:rsid w:val="00094DBE"/>
    <w:rsid w:val="000954B2"/>
    <w:rsid w:val="00095596"/>
    <w:rsid w:val="000957EA"/>
    <w:rsid w:val="00095AE3"/>
    <w:rsid w:val="0009602F"/>
    <w:rsid w:val="00096031"/>
    <w:rsid w:val="000964A8"/>
    <w:rsid w:val="00096706"/>
    <w:rsid w:val="00096A0E"/>
    <w:rsid w:val="00096BD3"/>
    <w:rsid w:val="00096C34"/>
    <w:rsid w:val="00096E64"/>
    <w:rsid w:val="00097016"/>
    <w:rsid w:val="0009707A"/>
    <w:rsid w:val="0009724B"/>
    <w:rsid w:val="000974D1"/>
    <w:rsid w:val="0009773C"/>
    <w:rsid w:val="0009774D"/>
    <w:rsid w:val="000977B1"/>
    <w:rsid w:val="000977B2"/>
    <w:rsid w:val="00097BDB"/>
    <w:rsid w:val="00097D31"/>
    <w:rsid w:val="00097F22"/>
    <w:rsid w:val="000A00C6"/>
    <w:rsid w:val="000A03A4"/>
    <w:rsid w:val="000A06FA"/>
    <w:rsid w:val="000A0B23"/>
    <w:rsid w:val="000A0CA8"/>
    <w:rsid w:val="000A0D1E"/>
    <w:rsid w:val="000A0DF4"/>
    <w:rsid w:val="000A0DF7"/>
    <w:rsid w:val="000A161B"/>
    <w:rsid w:val="000A1B62"/>
    <w:rsid w:val="000A1F42"/>
    <w:rsid w:val="000A203F"/>
    <w:rsid w:val="000A2280"/>
    <w:rsid w:val="000A2419"/>
    <w:rsid w:val="000A2578"/>
    <w:rsid w:val="000A2A00"/>
    <w:rsid w:val="000A2E75"/>
    <w:rsid w:val="000A2F6E"/>
    <w:rsid w:val="000A2FCF"/>
    <w:rsid w:val="000A31A8"/>
    <w:rsid w:val="000A3426"/>
    <w:rsid w:val="000A36A0"/>
    <w:rsid w:val="000A374B"/>
    <w:rsid w:val="000A3A00"/>
    <w:rsid w:val="000A3A9A"/>
    <w:rsid w:val="000A3F2C"/>
    <w:rsid w:val="000A4253"/>
    <w:rsid w:val="000A489E"/>
    <w:rsid w:val="000A48E2"/>
    <w:rsid w:val="000A4E65"/>
    <w:rsid w:val="000A5240"/>
    <w:rsid w:val="000A538B"/>
    <w:rsid w:val="000A56A8"/>
    <w:rsid w:val="000A57B9"/>
    <w:rsid w:val="000A5A51"/>
    <w:rsid w:val="000A5B7D"/>
    <w:rsid w:val="000A5C79"/>
    <w:rsid w:val="000A64BC"/>
    <w:rsid w:val="000A65C0"/>
    <w:rsid w:val="000A6678"/>
    <w:rsid w:val="000A67DF"/>
    <w:rsid w:val="000A684B"/>
    <w:rsid w:val="000A6870"/>
    <w:rsid w:val="000A6BDE"/>
    <w:rsid w:val="000A6C68"/>
    <w:rsid w:val="000A7086"/>
    <w:rsid w:val="000A71C9"/>
    <w:rsid w:val="000A7558"/>
    <w:rsid w:val="000A7614"/>
    <w:rsid w:val="000A77EF"/>
    <w:rsid w:val="000A7D18"/>
    <w:rsid w:val="000A7FA9"/>
    <w:rsid w:val="000B009D"/>
    <w:rsid w:val="000B08B3"/>
    <w:rsid w:val="000B091A"/>
    <w:rsid w:val="000B0BE8"/>
    <w:rsid w:val="000B10F8"/>
    <w:rsid w:val="000B1348"/>
    <w:rsid w:val="000B148E"/>
    <w:rsid w:val="000B1872"/>
    <w:rsid w:val="000B191A"/>
    <w:rsid w:val="000B193F"/>
    <w:rsid w:val="000B2255"/>
    <w:rsid w:val="000B2668"/>
    <w:rsid w:val="000B283E"/>
    <w:rsid w:val="000B3127"/>
    <w:rsid w:val="000B3352"/>
    <w:rsid w:val="000B3607"/>
    <w:rsid w:val="000B3A1D"/>
    <w:rsid w:val="000B3A6A"/>
    <w:rsid w:val="000B3BD8"/>
    <w:rsid w:val="000B3CC0"/>
    <w:rsid w:val="000B3EBC"/>
    <w:rsid w:val="000B42CD"/>
    <w:rsid w:val="000B43B3"/>
    <w:rsid w:val="000B440C"/>
    <w:rsid w:val="000B44B7"/>
    <w:rsid w:val="000B4685"/>
    <w:rsid w:val="000B477F"/>
    <w:rsid w:val="000B4799"/>
    <w:rsid w:val="000B4894"/>
    <w:rsid w:val="000B4920"/>
    <w:rsid w:val="000B4AA7"/>
    <w:rsid w:val="000B4EBB"/>
    <w:rsid w:val="000B5112"/>
    <w:rsid w:val="000B5432"/>
    <w:rsid w:val="000B58FE"/>
    <w:rsid w:val="000B5CF5"/>
    <w:rsid w:val="000B5D3C"/>
    <w:rsid w:val="000B5FED"/>
    <w:rsid w:val="000B6333"/>
    <w:rsid w:val="000B66B8"/>
    <w:rsid w:val="000B6D9C"/>
    <w:rsid w:val="000B6E45"/>
    <w:rsid w:val="000B726B"/>
    <w:rsid w:val="000B732C"/>
    <w:rsid w:val="000B736F"/>
    <w:rsid w:val="000B7998"/>
    <w:rsid w:val="000B7AE9"/>
    <w:rsid w:val="000B7B07"/>
    <w:rsid w:val="000B7BB4"/>
    <w:rsid w:val="000C00FF"/>
    <w:rsid w:val="000C0600"/>
    <w:rsid w:val="000C0AAE"/>
    <w:rsid w:val="000C0C9B"/>
    <w:rsid w:val="000C0CDF"/>
    <w:rsid w:val="000C0D73"/>
    <w:rsid w:val="000C0E31"/>
    <w:rsid w:val="000C0EBC"/>
    <w:rsid w:val="000C1098"/>
    <w:rsid w:val="000C1223"/>
    <w:rsid w:val="000C1363"/>
    <w:rsid w:val="000C1367"/>
    <w:rsid w:val="000C1552"/>
    <w:rsid w:val="000C18A7"/>
    <w:rsid w:val="000C1B0D"/>
    <w:rsid w:val="000C21F7"/>
    <w:rsid w:val="000C2570"/>
    <w:rsid w:val="000C2698"/>
    <w:rsid w:val="000C29D4"/>
    <w:rsid w:val="000C2B47"/>
    <w:rsid w:val="000C2C5D"/>
    <w:rsid w:val="000C2F2C"/>
    <w:rsid w:val="000C325A"/>
    <w:rsid w:val="000C3303"/>
    <w:rsid w:val="000C346B"/>
    <w:rsid w:val="000C3745"/>
    <w:rsid w:val="000C42B4"/>
    <w:rsid w:val="000C4445"/>
    <w:rsid w:val="000C44E3"/>
    <w:rsid w:val="000C474C"/>
    <w:rsid w:val="000C4914"/>
    <w:rsid w:val="000C4B8C"/>
    <w:rsid w:val="000C4DDC"/>
    <w:rsid w:val="000C522D"/>
    <w:rsid w:val="000C5585"/>
    <w:rsid w:val="000C56B8"/>
    <w:rsid w:val="000C5724"/>
    <w:rsid w:val="000C595B"/>
    <w:rsid w:val="000C5D2D"/>
    <w:rsid w:val="000C62AD"/>
    <w:rsid w:val="000C679B"/>
    <w:rsid w:val="000C6BCA"/>
    <w:rsid w:val="000C6CC0"/>
    <w:rsid w:val="000C6F05"/>
    <w:rsid w:val="000C7516"/>
    <w:rsid w:val="000C77AC"/>
    <w:rsid w:val="000C7817"/>
    <w:rsid w:val="000C79F4"/>
    <w:rsid w:val="000C7CBF"/>
    <w:rsid w:val="000D0359"/>
    <w:rsid w:val="000D04D7"/>
    <w:rsid w:val="000D0639"/>
    <w:rsid w:val="000D0C6B"/>
    <w:rsid w:val="000D0C71"/>
    <w:rsid w:val="000D0F5D"/>
    <w:rsid w:val="000D1450"/>
    <w:rsid w:val="000D1862"/>
    <w:rsid w:val="000D2151"/>
    <w:rsid w:val="000D216F"/>
    <w:rsid w:val="000D22B2"/>
    <w:rsid w:val="000D25F0"/>
    <w:rsid w:val="000D26BF"/>
    <w:rsid w:val="000D2A02"/>
    <w:rsid w:val="000D2BB5"/>
    <w:rsid w:val="000D2E31"/>
    <w:rsid w:val="000D327F"/>
    <w:rsid w:val="000D3285"/>
    <w:rsid w:val="000D3F80"/>
    <w:rsid w:val="000D4273"/>
    <w:rsid w:val="000D4335"/>
    <w:rsid w:val="000D441D"/>
    <w:rsid w:val="000D50BC"/>
    <w:rsid w:val="000D50E9"/>
    <w:rsid w:val="000D5223"/>
    <w:rsid w:val="000D54F7"/>
    <w:rsid w:val="000D55E2"/>
    <w:rsid w:val="000D56AD"/>
    <w:rsid w:val="000D5DE5"/>
    <w:rsid w:val="000D61E8"/>
    <w:rsid w:val="000D6948"/>
    <w:rsid w:val="000D6A61"/>
    <w:rsid w:val="000D6B74"/>
    <w:rsid w:val="000D6B95"/>
    <w:rsid w:val="000D6B9A"/>
    <w:rsid w:val="000D6E61"/>
    <w:rsid w:val="000D7E14"/>
    <w:rsid w:val="000D7FD5"/>
    <w:rsid w:val="000E0293"/>
    <w:rsid w:val="000E02B1"/>
    <w:rsid w:val="000E08BE"/>
    <w:rsid w:val="000E0C2D"/>
    <w:rsid w:val="000E0D5B"/>
    <w:rsid w:val="000E0E8E"/>
    <w:rsid w:val="000E0FC4"/>
    <w:rsid w:val="000E1151"/>
    <w:rsid w:val="000E179B"/>
    <w:rsid w:val="000E1A9B"/>
    <w:rsid w:val="000E1B76"/>
    <w:rsid w:val="000E1D22"/>
    <w:rsid w:val="000E1DC0"/>
    <w:rsid w:val="000E1F05"/>
    <w:rsid w:val="000E1F7C"/>
    <w:rsid w:val="000E21E7"/>
    <w:rsid w:val="000E22F0"/>
    <w:rsid w:val="000E2692"/>
    <w:rsid w:val="000E2715"/>
    <w:rsid w:val="000E2833"/>
    <w:rsid w:val="000E2950"/>
    <w:rsid w:val="000E30A2"/>
    <w:rsid w:val="000E3203"/>
    <w:rsid w:val="000E3257"/>
    <w:rsid w:val="000E32A6"/>
    <w:rsid w:val="000E3640"/>
    <w:rsid w:val="000E36C8"/>
    <w:rsid w:val="000E36F5"/>
    <w:rsid w:val="000E37F7"/>
    <w:rsid w:val="000E3890"/>
    <w:rsid w:val="000E38C4"/>
    <w:rsid w:val="000E3978"/>
    <w:rsid w:val="000E3DEC"/>
    <w:rsid w:val="000E3E75"/>
    <w:rsid w:val="000E408B"/>
    <w:rsid w:val="000E418F"/>
    <w:rsid w:val="000E4191"/>
    <w:rsid w:val="000E4332"/>
    <w:rsid w:val="000E43C3"/>
    <w:rsid w:val="000E4A5A"/>
    <w:rsid w:val="000E4DF8"/>
    <w:rsid w:val="000E4E0F"/>
    <w:rsid w:val="000E4F13"/>
    <w:rsid w:val="000E5099"/>
    <w:rsid w:val="000E5472"/>
    <w:rsid w:val="000E5558"/>
    <w:rsid w:val="000E5639"/>
    <w:rsid w:val="000E5C20"/>
    <w:rsid w:val="000E5DD8"/>
    <w:rsid w:val="000E613B"/>
    <w:rsid w:val="000E617D"/>
    <w:rsid w:val="000E6587"/>
    <w:rsid w:val="000E6CA6"/>
    <w:rsid w:val="000E6EA6"/>
    <w:rsid w:val="000E6F2A"/>
    <w:rsid w:val="000E708E"/>
    <w:rsid w:val="000E756F"/>
    <w:rsid w:val="000E770C"/>
    <w:rsid w:val="000E7737"/>
    <w:rsid w:val="000E7972"/>
    <w:rsid w:val="000E7C85"/>
    <w:rsid w:val="000E7DEB"/>
    <w:rsid w:val="000F063D"/>
    <w:rsid w:val="000F08ED"/>
    <w:rsid w:val="000F0A99"/>
    <w:rsid w:val="000F0A9D"/>
    <w:rsid w:val="000F0EA3"/>
    <w:rsid w:val="000F0F8A"/>
    <w:rsid w:val="000F14C3"/>
    <w:rsid w:val="000F194F"/>
    <w:rsid w:val="000F1B27"/>
    <w:rsid w:val="000F1CC0"/>
    <w:rsid w:val="000F1E55"/>
    <w:rsid w:val="000F2098"/>
    <w:rsid w:val="000F2D71"/>
    <w:rsid w:val="000F3274"/>
    <w:rsid w:val="000F34EB"/>
    <w:rsid w:val="000F3756"/>
    <w:rsid w:val="000F3835"/>
    <w:rsid w:val="000F3E41"/>
    <w:rsid w:val="000F4123"/>
    <w:rsid w:val="000F4439"/>
    <w:rsid w:val="000F48E9"/>
    <w:rsid w:val="000F490C"/>
    <w:rsid w:val="000F4A0B"/>
    <w:rsid w:val="000F4D3E"/>
    <w:rsid w:val="000F62DF"/>
    <w:rsid w:val="000F6C3A"/>
    <w:rsid w:val="000F6C42"/>
    <w:rsid w:val="000F6D97"/>
    <w:rsid w:val="000F6EF7"/>
    <w:rsid w:val="000F71AC"/>
    <w:rsid w:val="000F751D"/>
    <w:rsid w:val="000F75A2"/>
    <w:rsid w:val="000F7645"/>
    <w:rsid w:val="000F78C7"/>
    <w:rsid w:val="000F7AB4"/>
    <w:rsid w:val="000F7C03"/>
    <w:rsid w:val="000F7C2B"/>
    <w:rsid w:val="000F7D04"/>
    <w:rsid w:val="000F7E16"/>
    <w:rsid w:val="000F7E6B"/>
    <w:rsid w:val="000F7F3B"/>
    <w:rsid w:val="00100191"/>
    <w:rsid w:val="001001EE"/>
    <w:rsid w:val="00100830"/>
    <w:rsid w:val="0010089C"/>
    <w:rsid w:val="001008DC"/>
    <w:rsid w:val="00100A2B"/>
    <w:rsid w:val="00100E0B"/>
    <w:rsid w:val="00100E42"/>
    <w:rsid w:val="00100EE9"/>
    <w:rsid w:val="001013C2"/>
    <w:rsid w:val="001014D6"/>
    <w:rsid w:val="0010161B"/>
    <w:rsid w:val="00101BFE"/>
    <w:rsid w:val="00101EF4"/>
    <w:rsid w:val="00101FFE"/>
    <w:rsid w:val="001021CA"/>
    <w:rsid w:val="00102556"/>
    <w:rsid w:val="00102589"/>
    <w:rsid w:val="001026A7"/>
    <w:rsid w:val="0010273C"/>
    <w:rsid w:val="00102953"/>
    <w:rsid w:val="00102F1C"/>
    <w:rsid w:val="00102F38"/>
    <w:rsid w:val="00103068"/>
    <w:rsid w:val="0010318E"/>
    <w:rsid w:val="00103643"/>
    <w:rsid w:val="001037C7"/>
    <w:rsid w:val="00103AD3"/>
    <w:rsid w:val="00103E4C"/>
    <w:rsid w:val="001044D2"/>
    <w:rsid w:val="0010452D"/>
    <w:rsid w:val="00104540"/>
    <w:rsid w:val="0010467D"/>
    <w:rsid w:val="001046E1"/>
    <w:rsid w:val="00104F8D"/>
    <w:rsid w:val="00104FB9"/>
    <w:rsid w:val="00105155"/>
    <w:rsid w:val="00105479"/>
    <w:rsid w:val="001054CD"/>
    <w:rsid w:val="001057B9"/>
    <w:rsid w:val="00105C0D"/>
    <w:rsid w:val="0010669C"/>
    <w:rsid w:val="00106884"/>
    <w:rsid w:val="00106C67"/>
    <w:rsid w:val="00106D2A"/>
    <w:rsid w:val="00106DED"/>
    <w:rsid w:val="00106FA2"/>
    <w:rsid w:val="0010708E"/>
    <w:rsid w:val="001070A0"/>
    <w:rsid w:val="0010736F"/>
    <w:rsid w:val="001073C4"/>
    <w:rsid w:val="0010748C"/>
    <w:rsid w:val="001076E8"/>
    <w:rsid w:val="00107774"/>
    <w:rsid w:val="001078FE"/>
    <w:rsid w:val="00107C5E"/>
    <w:rsid w:val="00107D82"/>
    <w:rsid w:val="001101AE"/>
    <w:rsid w:val="001101BB"/>
    <w:rsid w:val="001101ED"/>
    <w:rsid w:val="00110ACF"/>
    <w:rsid w:val="00110B9F"/>
    <w:rsid w:val="00110BF5"/>
    <w:rsid w:val="00110C3D"/>
    <w:rsid w:val="00110EFC"/>
    <w:rsid w:val="00110F4B"/>
    <w:rsid w:val="00111126"/>
    <w:rsid w:val="001113D9"/>
    <w:rsid w:val="0011166A"/>
    <w:rsid w:val="0011174F"/>
    <w:rsid w:val="001117EC"/>
    <w:rsid w:val="001118A1"/>
    <w:rsid w:val="00111915"/>
    <w:rsid w:val="00111D64"/>
    <w:rsid w:val="00111DA1"/>
    <w:rsid w:val="001121E7"/>
    <w:rsid w:val="0011232F"/>
    <w:rsid w:val="001124D5"/>
    <w:rsid w:val="00112A2E"/>
    <w:rsid w:val="00112F8B"/>
    <w:rsid w:val="00113011"/>
    <w:rsid w:val="00113154"/>
    <w:rsid w:val="00113478"/>
    <w:rsid w:val="0011352B"/>
    <w:rsid w:val="001136B4"/>
    <w:rsid w:val="00113751"/>
    <w:rsid w:val="001138C6"/>
    <w:rsid w:val="00113903"/>
    <w:rsid w:val="00113EBF"/>
    <w:rsid w:val="0011452A"/>
    <w:rsid w:val="001145F7"/>
    <w:rsid w:val="001148D9"/>
    <w:rsid w:val="00115159"/>
    <w:rsid w:val="0011549C"/>
    <w:rsid w:val="0011583D"/>
    <w:rsid w:val="00115CD8"/>
    <w:rsid w:val="001163A5"/>
    <w:rsid w:val="001163C4"/>
    <w:rsid w:val="0011675C"/>
    <w:rsid w:val="001167D9"/>
    <w:rsid w:val="001168EB"/>
    <w:rsid w:val="00116FFE"/>
    <w:rsid w:val="00117101"/>
    <w:rsid w:val="001174F5"/>
    <w:rsid w:val="0011754C"/>
    <w:rsid w:val="00117790"/>
    <w:rsid w:val="00117B66"/>
    <w:rsid w:val="00117CCC"/>
    <w:rsid w:val="00120153"/>
    <w:rsid w:val="0012083E"/>
    <w:rsid w:val="001208F7"/>
    <w:rsid w:val="00120F17"/>
    <w:rsid w:val="00120F69"/>
    <w:rsid w:val="0012126B"/>
    <w:rsid w:val="00121587"/>
    <w:rsid w:val="00121BAD"/>
    <w:rsid w:val="00121C3E"/>
    <w:rsid w:val="00122047"/>
    <w:rsid w:val="001220D8"/>
    <w:rsid w:val="00122436"/>
    <w:rsid w:val="00122665"/>
    <w:rsid w:val="001228BE"/>
    <w:rsid w:val="00122949"/>
    <w:rsid w:val="00122A7A"/>
    <w:rsid w:val="00122F21"/>
    <w:rsid w:val="00123456"/>
    <w:rsid w:val="0012359F"/>
    <w:rsid w:val="00123A20"/>
    <w:rsid w:val="00123EE4"/>
    <w:rsid w:val="0012407B"/>
    <w:rsid w:val="00124200"/>
    <w:rsid w:val="00124643"/>
    <w:rsid w:val="0012497C"/>
    <w:rsid w:val="00124ADE"/>
    <w:rsid w:val="00124C9A"/>
    <w:rsid w:val="00124EE1"/>
    <w:rsid w:val="00124FC7"/>
    <w:rsid w:val="001250AE"/>
    <w:rsid w:val="001250E0"/>
    <w:rsid w:val="0012510F"/>
    <w:rsid w:val="00125112"/>
    <w:rsid w:val="00125158"/>
    <w:rsid w:val="00125235"/>
    <w:rsid w:val="0012558F"/>
    <w:rsid w:val="001255AA"/>
    <w:rsid w:val="00125C2A"/>
    <w:rsid w:val="00125D65"/>
    <w:rsid w:val="0012608A"/>
    <w:rsid w:val="00126101"/>
    <w:rsid w:val="0012614E"/>
    <w:rsid w:val="00126724"/>
    <w:rsid w:val="00126905"/>
    <w:rsid w:val="00126958"/>
    <w:rsid w:val="00126A7E"/>
    <w:rsid w:val="00126B76"/>
    <w:rsid w:val="00126E00"/>
    <w:rsid w:val="0012734E"/>
    <w:rsid w:val="00127798"/>
    <w:rsid w:val="001278EC"/>
    <w:rsid w:val="00127ABE"/>
    <w:rsid w:val="00127F0B"/>
    <w:rsid w:val="00130171"/>
    <w:rsid w:val="00130381"/>
    <w:rsid w:val="001306E3"/>
    <w:rsid w:val="001308A1"/>
    <w:rsid w:val="00130C43"/>
    <w:rsid w:val="00130CB0"/>
    <w:rsid w:val="00130D51"/>
    <w:rsid w:val="00130E52"/>
    <w:rsid w:val="00131ABB"/>
    <w:rsid w:val="00131EF5"/>
    <w:rsid w:val="00131FA4"/>
    <w:rsid w:val="001324E5"/>
    <w:rsid w:val="00132784"/>
    <w:rsid w:val="0013293E"/>
    <w:rsid w:val="00132A07"/>
    <w:rsid w:val="00132ABF"/>
    <w:rsid w:val="00132E24"/>
    <w:rsid w:val="00132F43"/>
    <w:rsid w:val="001330C7"/>
    <w:rsid w:val="0013314B"/>
    <w:rsid w:val="001331DD"/>
    <w:rsid w:val="00133385"/>
    <w:rsid w:val="0013355E"/>
    <w:rsid w:val="001335C3"/>
    <w:rsid w:val="00133698"/>
    <w:rsid w:val="001336E9"/>
    <w:rsid w:val="0013386A"/>
    <w:rsid w:val="0013395A"/>
    <w:rsid w:val="00133A22"/>
    <w:rsid w:val="00133DFE"/>
    <w:rsid w:val="00133E2F"/>
    <w:rsid w:val="0013419E"/>
    <w:rsid w:val="00134325"/>
    <w:rsid w:val="00134424"/>
    <w:rsid w:val="00134523"/>
    <w:rsid w:val="00134679"/>
    <w:rsid w:val="00134684"/>
    <w:rsid w:val="00134AD5"/>
    <w:rsid w:val="00134AF3"/>
    <w:rsid w:val="00134AFC"/>
    <w:rsid w:val="00134B8F"/>
    <w:rsid w:val="00134B99"/>
    <w:rsid w:val="00134D48"/>
    <w:rsid w:val="00134D56"/>
    <w:rsid w:val="00134EFD"/>
    <w:rsid w:val="001351EA"/>
    <w:rsid w:val="00135AD8"/>
    <w:rsid w:val="00135DE8"/>
    <w:rsid w:val="00136523"/>
    <w:rsid w:val="00136628"/>
    <w:rsid w:val="00136642"/>
    <w:rsid w:val="001366B7"/>
    <w:rsid w:val="00136B76"/>
    <w:rsid w:val="00137577"/>
    <w:rsid w:val="00137809"/>
    <w:rsid w:val="001378DD"/>
    <w:rsid w:val="00137C2B"/>
    <w:rsid w:val="00137F01"/>
    <w:rsid w:val="00140048"/>
    <w:rsid w:val="001403A0"/>
    <w:rsid w:val="00140DC7"/>
    <w:rsid w:val="00140EA1"/>
    <w:rsid w:val="00141127"/>
    <w:rsid w:val="0014164B"/>
    <w:rsid w:val="00141F8D"/>
    <w:rsid w:val="001425D4"/>
    <w:rsid w:val="00142B40"/>
    <w:rsid w:val="00142F4C"/>
    <w:rsid w:val="00143134"/>
    <w:rsid w:val="001431E7"/>
    <w:rsid w:val="00143435"/>
    <w:rsid w:val="001438DD"/>
    <w:rsid w:val="00143B6B"/>
    <w:rsid w:val="00144703"/>
    <w:rsid w:val="00144D9A"/>
    <w:rsid w:val="00144F0E"/>
    <w:rsid w:val="00145DAF"/>
    <w:rsid w:val="00145E2C"/>
    <w:rsid w:val="00145F01"/>
    <w:rsid w:val="00145F8B"/>
    <w:rsid w:val="00146820"/>
    <w:rsid w:val="00146887"/>
    <w:rsid w:val="00146BC6"/>
    <w:rsid w:val="00146C1C"/>
    <w:rsid w:val="00147058"/>
    <w:rsid w:val="001474F3"/>
    <w:rsid w:val="0014756F"/>
    <w:rsid w:val="00147582"/>
    <w:rsid w:val="001478DA"/>
    <w:rsid w:val="0014794D"/>
    <w:rsid w:val="001479CC"/>
    <w:rsid w:val="00147ED5"/>
    <w:rsid w:val="00147F6B"/>
    <w:rsid w:val="001502F4"/>
    <w:rsid w:val="00150374"/>
    <w:rsid w:val="001504F0"/>
    <w:rsid w:val="0015052C"/>
    <w:rsid w:val="0015092D"/>
    <w:rsid w:val="00150E11"/>
    <w:rsid w:val="00151875"/>
    <w:rsid w:val="001519AD"/>
    <w:rsid w:val="00151B3F"/>
    <w:rsid w:val="00151B86"/>
    <w:rsid w:val="00151F4C"/>
    <w:rsid w:val="00152165"/>
    <w:rsid w:val="001521D0"/>
    <w:rsid w:val="00152399"/>
    <w:rsid w:val="001525E6"/>
    <w:rsid w:val="00152C1E"/>
    <w:rsid w:val="00152F32"/>
    <w:rsid w:val="00152F36"/>
    <w:rsid w:val="0015319A"/>
    <w:rsid w:val="00153479"/>
    <w:rsid w:val="00153793"/>
    <w:rsid w:val="0015395B"/>
    <w:rsid w:val="00153BDB"/>
    <w:rsid w:val="00153EB5"/>
    <w:rsid w:val="00153ED3"/>
    <w:rsid w:val="0015436F"/>
    <w:rsid w:val="001548B9"/>
    <w:rsid w:val="00154ADF"/>
    <w:rsid w:val="00155158"/>
    <w:rsid w:val="00155623"/>
    <w:rsid w:val="00155A0F"/>
    <w:rsid w:val="001569E6"/>
    <w:rsid w:val="00156AAD"/>
    <w:rsid w:val="00156E5F"/>
    <w:rsid w:val="00156F67"/>
    <w:rsid w:val="0015718C"/>
    <w:rsid w:val="001571B1"/>
    <w:rsid w:val="001573F5"/>
    <w:rsid w:val="00157439"/>
    <w:rsid w:val="0015761A"/>
    <w:rsid w:val="001577AC"/>
    <w:rsid w:val="00157D32"/>
    <w:rsid w:val="00160130"/>
    <w:rsid w:val="00160182"/>
    <w:rsid w:val="00160450"/>
    <w:rsid w:val="00160A28"/>
    <w:rsid w:val="00160BE4"/>
    <w:rsid w:val="00160C17"/>
    <w:rsid w:val="00160C74"/>
    <w:rsid w:val="00160FB8"/>
    <w:rsid w:val="00161500"/>
    <w:rsid w:val="00161513"/>
    <w:rsid w:val="001615CE"/>
    <w:rsid w:val="0016162F"/>
    <w:rsid w:val="00161662"/>
    <w:rsid w:val="0016173A"/>
    <w:rsid w:val="001618A3"/>
    <w:rsid w:val="00161A48"/>
    <w:rsid w:val="00161F70"/>
    <w:rsid w:val="001621B4"/>
    <w:rsid w:val="00162390"/>
    <w:rsid w:val="00162527"/>
    <w:rsid w:val="0016257C"/>
    <w:rsid w:val="00162585"/>
    <w:rsid w:val="00162A1C"/>
    <w:rsid w:val="00162D4A"/>
    <w:rsid w:val="0016314D"/>
    <w:rsid w:val="001632AD"/>
    <w:rsid w:val="001633D9"/>
    <w:rsid w:val="00163A68"/>
    <w:rsid w:val="00163F0E"/>
    <w:rsid w:val="0016411A"/>
    <w:rsid w:val="00164197"/>
    <w:rsid w:val="00164203"/>
    <w:rsid w:val="00164363"/>
    <w:rsid w:val="00164539"/>
    <w:rsid w:val="0016469D"/>
    <w:rsid w:val="00164D49"/>
    <w:rsid w:val="00164E3B"/>
    <w:rsid w:val="001654FD"/>
    <w:rsid w:val="00165C83"/>
    <w:rsid w:val="00165DED"/>
    <w:rsid w:val="00165DF8"/>
    <w:rsid w:val="00166360"/>
    <w:rsid w:val="0016647D"/>
    <w:rsid w:val="001668AC"/>
    <w:rsid w:val="00166DD8"/>
    <w:rsid w:val="00166E51"/>
    <w:rsid w:val="001670BC"/>
    <w:rsid w:val="00170403"/>
    <w:rsid w:val="00170548"/>
    <w:rsid w:val="00170785"/>
    <w:rsid w:val="0017084A"/>
    <w:rsid w:val="00170AFF"/>
    <w:rsid w:val="00170E24"/>
    <w:rsid w:val="00170FD5"/>
    <w:rsid w:val="0017104C"/>
    <w:rsid w:val="00171185"/>
    <w:rsid w:val="001713AD"/>
    <w:rsid w:val="00171ACB"/>
    <w:rsid w:val="00171D87"/>
    <w:rsid w:val="00171FCC"/>
    <w:rsid w:val="0017203C"/>
    <w:rsid w:val="001724B2"/>
    <w:rsid w:val="001725C8"/>
    <w:rsid w:val="0017274B"/>
    <w:rsid w:val="001728AC"/>
    <w:rsid w:val="00172B2B"/>
    <w:rsid w:val="00172C9C"/>
    <w:rsid w:val="00172E12"/>
    <w:rsid w:val="00173145"/>
    <w:rsid w:val="00173187"/>
    <w:rsid w:val="00173CA0"/>
    <w:rsid w:val="00173CAC"/>
    <w:rsid w:val="00173D87"/>
    <w:rsid w:val="00173E18"/>
    <w:rsid w:val="00173EE9"/>
    <w:rsid w:val="001740C5"/>
    <w:rsid w:val="00174123"/>
    <w:rsid w:val="001741E7"/>
    <w:rsid w:val="00174561"/>
    <w:rsid w:val="0017466F"/>
    <w:rsid w:val="00174C19"/>
    <w:rsid w:val="00174C3F"/>
    <w:rsid w:val="00174ECE"/>
    <w:rsid w:val="0017509A"/>
    <w:rsid w:val="00175151"/>
    <w:rsid w:val="00175316"/>
    <w:rsid w:val="00175790"/>
    <w:rsid w:val="001757C2"/>
    <w:rsid w:val="00175B21"/>
    <w:rsid w:val="00175C6B"/>
    <w:rsid w:val="00175FC8"/>
    <w:rsid w:val="00176306"/>
    <w:rsid w:val="00176626"/>
    <w:rsid w:val="00176A04"/>
    <w:rsid w:val="00176A2B"/>
    <w:rsid w:val="00176EDC"/>
    <w:rsid w:val="00177147"/>
    <w:rsid w:val="001773AF"/>
    <w:rsid w:val="001774D3"/>
    <w:rsid w:val="001774E0"/>
    <w:rsid w:val="00177613"/>
    <w:rsid w:val="00177712"/>
    <w:rsid w:val="001778E3"/>
    <w:rsid w:val="00177B3E"/>
    <w:rsid w:val="00177D6B"/>
    <w:rsid w:val="00177E3B"/>
    <w:rsid w:val="00180296"/>
    <w:rsid w:val="001802E7"/>
    <w:rsid w:val="001804EC"/>
    <w:rsid w:val="001806F2"/>
    <w:rsid w:val="00180774"/>
    <w:rsid w:val="001807DF"/>
    <w:rsid w:val="00180983"/>
    <w:rsid w:val="00180D43"/>
    <w:rsid w:val="00181135"/>
    <w:rsid w:val="0018118F"/>
    <w:rsid w:val="001812DA"/>
    <w:rsid w:val="0018141F"/>
    <w:rsid w:val="00181615"/>
    <w:rsid w:val="001818A2"/>
    <w:rsid w:val="001819A0"/>
    <w:rsid w:val="00181B60"/>
    <w:rsid w:val="00181FB7"/>
    <w:rsid w:val="00182384"/>
    <w:rsid w:val="001823C4"/>
    <w:rsid w:val="001825D1"/>
    <w:rsid w:val="001828CD"/>
    <w:rsid w:val="001829C0"/>
    <w:rsid w:val="001829F0"/>
    <w:rsid w:val="00182A00"/>
    <w:rsid w:val="00182B6C"/>
    <w:rsid w:val="00182D8C"/>
    <w:rsid w:val="00182F2C"/>
    <w:rsid w:val="001831AB"/>
    <w:rsid w:val="00183499"/>
    <w:rsid w:val="001839E7"/>
    <w:rsid w:val="00183C49"/>
    <w:rsid w:val="00183D50"/>
    <w:rsid w:val="001840B9"/>
    <w:rsid w:val="00184144"/>
    <w:rsid w:val="0018489C"/>
    <w:rsid w:val="00184C4B"/>
    <w:rsid w:val="00184CE6"/>
    <w:rsid w:val="00185113"/>
    <w:rsid w:val="00185193"/>
    <w:rsid w:val="001851E7"/>
    <w:rsid w:val="00185234"/>
    <w:rsid w:val="00185840"/>
    <w:rsid w:val="0018645F"/>
    <w:rsid w:val="0018663E"/>
    <w:rsid w:val="001869FD"/>
    <w:rsid w:val="00186B8E"/>
    <w:rsid w:val="00186D12"/>
    <w:rsid w:val="00186DCB"/>
    <w:rsid w:val="00187D00"/>
    <w:rsid w:val="00190581"/>
    <w:rsid w:val="00190818"/>
    <w:rsid w:val="00190AD0"/>
    <w:rsid w:val="00190FDB"/>
    <w:rsid w:val="00191244"/>
    <w:rsid w:val="00191A15"/>
    <w:rsid w:val="00191E66"/>
    <w:rsid w:val="001920A2"/>
    <w:rsid w:val="0019216B"/>
    <w:rsid w:val="001921C5"/>
    <w:rsid w:val="001923B8"/>
    <w:rsid w:val="00192935"/>
    <w:rsid w:val="00192962"/>
    <w:rsid w:val="00192CD6"/>
    <w:rsid w:val="00192D50"/>
    <w:rsid w:val="00192DB8"/>
    <w:rsid w:val="00193056"/>
    <w:rsid w:val="00193791"/>
    <w:rsid w:val="00193915"/>
    <w:rsid w:val="00193AC1"/>
    <w:rsid w:val="00193CD3"/>
    <w:rsid w:val="00194188"/>
    <w:rsid w:val="001944D5"/>
    <w:rsid w:val="001945BB"/>
    <w:rsid w:val="001945C1"/>
    <w:rsid w:val="0019473B"/>
    <w:rsid w:val="0019493B"/>
    <w:rsid w:val="00194A95"/>
    <w:rsid w:val="00194B3B"/>
    <w:rsid w:val="00194E62"/>
    <w:rsid w:val="001956AB"/>
    <w:rsid w:val="00195DE3"/>
    <w:rsid w:val="001960C1"/>
    <w:rsid w:val="00196292"/>
    <w:rsid w:val="001962A4"/>
    <w:rsid w:val="00196951"/>
    <w:rsid w:val="0019713E"/>
    <w:rsid w:val="0019749B"/>
    <w:rsid w:val="001974D8"/>
    <w:rsid w:val="00197561"/>
    <w:rsid w:val="00197AD2"/>
    <w:rsid w:val="00197C2C"/>
    <w:rsid w:val="00197E83"/>
    <w:rsid w:val="00197F2A"/>
    <w:rsid w:val="001A0497"/>
    <w:rsid w:val="001A05ED"/>
    <w:rsid w:val="001A0660"/>
    <w:rsid w:val="001A0674"/>
    <w:rsid w:val="001A0715"/>
    <w:rsid w:val="001A072C"/>
    <w:rsid w:val="001A09A2"/>
    <w:rsid w:val="001A09DC"/>
    <w:rsid w:val="001A0D4F"/>
    <w:rsid w:val="001A0DE3"/>
    <w:rsid w:val="001A0FD3"/>
    <w:rsid w:val="001A1012"/>
    <w:rsid w:val="001A12E7"/>
    <w:rsid w:val="001A1518"/>
    <w:rsid w:val="001A1814"/>
    <w:rsid w:val="001A18B9"/>
    <w:rsid w:val="001A1FE3"/>
    <w:rsid w:val="001A2526"/>
    <w:rsid w:val="001A25C3"/>
    <w:rsid w:val="001A270F"/>
    <w:rsid w:val="001A2769"/>
    <w:rsid w:val="001A2A1D"/>
    <w:rsid w:val="001A2A62"/>
    <w:rsid w:val="001A2C60"/>
    <w:rsid w:val="001A2F23"/>
    <w:rsid w:val="001A3E0A"/>
    <w:rsid w:val="001A40DC"/>
    <w:rsid w:val="001A4123"/>
    <w:rsid w:val="001A433F"/>
    <w:rsid w:val="001A46FF"/>
    <w:rsid w:val="001A4BE4"/>
    <w:rsid w:val="001A5055"/>
    <w:rsid w:val="001A5297"/>
    <w:rsid w:val="001A567F"/>
    <w:rsid w:val="001A58E0"/>
    <w:rsid w:val="001A5973"/>
    <w:rsid w:val="001A5C01"/>
    <w:rsid w:val="001A5C2E"/>
    <w:rsid w:val="001A5D10"/>
    <w:rsid w:val="001A60E4"/>
    <w:rsid w:val="001A69EA"/>
    <w:rsid w:val="001A6A98"/>
    <w:rsid w:val="001A7255"/>
    <w:rsid w:val="001A7463"/>
    <w:rsid w:val="001A771E"/>
    <w:rsid w:val="001A7740"/>
    <w:rsid w:val="001A7898"/>
    <w:rsid w:val="001A78CD"/>
    <w:rsid w:val="001A794E"/>
    <w:rsid w:val="001A7D0D"/>
    <w:rsid w:val="001A7D41"/>
    <w:rsid w:val="001A7D5A"/>
    <w:rsid w:val="001A7F7C"/>
    <w:rsid w:val="001B026F"/>
    <w:rsid w:val="001B0313"/>
    <w:rsid w:val="001B04AC"/>
    <w:rsid w:val="001B04E1"/>
    <w:rsid w:val="001B0531"/>
    <w:rsid w:val="001B067A"/>
    <w:rsid w:val="001B070C"/>
    <w:rsid w:val="001B0865"/>
    <w:rsid w:val="001B0AAF"/>
    <w:rsid w:val="001B0C4D"/>
    <w:rsid w:val="001B0D56"/>
    <w:rsid w:val="001B0E09"/>
    <w:rsid w:val="001B1235"/>
    <w:rsid w:val="001B12D6"/>
    <w:rsid w:val="001B1B78"/>
    <w:rsid w:val="001B1B93"/>
    <w:rsid w:val="001B2054"/>
    <w:rsid w:val="001B2550"/>
    <w:rsid w:val="001B3040"/>
    <w:rsid w:val="001B3189"/>
    <w:rsid w:val="001B3990"/>
    <w:rsid w:val="001B3B00"/>
    <w:rsid w:val="001B3BFF"/>
    <w:rsid w:val="001B3E45"/>
    <w:rsid w:val="001B44BF"/>
    <w:rsid w:val="001B4A6D"/>
    <w:rsid w:val="001B4D1D"/>
    <w:rsid w:val="001B4DF1"/>
    <w:rsid w:val="001B4E19"/>
    <w:rsid w:val="001B5121"/>
    <w:rsid w:val="001B5345"/>
    <w:rsid w:val="001B540D"/>
    <w:rsid w:val="001B55EC"/>
    <w:rsid w:val="001B57DB"/>
    <w:rsid w:val="001B5B2E"/>
    <w:rsid w:val="001B5CCC"/>
    <w:rsid w:val="001B5F1B"/>
    <w:rsid w:val="001B677B"/>
    <w:rsid w:val="001B67FB"/>
    <w:rsid w:val="001B6CA3"/>
    <w:rsid w:val="001B7047"/>
    <w:rsid w:val="001B7093"/>
    <w:rsid w:val="001B75AD"/>
    <w:rsid w:val="001B762C"/>
    <w:rsid w:val="001B77E9"/>
    <w:rsid w:val="001B7964"/>
    <w:rsid w:val="001B7AB5"/>
    <w:rsid w:val="001B7C11"/>
    <w:rsid w:val="001B7C33"/>
    <w:rsid w:val="001B7F15"/>
    <w:rsid w:val="001C00DF"/>
    <w:rsid w:val="001C03A7"/>
    <w:rsid w:val="001C04FB"/>
    <w:rsid w:val="001C0572"/>
    <w:rsid w:val="001C09F4"/>
    <w:rsid w:val="001C0B74"/>
    <w:rsid w:val="001C1185"/>
    <w:rsid w:val="001C126F"/>
    <w:rsid w:val="001C16EC"/>
    <w:rsid w:val="001C1976"/>
    <w:rsid w:val="001C19CD"/>
    <w:rsid w:val="001C1E75"/>
    <w:rsid w:val="001C1F34"/>
    <w:rsid w:val="001C242F"/>
    <w:rsid w:val="001C2468"/>
    <w:rsid w:val="001C25B7"/>
    <w:rsid w:val="001C2869"/>
    <w:rsid w:val="001C2C7C"/>
    <w:rsid w:val="001C2E2C"/>
    <w:rsid w:val="001C2ED3"/>
    <w:rsid w:val="001C3258"/>
    <w:rsid w:val="001C33D0"/>
    <w:rsid w:val="001C3402"/>
    <w:rsid w:val="001C3419"/>
    <w:rsid w:val="001C354C"/>
    <w:rsid w:val="001C36F0"/>
    <w:rsid w:val="001C376B"/>
    <w:rsid w:val="001C3A5B"/>
    <w:rsid w:val="001C3CA3"/>
    <w:rsid w:val="001C3D96"/>
    <w:rsid w:val="001C3ED2"/>
    <w:rsid w:val="001C423F"/>
    <w:rsid w:val="001C45F5"/>
    <w:rsid w:val="001C4AAE"/>
    <w:rsid w:val="001C4B70"/>
    <w:rsid w:val="001C4E86"/>
    <w:rsid w:val="001C55EA"/>
    <w:rsid w:val="001C57F8"/>
    <w:rsid w:val="001C59CC"/>
    <w:rsid w:val="001C5A2C"/>
    <w:rsid w:val="001C5EC4"/>
    <w:rsid w:val="001C5ED5"/>
    <w:rsid w:val="001C611C"/>
    <w:rsid w:val="001C68D7"/>
    <w:rsid w:val="001C6CA9"/>
    <w:rsid w:val="001C6D48"/>
    <w:rsid w:val="001C74EA"/>
    <w:rsid w:val="001C752D"/>
    <w:rsid w:val="001C7565"/>
    <w:rsid w:val="001C7B1E"/>
    <w:rsid w:val="001D008C"/>
    <w:rsid w:val="001D05A6"/>
    <w:rsid w:val="001D0883"/>
    <w:rsid w:val="001D0947"/>
    <w:rsid w:val="001D1122"/>
    <w:rsid w:val="001D1434"/>
    <w:rsid w:val="001D167A"/>
    <w:rsid w:val="001D1C51"/>
    <w:rsid w:val="001D26ED"/>
    <w:rsid w:val="001D29F4"/>
    <w:rsid w:val="001D2C82"/>
    <w:rsid w:val="001D2CA5"/>
    <w:rsid w:val="001D32A1"/>
    <w:rsid w:val="001D338D"/>
    <w:rsid w:val="001D362D"/>
    <w:rsid w:val="001D3889"/>
    <w:rsid w:val="001D3AC6"/>
    <w:rsid w:val="001D3D66"/>
    <w:rsid w:val="001D44E8"/>
    <w:rsid w:val="001D462C"/>
    <w:rsid w:val="001D46B6"/>
    <w:rsid w:val="001D47A3"/>
    <w:rsid w:val="001D4B7E"/>
    <w:rsid w:val="001D4C68"/>
    <w:rsid w:val="001D4C7F"/>
    <w:rsid w:val="001D5195"/>
    <w:rsid w:val="001D5293"/>
    <w:rsid w:val="001D58CE"/>
    <w:rsid w:val="001D5A64"/>
    <w:rsid w:val="001D6498"/>
    <w:rsid w:val="001D6AD5"/>
    <w:rsid w:val="001D6DDE"/>
    <w:rsid w:val="001D7200"/>
    <w:rsid w:val="001D772D"/>
    <w:rsid w:val="001D7BCA"/>
    <w:rsid w:val="001D7D7C"/>
    <w:rsid w:val="001D7E82"/>
    <w:rsid w:val="001D7FE3"/>
    <w:rsid w:val="001E062D"/>
    <w:rsid w:val="001E0645"/>
    <w:rsid w:val="001E0698"/>
    <w:rsid w:val="001E098C"/>
    <w:rsid w:val="001E0A1D"/>
    <w:rsid w:val="001E0E13"/>
    <w:rsid w:val="001E1385"/>
    <w:rsid w:val="001E17F6"/>
    <w:rsid w:val="001E1879"/>
    <w:rsid w:val="001E1E34"/>
    <w:rsid w:val="001E1F00"/>
    <w:rsid w:val="001E1F9A"/>
    <w:rsid w:val="001E1FED"/>
    <w:rsid w:val="001E22F3"/>
    <w:rsid w:val="001E2753"/>
    <w:rsid w:val="001E348E"/>
    <w:rsid w:val="001E3921"/>
    <w:rsid w:val="001E3A16"/>
    <w:rsid w:val="001E3AC6"/>
    <w:rsid w:val="001E3C04"/>
    <w:rsid w:val="001E4115"/>
    <w:rsid w:val="001E419F"/>
    <w:rsid w:val="001E42A7"/>
    <w:rsid w:val="001E4492"/>
    <w:rsid w:val="001E497B"/>
    <w:rsid w:val="001E4B3B"/>
    <w:rsid w:val="001E4C7C"/>
    <w:rsid w:val="001E4DBB"/>
    <w:rsid w:val="001E51F6"/>
    <w:rsid w:val="001E55BC"/>
    <w:rsid w:val="001E5748"/>
    <w:rsid w:val="001E5903"/>
    <w:rsid w:val="001E59F9"/>
    <w:rsid w:val="001E5D1C"/>
    <w:rsid w:val="001E6447"/>
    <w:rsid w:val="001E647B"/>
    <w:rsid w:val="001E64C9"/>
    <w:rsid w:val="001E6513"/>
    <w:rsid w:val="001E656A"/>
    <w:rsid w:val="001E67B1"/>
    <w:rsid w:val="001E6810"/>
    <w:rsid w:val="001E6CAE"/>
    <w:rsid w:val="001E6CB4"/>
    <w:rsid w:val="001E6E6B"/>
    <w:rsid w:val="001E761C"/>
    <w:rsid w:val="001E766B"/>
    <w:rsid w:val="001E78CE"/>
    <w:rsid w:val="001E7953"/>
    <w:rsid w:val="001E7982"/>
    <w:rsid w:val="001E79D3"/>
    <w:rsid w:val="001E79F0"/>
    <w:rsid w:val="001E7A34"/>
    <w:rsid w:val="001E7D42"/>
    <w:rsid w:val="001E7EB1"/>
    <w:rsid w:val="001F0175"/>
    <w:rsid w:val="001F01DF"/>
    <w:rsid w:val="001F0209"/>
    <w:rsid w:val="001F039C"/>
    <w:rsid w:val="001F0584"/>
    <w:rsid w:val="001F0F2A"/>
    <w:rsid w:val="001F1215"/>
    <w:rsid w:val="001F1234"/>
    <w:rsid w:val="001F12F1"/>
    <w:rsid w:val="001F1357"/>
    <w:rsid w:val="001F1681"/>
    <w:rsid w:val="001F274C"/>
    <w:rsid w:val="001F2C63"/>
    <w:rsid w:val="001F322C"/>
    <w:rsid w:val="001F33CB"/>
    <w:rsid w:val="001F37ED"/>
    <w:rsid w:val="001F3811"/>
    <w:rsid w:val="001F39D4"/>
    <w:rsid w:val="001F39E4"/>
    <w:rsid w:val="001F3CB4"/>
    <w:rsid w:val="001F3D8D"/>
    <w:rsid w:val="001F3EA9"/>
    <w:rsid w:val="001F4185"/>
    <w:rsid w:val="001F42DF"/>
    <w:rsid w:val="001F47A8"/>
    <w:rsid w:val="001F48D6"/>
    <w:rsid w:val="001F4A09"/>
    <w:rsid w:val="001F4E44"/>
    <w:rsid w:val="001F4F5C"/>
    <w:rsid w:val="001F5144"/>
    <w:rsid w:val="001F5151"/>
    <w:rsid w:val="001F54A0"/>
    <w:rsid w:val="001F59EB"/>
    <w:rsid w:val="001F5B8F"/>
    <w:rsid w:val="001F5D10"/>
    <w:rsid w:val="001F5EB4"/>
    <w:rsid w:val="001F6415"/>
    <w:rsid w:val="001F69E3"/>
    <w:rsid w:val="001F76FD"/>
    <w:rsid w:val="001F799A"/>
    <w:rsid w:val="001F7A71"/>
    <w:rsid w:val="001F7D90"/>
    <w:rsid w:val="001F7E62"/>
    <w:rsid w:val="0020029F"/>
    <w:rsid w:val="0020050E"/>
    <w:rsid w:val="00200991"/>
    <w:rsid w:val="002009C8"/>
    <w:rsid w:val="00200AB9"/>
    <w:rsid w:val="00200B27"/>
    <w:rsid w:val="00200BB3"/>
    <w:rsid w:val="00200C2B"/>
    <w:rsid w:val="00200C66"/>
    <w:rsid w:val="00200CD5"/>
    <w:rsid w:val="00200FF7"/>
    <w:rsid w:val="00201168"/>
    <w:rsid w:val="00201839"/>
    <w:rsid w:val="00201917"/>
    <w:rsid w:val="00201CEA"/>
    <w:rsid w:val="00201F76"/>
    <w:rsid w:val="00201F82"/>
    <w:rsid w:val="00202289"/>
    <w:rsid w:val="0020228A"/>
    <w:rsid w:val="002022BC"/>
    <w:rsid w:val="002028E5"/>
    <w:rsid w:val="002029C9"/>
    <w:rsid w:val="002029DC"/>
    <w:rsid w:val="002034A9"/>
    <w:rsid w:val="002037CD"/>
    <w:rsid w:val="00203829"/>
    <w:rsid w:val="0020391B"/>
    <w:rsid w:val="002042F3"/>
    <w:rsid w:val="00204791"/>
    <w:rsid w:val="0020494A"/>
    <w:rsid w:val="00204F57"/>
    <w:rsid w:val="00204FD2"/>
    <w:rsid w:val="0020519D"/>
    <w:rsid w:val="00205319"/>
    <w:rsid w:val="00205AF8"/>
    <w:rsid w:val="00205B90"/>
    <w:rsid w:val="00205E4A"/>
    <w:rsid w:val="00205EA7"/>
    <w:rsid w:val="00205F0E"/>
    <w:rsid w:val="00205FCB"/>
    <w:rsid w:val="00205FEF"/>
    <w:rsid w:val="0020625D"/>
    <w:rsid w:val="0020660C"/>
    <w:rsid w:val="00206AAD"/>
    <w:rsid w:val="00206E5A"/>
    <w:rsid w:val="00206EA0"/>
    <w:rsid w:val="00207587"/>
    <w:rsid w:val="0020768B"/>
    <w:rsid w:val="002076B4"/>
    <w:rsid w:val="002077B5"/>
    <w:rsid w:val="002077F6"/>
    <w:rsid w:val="00207E4E"/>
    <w:rsid w:val="00207F41"/>
    <w:rsid w:val="002104B3"/>
    <w:rsid w:val="00210698"/>
    <w:rsid w:val="00210710"/>
    <w:rsid w:val="00210A17"/>
    <w:rsid w:val="00210D26"/>
    <w:rsid w:val="00210D43"/>
    <w:rsid w:val="00210DC2"/>
    <w:rsid w:val="00210E50"/>
    <w:rsid w:val="00210F35"/>
    <w:rsid w:val="0021110C"/>
    <w:rsid w:val="0021132C"/>
    <w:rsid w:val="0021198B"/>
    <w:rsid w:val="00211A20"/>
    <w:rsid w:val="00212216"/>
    <w:rsid w:val="0021228C"/>
    <w:rsid w:val="002123B3"/>
    <w:rsid w:val="002125BD"/>
    <w:rsid w:val="00212665"/>
    <w:rsid w:val="00212D80"/>
    <w:rsid w:val="002132CC"/>
    <w:rsid w:val="002135A7"/>
    <w:rsid w:val="0021395C"/>
    <w:rsid w:val="00213BE5"/>
    <w:rsid w:val="00214B3A"/>
    <w:rsid w:val="002153F2"/>
    <w:rsid w:val="00215499"/>
    <w:rsid w:val="002159A4"/>
    <w:rsid w:val="0021648B"/>
    <w:rsid w:val="00216966"/>
    <w:rsid w:val="00216D51"/>
    <w:rsid w:val="00216FF7"/>
    <w:rsid w:val="0021714F"/>
    <w:rsid w:val="00217735"/>
    <w:rsid w:val="00217A54"/>
    <w:rsid w:val="00217B7D"/>
    <w:rsid w:val="00217E28"/>
    <w:rsid w:val="00220301"/>
    <w:rsid w:val="00220451"/>
    <w:rsid w:val="002207B5"/>
    <w:rsid w:val="002207E4"/>
    <w:rsid w:val="00221082"/>
    <w:rsid w:val="00221410"/>
    <w:rsid w:val="00221ABA"/>
    <w:rsid w:val="00221EAA"/>
    <w:rsid w:val="0022221E"/>
    <w:rsid w:val="00222577"/>
    <w:rsid w:val="00222B08"/>
    <w:rsid w:val="00222CA0"/>
    <w:rsid w:val="00223763"/>
    <w:rsid w:val="00223804"/>
    <w:rsid w:val="00223C02"/>
    <w:rsid w:val="00223C2F"/>
    <w:rsid w:val="00223DAE"/>
    <w:rsid w:val="00223E50"/>
    <w:rsid w:val="00223EEC"/>
    <w:rsid w:val="002241DF"/>
    <w:rsid w:val="002241F0"/>
    <w:rsid w:val="0022435C"/>
    <w:rsid w:val="00224389"/>
    <w:rsid w:val="002243DA"/>
    <w:rsid w:val="00224796"/>
    <w:rsid w:val="00224C11"/>
    <w:rsid w:val="00224F08"/>
    <w:rsid w:val="00225074"/>
    <w:rsid w:val="002252D8"/>
    <w:rsid w:val="00225301"/>
    <w:rsid w:val="00225390"/>
    <w:rsid w:val="002255B3"/>
    <w:rsid w:val="002255B4"/>
    <w:rsid w:val="0022563E"/>
    <w:rsid w:val="002256F0"/>
    <w:rsid w:val="002258A3"/>
    <w:rsid w:val="00225D6C"/>
    <w:rsid w:val="00226038"/>
    <w:rsid w:val="002260F1"/>
    <w:rsid w:val="0022639E"/>
    <w:rsid w:val="0022647F"/>
    <w:rsid w:val="00226613"/>
    <w:rsid w:val="00226647"/>
    <w:rsid w:val="00226666"/>
    <w:rsid w:val="0022691E"/>
    <w:rsid w:val="00226A3F"/>
    <w:rsid w:val="00226BA0"/>
    <w:rsid w:val="00226DBB"/>
    <w:rsid w:val="00226E47"/>
    <w:rsid w:val="00227006"/>
    <w:rsid w:val="00227AE3"/>
    <w:rsid w:val="00227BC8"/>
    <w:rsid w:val="00227D69"/>
    <w:rsid w:val="00230034"/>
    <w:rsid w:val="0023049B"/>
    <w:rsid w:val="0023057B"/>
    <w:rsid w:val="00230636"/>
    <w:rsid w:val="00230AED"/>
    <w:rsid w:val="00230CE6"/>
    <w:rsid w:val="00230E9B"/>
    <w:rsid w:val="00230EDC"/>
    <w:rsid w:val="002310AA"/>
    <w:rsid w:val="002312FF"/>
    <w:rsid w:val="0023142D"/>
    <w:rsid w:val="002318EB"/>
    <w:rsid w:val="00231A9E"/>
    <w:rsid w:val="00231E60"/>
    <w:rsid w:val="00232085"/>
    <w:rsid w:val="002324FD"/>
    <w:rsid w:val="00232541"/>
    <w:rsid w:val="002325CB"/>
    <w:rsid w:val="00232911"/>
    <w:rsid w:val="00232C41"/>
    <w:rsid w:val="00232F0D"/>
    <w:rsid w:val="00233082"/>
    <w:rsid w:val="002330F0"/>
    <w:rsid w:val="0023351A"/>
    <w:rsid w:val="00233908"/>
    <w:rsid w:val="002339A4"/>
    <w:rsid w:val="00233C51"/>
    <w:rsid w:val="00233C67"/>
    <w:rsid w:val="00233E27"/>
    <w:rsid w:val="00234024"/>
    <w:rsid w:val="0023427F"/>
    <w:rsid w:val="00234358"/>
    <w:rsid w:val="0023493B"/>
    <w:rsid w:val="00234DA4"/>
    <w:rsid w:val="002351F7"/>
    <w:rsid w:val="0023528E"/>
    <w:rsid w:val="002355EE"/>
    <w:rsid w:val="0023585F"/>
    <w:rsid w:val="00235C20"/>
    <w:rsid w:val="00235EEC"/>
    <w:rsid w:val="00235FAC"/>
    <w:rsid w:val="0023606C"/>
    <w:rsid w:val="0023617A"/>
    <w:rsid w:val="002363EF"/>
    <w:rsid w:val="002368C8"/>
    <w:rsid w:val="00236B00"/>
    <w:rsid w:val="00236F91"/>
    <w:rsid w:val="0023706B"/>
    <w:rsid w:val="0023760F"/>
    <w:rsid w:val="00237612"/>
    <w:rsid w:val="002379AD"/>
    <w:rsid w:val="0024002C"/>
    <w:rsid w:val="0024004C"/>
    <w:rsid w:val="0024051E"/>
    <w:rsid w:val="00240567"/>
    <w:rsid w:val="0024079A"/>
    <w:rsid w:val="0024089C"/>
    <w:rsid w:val="002409B7"/>
    <w:rsid w:val="00240C3E"/>
    <w:rsid w:val="0024122F"/>
    <w:rsid w:val="00241886"/>
    <w:rsid w:val="00241899"/>
    <w:rsid w:val="00241B4D"/>
    <w:rsid w:val="00241BDD"/>
    <w:rsid w:val="00241BE0"/>
    <w:rsid w:val="00241BE7"/>
    <w:rsid w:val="00242471"/>
    <w:rsid w:val="0024267D"/>
    <w:rsid w:val="00243031"/>
    <w:rsid w:val="002431B4"/>
    <w:rsid w:val="002434C0"/>
    <w:rsid w:val="002440F0"/>
    <w:rsid w:val="002442FE"/>
    <w:rsid w:val="002443CE"/>
    <w:rsid w:val="00244492"/>
    <w:rsid w:val="002444D7"/>
    <w:rsid w:val="002447FC"/>
    <w:rsid w:val="00244854"/>
    <w:rsid w:val="00244A76"/>
    <w:rsid w:val="00244BF6"/>
    <w:rsid w:val="00244C45"/>
    <w:rsid w:val="002451E2"/>
    <w:rsid w:val="00245323"/>
    <w:rsid w:val="0024571E"/>
    <w:rsid w:val="00245E14"/>
    <w:rsid w:val="00245F17"/>
    <w:rsid w:val="00246441"/>
    <w:rsid w:val="002464D6"/>
    <w:rsid w:val="002465F5"/>
    <w:rsid w:val="002467F2"/>
    <w:rsid w:val="00246ACC"/>
    <w:rsid w:val="00246BFE"/>
    <w:rsid w:val="00246F1B"/>
    <w:rsid w:val="002474C4"/>
    <w:rsid w:val="002474C7"/>
    <w:rsid w:val="00247529"/>
    <w:rsid w:val="0024771B"/>
    <w:rsid w:val="00247A57"/>
    <w:rsid w:val="00247AFD"/>
    <w:rsid w:val="00247C35"/>
    <w:rsid w:val="00247EE7"/>
    <w:rsid w:val="00247F70"/>
    <w:rsid w:val="0025007C"/>
    <w:rsid w:val="002500EC"/>
    <w:rsid w:val="00250558"/>
    <w:rsid w:val="00250B55"/>
    <w:rsid w:val="00250C3F"/>
    <w:rsid w:val="00250CCC"/>
    <w:rsid w:val="00250DB2"/>
    <w:rsid w:val="00250E6D"/>
    <w:rsid w:val="00250EE8"/>
    <w:rsid w:val="00250F84"/>
    <w:rsid w:val="00251591"/>
    <w:rsid w:val="0025177F"/>
    <w:rsid w:val="00251C81"/>
    <w:rsid w:val="00251EBE"/>
    <w:rsid w:val="00251F5E"/>
    <w:rsid w:val="00251F92"/>
    <w:rsid w:val="00252078"/>
    <w:rsid w:val="00252126"/>
    <w:rsid w:val="002521DD"/>
    <w:rsid w:val="002525E4"/>
    <w:rsid w:val="0025282B"/>
    <w:rsid w:val="00252B70"/>
    <w:rsid w:val="00252CBA"/>
    <w:rsid w:val="00252DA8"/>
    <w:rsid w:val="00252F0C"/>
    <w:rsid w:val="00252F4D"/>
    <w:rsid w:val="002530A5"/>
    <w:rsid w:val="002531BF"/>
    <w:rsid w:val="00253987"/>
    <w:rsid w:val="00253E59"/>
    <w:rsid w:val="00253F3D"/>
    <w:rsid w:val="00254285"/>
    <w:rsid w:val="0025434F"/>
    <w:rsid w:val="00254514"/>
    <w:rsid w:val="0025462C"/>
    <w:rsid w:val="00255266"/>
    <w:rsid w:val="002552D9"/>
    <w:rsid w:val="002553F0"/>
    <w:rsid w:val="00255534"/>
    <w:rsid w:val="00255C18"/>
    <w:rsid w:val="00255CE7"/>
    <w:rsid w:val="0025628B"/>
    <w:rsid w:val="002562D2"/>
    <w:rsid w:val="00256373"/>
    <w:rsid w:val="00256399"/>
    <w:rsid w:val="002565C9"/>
    <w:rsid w:val="002566E4"/>
    <w:rsid w:val="00256816"/>
    <w:rsid w:val="0025697C"/>
    <w:rsid w:val="00256AAF"/>
    <w:rsid w:val="00256C41"/>
    <w:rsid w:val="00256CA8"/>
    <w:rsid w:val="00256E80"/>
    <w:rsid w:val="00256FF9"/>
    <w:rsid w:val="002578AA"/>
    <w:rsid w:val="00257A7A"/>
    <w:rsid w:val="00260184"/>
    <w:rsid w:val="00260191"/>
    <w:rsid w:val="002603D5"/>
    <w:rsid w:val="002604D7"/>
    <w:rsid w:val="002605CE"/>
    <w:rsid w:val="002606F8"/>
    <w:rsid w:val="002608D2"/>
    <w:rsid w:val="00260C14"/>
    <w:rsid w:val="00260F1F"/>
    <w:rsid w:val="002610C1"/>
    <w:rsid w:val="002611D0"/>
    <w:rsid w:val="0026144A"/>
    <w:rsid w:val="00261451"/>
    <w:rsid w:val="00261712"/>
    <w:rsid w:val="002619B1"/>
    <w:rsid w:val="00261C34"/>
    <w:rsid w:val="00261CCC"/>
    <w:rsid w:val="00261DDC"/>
    <w:rsid w:val="002623BE"/>
    <w:rsid w:val="00262796"/>
    <w:rsid w:val="00262A01"/>
    <w:rsid w:val="00262A97"/>
    <w:rsid w:val="00262BAB"/>
    <w:rsid w:val="00262BCC"/>
    <w:rsid w:val="002638A9"/>
    <w:rsid w:val="00263E2E"/>
    <w:rsid w:val="002642C7"/>
    <w:rsid w:val="0026434B"/>
    <w:rsid w:val="00264424"/>
    <w:rsid w:val="002645DC"/>
    <w:rsid w:val="00264D17"/>
    <w:rsid w:val="0026552A"/>
    <w:rsid w:val="002656F6"/>
    <w:rsid w:val="00265CA5"/>
    <w:rsid w:val="00265FA2"/>
    <w:rsid w:val="00266078"/>
    <w:rsid w:val="002661DC"/>
    <w:rsid w:val="00266346"/>
    <w:rsid w:val="00266625"/>
    <w:rsid w:val="00266915"/>
    <w:rsid w:val="00266CB9"/>
    <w:rsid w:val="00266F49"/>
    <w:rsid w:val="002672FB"/>
    <w:rsid w:val="00267302"/>
    <w:rsid w:val="00267579"/>
    <w:rsid w:val="002675AF"/>
    <w:rsid w:val="00267868"/>
    <w:rsid w:val="00267B34"/>
    <w:rsid w:val="00267B6F"/>
    <w:rsid w:val="00267BBA"/>
    <w:rsid w:val="00267C8E"/>
    <w:rsid w:val="00270029"/>
    <w:rsid w:val="0027003E"/>
    <w:rsid w:val="0027046C"/>
    <w:rsid w:val="002705C8"/>
    <w:rsid w:val="0027066B"/>
    <w:rsid w:val="00270B32"/>
    <w:rsid w:val="00271052"/>
    <w:rsid w:val="00271129"/>
    <w:rsid w:val="0027131E"/>
    <w:rsid w:val="0027134A"/>
    <w:rsid w:val="00271480"/>
    <w:rsid w:val="002716BA"/>
    <w:rsid w:val="002716BD"/>
    <w:rsid w:val="00271DD4"/>
    <w:rsid w:val="0027201C"/>
    <w:rsid w:val="002725CD"/>
    <w:rsid w:val="002728F7"/>
    <w:rsid w:val="0027297C"/>
    <w:rsid w:val="00272C57"/>
    <w:rsid w:val="00273236"/>
    <w:rsid w:val="00273242"/>
    <w:rsid w:val="00273322"/>
    <w:rsid w:val="0027349B"/>
    <w:rsid w:val="0027356A"/>
    <w:rsid w:val="00273A26"/>
    <w:rsid w:val="00273AF2"/>
    <w:rsid w:val="00273CF0"/>
    <w:rsid w:val="0027407C"/>
    <w:rsid w:val="00274285"/>
    <w:rsid w:val="002743A5"/>
    <w:rsid w:val="00274622"/>
    <w:rsid w:val="002746D2"/>
    <w:rsid w:val="002748A3"/>
    <w:rsid w:val="002748DF"/>
    <w:rsid w:val="0027493F"/>
    <w:rsid w:val="00274AD6"/>
    <w:rsid w:val="00274BE3"/>
    <w:rsid w:val="00274E75"/>
    <w:rsid w:val="0027501B"/>
    <w:rsid w:val="00275166"/>
    <w:rsid w:val="002752B0"/>
    <w:rsid w:val="00275346"/>
    <w:rsid w:val="00275B33"/>
    <w:rsid w:val="00275B38"/>
    <w:rsid w:val="0027600B"/>
    <w:rsid w:val="0027681E"/>
    <w:rsid w:val="002768EA"/>
    <w:rsid w:val="00276A48"/>
    <w:rsid w:val="00276C6F"/>
    <w:rsid w:val="00276F35"/>
    <w:rsid w:val="0027721B"/>
    <w:rsid w:val="00277328"/>
    <w:rsid w:val="0027783A"/>
    <w:rsid w:val="00277C73"/>
    <w:rsid w:val="0028028A"/>
    <w:rsid w:val="00280683"/>
    <w:rsid w:val="002806D0"/>
    <w:rsid w:val="00280909"/>
    <w:rsid w:val="00280A4E"/>
    <w:rsid w:val="00280D5C"/>
    <w:rsid w:val="00281296"/>
    <w:rsid w:val="0028131C"/>
    <w:rsid w:val="002814F8"/>
    <w:rsid w:val="00281959"/>
    <w:rsid w:val="00281AE2"/>
    <w:rsid w:val="00281DD3"/>
    <w:rsid w:val="00281E0E"/>
    <w:rsid w:val="00282483"/>
    <w:rsid w:val="00282AC0"/>
    <w:rsid w:val="00282E92"/>
    <w:rsid w:val="00282F61"/>
    <w:rsid w:val="00282F78"/>
    <w:rsid w:val="002832C1"/>
    <w:rsid w:val="00283636"/>
    <w:rsid w:val="002837B8"/>
    <w:rsid w:val="00283C27"/>
    <w:rsid w:val="00283D5B"/>
    <w:rsid w:val="00284042"/>
    <w:rsid w:val="00284314"/>
    <w:rsid w:val="00284939"/>
    <w:rsid w:val="0028512D"/>
    <w:rsid w:val="002855B7"/>
    <w:rsid w:val="00285689"/>
    <w:rsid w:val="002859A1"/>
    <w:rsid w:val="00285D3C"/>
    <w:rsid w:val="002860FF"/>
    <w:rsid w:val="00286C98"/>
    <w:rsid w:val="00286D35"/>
    <w:rsid w:val="00286F87"/>
    <w:rsid w:val="0028744C"/>
    <w:rsid w:val="00287795"/>
    <w:rsid w:val="00287820"/>
    <w:rsid w:val="00287A3F"/>
    <w:rsid w:val="00287E41"/>
    <w:rsid w:val="00287EED"/>
    <w:rsid w:val="00287F8A"/>
    <w:rsid w:val="00287FCB"/>
    <w:rsid w:val="0029001A"/>
    <w:rsid w:val="00290297"/>
    <w:rsid w:val="00290419"/>
    <w:rsid w:val="002908A5"/>
    <w:rsid w:val="00290A64"/>
    <w:rsid w:val="00290C94"/>
    <w:rsid w:val="00290D0D"/>
    <w:rsid w:val="0029124D"/>
    <w:rsid w:val="0029149A"/>
    <w:rsid w:val="002917E8"/>
    <w:rsid w:val="00291E0F"/>
    <w:rsid w:val="00291E99"/>
    <w:rsid w:val="00292776"/>
    <w:rsid w:val="00292819"/>
    <w:rsid w:val="00292863"/>
    <w:rsid w:val="0029289E"/>
    <w:rsid w:val="00292C72"/>
    <w:rsid w:val="00292EA0"/>
    <w:rsid w:val="00293236"/>
    <w:rsid w:val="002932B4"/>
    <w:rsid w:val="0029360C"/>
    <w:rsid w:val="00293878"/>
    <w:rsid w:val="002941AD"/>
    <w:rsid w:val="00294269"/>
    <w:rsid w:val="002944C8"/>
    <w:rsid w:val="002944FB"/>
    <w:rsid w:val="00294992"/>
    <w:rsid w:val="0029499B"/>
    <w:rsid w:val="00294B48"/>
    <w:rsid w:val="00294B5A"/>
    <w:rsid w:val="00294B5D"/>
    <w:rsid w:val="00295522"/>
    <w:rsid w:val="00295E7C"/>
    <w:rsid w:val="0029619A"/>
    <w:rsid w:val="00296852"/>
    <w:rsid w:val="002969FF"/>
    <w:rsid w:val="00296A57"/>
    <w:rsid w:val="00296CE3"/>
    <w:rsid w:val="0029707C"/>
    <w:rsid w:val="002971D9"/>
    <w:rsid w:val="00297576"/>
    <w:rsid w:val="002975BB"/>
    <w:rsid w:val="00297A39"/>
    <w:rsid w:val="00297C97"/>
    <w:rsid w:val="002A0144"/>
    <w:rsid w:val="002A0149"/>
    <w:rsid w:val="002A0158"/>
    <w:rsid w:val="002A02BF"/>
    <w:rsid w:val="002A02C8"/>
    <w:rsid w:val="002A0496"/>
    <w:rsid w:val="002A06D3"/>
    <w:rsid w:val="002A092F"/>
    <w:rsid w:val="002A0D63"/>
    <w:rsid w:val="002A0E32"/>
    <w:rsid w:val="002A0F0A"/>
    <w:rsid w:val="002A0FAE"/>
    <w:rsid w:val="002A1024"/>
    <w:rsid w:val="002A11DB"/>
    <w:rsid w:val="002A1A6C"/>
    <w:rsid w:val="002A1DBD"/>
    <w:rsid w:val="002A1E66"/>
    <w:rsid w:val="002A21CD"/>
    <w:rsid w:val="002A227D"/>
    <w:rsid w:val="002A270E"/>
    <w:rsid w:val="002A2DBA"/>
    <w:rsid w:val="002A2E39"/>
    <w:rsid w:val="002A32E0"/>
    <w:rsid w:val="002A34C5"/>
    <w:rsid w:val="002A3602"/>
    <w:rsid w:val="002A3654"/>
    <w:rsid w:val="002A3CA3"/>
    <w:rsid w:val="002A3E27"/>
    <w:rsid w:val="002A3E69"/>
    <w:rsid w:val="002A3F79"/>
    <w:rsid w:val="002A3FBA"/>
    <w:rsid w:val="002A3FCF"/>
    <w:rsid w:val="002A434F"/>
    <w:rsid w:val="002A4D06"/>
    <w:rsid w:val="002A4E78"/>
    <w:rsid w:val="002A4FC0"/>
    <w:rsid w:val="002A5183"/>
    <w:rsid w:val="002A5321"/>
    <w:rsid w:val="002A5482"/>
    <w:rsid w:val="002A55D0"/>
    <w:rsid w:val="002A5A9E"/>
    <w:rsid w:val="002A608F"/>
    <w:rsid w:val="002A6329"/>
    <w:rsid w:val="002A661E"/>
    <w:rsid w:val="002A67AB"/>
    <w:rsid w:val="002A711A"/>
    <w:rsid w:val="002A711F"/>
    <w:rsid w:val="002A7442"/>
    <w:rsid w:val="002A7588"/>
    <w:rsid w:val="002A761C"/>
    <w:rsid w:val="002A7A95"/>
    <w:rsid w:val="002A7BD8"/>
    <w:rsid w:val="002A7D96"/>
    <w:rsid w:val="002B0383"/>
    <w:rsid w:val="002B0395"/>
    <w:rsid w:val="002B03CA"/>
    <w:rsid w:val="002B04CD"/>
    <w:rsid w:val="002B08E6"/>
    <w:rsid w:val="002B0FE8"/>
    <w:rsid w:val="002B21F3"/>
    <w:rsid w:val="002B22AC"/>
    <w:rsid w:val="002B271C"/>
    <w:rsid w:val="002B2745"/>
    <w:rsid w:val="002B28C0"/>
    <w:rsid w:val="002B2926"/>
    <w:rsid w:val="002B29B7"/>
    <w:rsid w:val="002B2D10"/>
    <w:rsid w:val="002B2E21"/>
    <w:rsid w:val="002B2F6D"/>
    <w:rsid w:val="002B3169"/>
    <w:rsid w:val="002B3487"/>
    <w:rsid w:val="002B36F3"/>
    <w:rsid w:val="002B3709"/>
    <w:rsid w:val="002B38E4"/>
    <w:rsid w:val="002B3A6F"/>
    <w:rsid w:val="002B3EF0"/>
    <w:rsid w:val="002B413F"/>
    <w:rsid w:val="002B41A2"/>
    <w:rsid w:val="002B4AC2"/>
    <w:rsid w:val="002B4B15"/>
    <w:rsid w:val="002B4D13"/>
    <w:rsid w:val="002B4D57"/>
    <w:rsid w:val="002B5066"/>
    <w:rsid w:val="002B5658"/>
    <w:rsid w:val="002B5704"/>
    <w:rsid w:val="002B58E6"/>
    <w:rsid w:val="002B5A14"/>
    <w:rsid w:val="002B5C01"/>
    <w:rsid w:val="002B5E21"/>
    <w:rsid w:val="002B5FB3"/>
    <w:rsid w:val="002B6451"/>
    <w:rsid w:val="002B66B5"/>
    <w:rsid w:val="002B6A65"/>
    <w:rsid w:val="002B6B10"/>
    <w:rsid w:val="002B6D41"/>
    <w:rsid w:val="002B733D"/>
    <w:rsid w:val="002B7507"/>
    <w:rsid w:val="002B7679"/>
    <w:rsid w:val="002B7688"/>
    <w:rsid w:val="002B77F3"/>
    <w:rsid w:val="002B7DD0"/>
    <w:rsid w:val="002C02F4"/>
    <w:rsid w:val="002C0779"/>
    <w:rsid w:val="002C0870"/>
    <w:rsid w:val="002C0A83"/>
    <w:rsid w:val="002C0AE6"/>
    <w:rsid w:val="002C0C6B"/>
    <w:rsid w:val="002C0DA2"/>
    <w:rsid w:val="002C1290"/>
    <w:rsid w:val="002C146F"/>
    <w:rsid w:val="002C1769"/>
    <w:rsid w:val="002C189F"/>
    <w:rsid w:val="002C196C"/>
    <w:rsid w:val="002C19A1"/>
    <w:rsid w:val="002C1A92"/>
    <w:rsid w:val="002C1E38"/>
    <w:rsid w:val="002C2024"/>
    <w:rsid w:val="002C202A"/>
    <w:rsid w:val="002C2154"/>
    <w:rsid w:val="002C22B0"/>
    <w:rsid w:val="002C23D3"/>
    <w:rsid w:val="002C2611"/>
    <w:rsid w:val="002C2824"/>
    <w:rsid w:val="002C2DC3"/>
    <w:rsid w:val="002C31A0"/>
    <w:rsid w:val="002C3333"/>
    <w:rsid w:val="002C3521"/>
    <w:rsid w:val="002C3533"/>
    <w:rsid w:val="002C3869"/>
    <w:rsid w:val="002C386B"/>
    <w:rsid w:val="002C3AC2"/>
    <w:rsid w:val="002C3D5D"/>
    <w:rsid w:val="002C4228"/>
    <w:rsid w:val="002C4320"/>
    <w:rsid w:val="002C43E0"/>
    <w:rsid w:val="002C467F"/>
    <w:rsid w:val="002C48F2"/>
    <w:rsid w:val="002C4A97"/>
    <w:rsid w:val="002C4BCB"/>
    <w:rsid w:val="002C4C94"/>
    <w:rsid w:val="002C4CF2"/>
    <w:rsid w:val="002C4F49"/>
    <w:rsid w:val="002C5114"/>
    <w:rsid w:val="002C5119"/>
    <w:rsid w:val="002C52D2"/>
    <w:rsid w:val="002C53F1"/>
    <w:rsid w:val="002C576D"/>
    <w:rsid w:val="002C57AA"/>
    <w:rsid w:val="002C58E4"/>
    <w:rsid w:val="002C5B1A"/>
    <w:rsid w:val="002C5B3E"/>
    <w:rsid w:val="002C5F4B"/>
    <w:rsid w:val="002C5FDE"/>
    <w:rsid w:val="002C6967"/>
    <w:rsid w:val="002C7016"/>
    <w:rsid w:val="002C7248"/>
    <w:rsid w:val="002C7587"/>
    <w:rsid w:val="002C78E3"/>
    <w:rsid w:val="002C7963"/>
    <w:rsid w:val="002C7A75"/>
    <w:rsid w:val="002C7C1A"/>
    <w:rsid w:val="002C7C7B"/>
    <w:rsid w:val="002C7FB8"/>
    <w:rsid w:val="002D036E"/>
    <w:rsid w:val="002D074D"/>
    <w:rsid w:val="002D0A51"/>
    <w:rsid w:val="002D0AC9"/>
    <w:rsid w:val="002D0DC6"/>
    <w:rsid w:val="002D110D"/>
    <w:rsid w:val="002D1281"/>
    <w:rsid w:val="002D161F"/>
    <w:rsid w:val="002D1F83"/>
    <w:rsid w:val="002D1FCA"/>
    <w:rsid w:val="002D2413"/>
    <w:rsid w:val="002D292D"/>
    <w:rsid w:val="002D328E"/>
    <w:rsid w:val="002D34A0"/>
    <w:rsid w:val="002D359D"/>
    <w:rsid w:val="002D3A35"/>
    <w:rsid w:val="002D3F62"/>
    <w:rsid w:val="002D4100"/>
    <w:rsid w:val="002D4121"/>
    <w:rsid w:val="002D4484"/>
    <w:rsid w:val="002D4775"/>
    <w:rsid w:val="002D48C1"/>
    <w:rsid w:val="002D4A69"/>
    <w:rsid w:val="002D4C48"/>
    <w:rsid w:val="002D4FA8"/>
    <w:rsid w:val="002D510E"/>
    <w:rsid w:val="002D519E"/>
    <w:rsid w:val="002D51A0"/>
    <w:rsid w:val="002D5556"/>
    <w:rsid w:val="002D5621"/>
    <w:rsid w:val="002D572A"/>
    <w:rsid w:val="002D58AF"/>
    <w:rsid w:val="002D58B6"/>
    <w:rsid w:val="002D5D5E"/>
    <w:rsid w:val="002D5F99"/>
    <w:rsid w:val="002D61F4"/>
    <w:rsid w:val="002D64B5"/>
    <w:rsid w:val="002D6774"/>
    <w:rsid w:val="002D69E6"/>
    <w:rsid w:val="002D6E58"/>
    <w:rsid w:val="002D7AB8"/>
    <w:rsid w:val="002D7DF2"/>
    <w:rsid w:val="002D7E79"/>
    <w:rsid w:val="002E003B"/>
    <w:rsid w:val="002E01A1"/>
    <w:rsid w:val="002E0482"/>
    <w:rsid w:val="002E0491"/>
    <w:rsid w:val="002E07E4"/>
    <w:rsid w:val="002E08D7"/>
    <w:rsid w:val="002E0A26"/>
    <w:rsid w:val="002E0A5D"/>
    <w:rsid w:val="002E13B4"/>
    <w:rsid w:val="002E157A"/>
    <w:rsid w:val="002E176E"/>
    <w:rsid w:val="002E17A8"/>
    <w:rsid w:val="002E19D4"/>
    <w:rsid w:val="002E1E72"/>
    <w:rsid w:val="002E2022"/>
    <w:rsid w:val="002E2568"/>
    <w:rsid w:val="002E2581"/>
    <w:rsid w:val="002E28BF"/>
    <w:rsid w:val="002E2970"/>
    <w:rsid w:val="002E2AA7"/>
    <w:rsid w:val="002E2AFE"/>
    <w:rsid w:val="002E2D60"/>
    <w:rsid w:val="002E2DE2"/>
    <w:rsid w:val="002E33B7"/>
    <w:rsid w:val="002E360D"/>
    <w:rsid w:val="002E38C0"/>
    <w:rsid w:val="002E38C8"/>
    <w:rsid w:val="002E3A1B"/>
    <w:rsid w:val="002E3E74"/>
    <w:rsid w:val="002E4090"/>
    <w:rsid w:val="002E43B8"/>
    <w:rsid w:val="002E4D3A"/>
    <w:rsid w:val="002E54F3"/>
    <w:rsid w:val="002E5687"/>
    <w:rsid w:val="002E569D"/>
    <w:rsid w:val="002E5908"/>
    <w:rsid w:val="002E5A26"/>
    <w:rsid w:val="002E5A39"/>
    <w:rsid w:val="002E5B66"/>
    <w:rsid w:val="002E5C56"/>
    <w:rsid w:val="002E5CFB"/>
    <w:rsid w:val="002E5EF6"/>
    <w:rsid w:val="002E63EF"/>
    <w:rsid w:val="002E6772"/>
    <w:rsid w:val="002E67D3"/>
    <w:rsid w:val="002E69E7"/>
    <w:rsid w:val="002E6E96"/>
    <w:rsid w:val="002E719F"/>
    <w:rsid w:val="002E74A3"/>
    <w:rsid w:val="002E7846"/>
    <w:rsid w:val="002E7848"/>
    <w:rsid w:val="002E7A68"/>
    <w:rsid w:val="002E7D5B"/>
    <w:rsid w:val="002F05AB"/>
    <w:rsid w:val="002F0686"/>
    <w:rsid w:val="002F06A8"/>
    <w:rsid w:val="002F0D81"/>
    <w:rsid w:val="002F0F4F"/>
    <w:rsid w:val="002F0F58"/>
    <w:rsid w:val="002F0F9C"/>
    <w:rsid w:val="002F1074"/>
    <w:rsid w:val="002F109B"/>
    <w:rsid w:val="002F1288"/>
    <w:rsid w:val="002F1460"/>
    <w:rsid w:val="002F1664"/>
    <w:rsid w:val="002F1BCF"/>
    <w:rsid w:val="002F2421"/>
    <w:rsid w:val="002F265A"/>
    <w:rsid w:val="002F298A"/>
    <w:rsid w:val="002F2A78"/>
    <w:rsid w:val="002F2E12"/>
    <w:rsid w:val="002F2F80"/>
    <w:rsid w:val="002F30C2"/>
    <w:rsid w:val="002F348E"/>
    <w:rsid w:val="002F3637"/>
    <w:rsid w:val="002F37E0"/>
    <w:rsid w:val="002F3E84"/>
    <w:rsid w:val="002F3ECF"/>
    <w:rsid w:val="002F4346"/>
    <w:rsid w:val="002F4542"/>
    <w:rsid w:val="002F4623"/>
    <w:rsid w:val="002F47D4"/>
    <w:rsid w:val="002F4B3D"/>
    <w:rsid w:val="002F4CD8"/>
    <w:rsid w:val="002F4F03"/>
    <w:rsid w:val="002F50CD"/>
    <w:rsid w:val="002F5617"/>
    <w:rsid w:val="002F564A"/>
    <w:rsid w:val="002F5720"/>
    <w:rsid w:val="002F5B73"/>
    <w:rsid w:val="002F6422"/>
    <w:rsid w:val="002F6A15"/>
    <w:rsid w:val="002F6BBA"/>
    <w:rsid w:val="002F6C9C"/>
    <w:rsid w:val="002F6D06"/>
    <w:rsid w:val="002F6D6C"/>
    <w:rsid w:val="002F7349"/>
    <w:rsid w:val="002F773B"/>
    <w:rsid w:val="002F7789"/>
    <w:rsid w:val="002F7877"/>
    <w:rsid w:val="002F7C61"/>
    <w:rsid w:val="002F7C88"/>
    <w:rsid w:val="002F7F2F"/>
    <w:rsid w:val="002F7FA6"/>
    <w:rsid w:val="0030039F"/>
    <w:rsid w:val="00301956"/>
    <w:rsid w:val="00301DF4"/>
    <w:rsid w:val="00301F43"/>
    <w:rsid w:val="003027BA"/>
    <w:rsid w:val="00302900"/>
    <w:rsid w:val="003029F6"/>
    <w:rsid w:val="00302ADB"/>
    <w:rsid w:val="00302CCD"/>
    <w:rsid w:val="00302D41"/>
    <w:rsid w:val="00302F59"/>
    <w:rsid w:val="003032F9"/>
    <w:rsid w:val="00303556"/>
    <w:rsid w:val="003036CF"/>
    <w:rsid w:val="003037C5"/>
    <w:rsid w:val="003039BB"/>
    <w:rsid w:val="00303AF5"/>
    <w:rsid w:val="00303C0E"/>
    <w:rsid w:val="00303C38"/>
    <w:rsid w:val="00303C75"/>
    <w:rsid w:val="003041B9"/>
    <w:rsid w:val="00304695"/>
    <w:rsid w:val="00304785"/>
    <w:rsid w:val="003048EB"/>
    <w:rsid w:val="00304BD5"/>
    <w:rsid w:val="00304C11"/>
    <w:rsid w:val="00304EF4"/>
    <w:rsid w:val="003051A9"/>
    <w:rsid w:val="00305390"/>
    <w:rsid w:val="00305392"/>
    <w:rsid w:val="00305619"/>
    <w:rsid w:val="003056E6"/>
    <w:rsid w:val="00305864"/>
    <w:rsid w:val="00306765"/>
    <w:rsid w:val="00306836"/>
    <w:rsid w:val="003068AA"/>
    <w:rsid w:val="00306A99"/>
    <w:rsid w:val="003071C7"/>
    <w:rsid w:val="003072BE"/>
    <w:rsid w:val="00307C81"/>
    <w:rsid w:val="00307E25"/>
    <w:rsid w:val="00307F5F"/>
    <w:rsid w:val="00310899"/>
    <w:rsid w:val="00310AD6"/>
    <w:rsid w:val="00310E9C"/>
    <w:rsid w:val="003111FC"/>
    <w:rsid w:val="003112AD"/>
    <w:rsid w:val="00311892"/>
    <w:rsid w:val="003118F4"/>
    <w:rsid w:val="00311C4E"/>
    <w:rsid w:val="00311F7A"/>
    <w:rsid w:val="00312003"/>
    <w:rsid w:val="00312087"/>
    <w:rsid w:val="00312559"/>
    <w:rsid w:val="00312A8A"/>
    <w:rsid w:val="00312A9D"/>
    <w:rsid w:val="00313494"/>
    <w:rsid w:val="00313538"/>
    <w:rsid w:val="00313DE2"/>
    <w:rsid w:val="00313E19"/>
    <w:rsid w:val="00314087"/>
    <w:rsid w:val="00314532"/>
    <w:rsid w:val="00314784"/>
    <w:rsid w:val="0031504A"/>
    <w:rsid w:val="00315169"/>
    <w:rsid w:val="00315283"/>
    <w:rsid w:val="00315906"/>
    <w:rsid w:val="00315A78"/>
    <w:rsid w:val="003162ED"/>
    <w:rsid w:val="0031642B"/>
    <w:rsid w:val="003164DB"/>
    <w:rsid w:val="00316937"/>
    <w:rsid w:val="00316C2E"/>
    <w:rsid w:val="00316DCA"/>
    <w:rsid w:val="00317568"/>
    <w:rsid w:val="0031767D"/>
    <w:rsid w:val="0031771B"/>
    <w:rsid w:val="003179C8"/>
    <w:rsid w:val="00317A2A"/>
    <w:rsid w:val="00317B65"/>
    <w:rsid w:val="003200DD"/>
    <w:rsid w:val="00320660"/>
    <w:rsid w:val="00320A33"/>
    <w:rsid w:val="00320A43"/>
    <w:rsid w:val="00320E65"/>
    <w:rsid w:val="0032127B"/>
    <w:rsid w:val="0032130B"/>
    <w:rsid w:val="0032134C"/>
    <w:rsid w:val="00321393"/>
    <w:rsid w:val="00321955"/>
    <w:rsid w:val="00322140"/>
    <w:rsid w:val="00322831"/>
    <w:rsid w:val="00322A64"/>
    <w:rsid w:val="00322EA2"/>
    <w:rsid w:val="00323557"/>
    <w:rsid w:val="0032358C"/>
    <w:rsid w:val="0032366C"/>
    <w:rsid w:val="00323774"/>
    <w:rsid w:val="0032396B"/>
    <w:rsid w:val="003240C8"/>
    <w:rsid w:val="00324A63"/>
    <w:rsid w:val="00324C52"/>
    <w:rsid w:val="00324DB3"/>
    <w:rsid w:val="003255E0"/>
    <w:rsid w:val="00325AE1"/>
    <w:rsid w:val="00326460"/>
    <w:rsid w:val="003267CB"/>
    <w:rsid w:val="00326AA4"/>
    <w:rsid w:val="00326B47"/>
    <w:rsid w:val="00326B8F"/>
    <w:rsid w:val="00326B9B"/>
    <w:rsid w:val="00326C68"/>
    <w:rsid w:val="00326D69"/>
    <w:rsid w:val="00327018"/>
    <w:rsid w:val="00327468"/>
    <w:rsid w:val="003279CA"/>
    <w:rsid w:val="00327F87"/>
    <w:rsid w:val="00330481"/>
    <w:rsid w:val="00330B8C"/>
    <w:rsid w:val="00330F2A"/>
    <w:rsid w:val="00331468"/>
    <w:rsid w:val="003316A4"/>
    <w:rsid w:val="0033187F"/>
    <w:rsid w:val="00331A55"/>
    <w:rsid w:val="00331ACC"/>
    <w:rsid w:val="00331BBC"/>
    <w:rsid w:val="00331D4D"/>
    <w:rsid w:val="00331DD3"/>
    <w:rsid w:val="00331E83"/>
    <w:rsid w:val="00331EC2"/>
    <w:rsid w:val="0033210B"/>
    <w:rsid w:val="0033225A"/>
    <w:rsid w:val="00332327"/>
    <w:rsid w:val="003324CF"/>
    <w:rsid w:val="00332551"/>
    <w:rsid w:val="00332D79"/>
    <w:rsid w:val="00332ED5"/>
    <w:rsid w:val="00332FA4"/>
    <w:rsid w:val="00333150"/>
    <w:rsid w:val="00333455"/>
    <w:rsid w:val="003335B7"/>
    <w:rsid w:val="003335BA"/>
    <w:rsid w:val="0033368A"/>
    <w:rsid w:val="003336DB"/>
    <w:rsid w:val="003336EE"/>
    <w:rsid w:val="00333E14"/>
    <w:rsid w:val="00333F6B"/>
    <w:rsid w:val="003340E2"/>
    <w:rsid w:val="0033414E"/>
    <w:rsid w:val="00334206"/>
    <w:rsid w:val="00334419"/>
    <w:rsid w:val="003344D1"/>
    <w:rsid w:val="003348F7"/>
    <w:rsid w:val="0033501B"/>
    <w:rsid w:val="003350D5"/>
    <w:rsid w:val="00335253"/>
    <w:rsid w:val="00335449"/>
    <w:rsid w:val="00335490"/>
    <w:rsid w:val="003354F4"/>
    <w:rsid w:val="003357ED"/>
    <w:rsid w:val="003361E6"/>
    <w:rsid w:val="0033632A"/>
    <w:rsid w:val="00336826"/>
    <w:rsid w:val="00336DBD"/>
    <w:rsid w:val="003372DB"/>
    <w:rsid w:val="0033731E"/>
    <w:rsid w:val="0033740D"/>
    <w:rsid w:val="00337447"/>
    <w:rsid w:val="00337797"/>
    <w:rsid w:val="0033787B"/>
    <w:rsid w:val="003378DF"/>
    <w:rsid w:val="003378EB"/>
    <w:rsid w:val="00337D2D"/>
    <w:rsid w:val="00337E39"/>
    <w:rsid w:val="0034023F"/>
    <w:rsid w:val="00340315"/>
    <w:rsid w:val="00340898"/>
    <w:rsid w:val="003409D8"/>
    <w:rsid w:val="00340AAB"/>
    <w:rsid w:val="00340AF2"/>
    <w:rsid w:val="00340B73"/>
    <w:rsid w:val="00340B77"/>
    <w:rsid w:val="00340D22"/>
    <w:rsid w:val="00340F22"/>
    <w:rsid w:val="00340F88"/>
    <w:rsid w:val="00341163"/>
    <w:rsid w:val="00341167"/>
    <w:rsid w:val="003419BC"/>
    <w:rsid w:val="00341A36"/>
    <w:rsid w:val="00341A76"/>
    <w:rsid w:val="00341C1F"/>
    <w:rsid w:val="00341F6E"/>
    <w:rsid w:val="003421E2"/>
    <w:rsid w:val="0034248E"/>
    <w:rsid w:val="003425D1"/>
    <w:rsid w:val="003427C4"/>
    <w:rsid w:val="00342811"/>
    <w:rsid w:val="00342992"/>
    <w:rsid w:val="00342C60"/>
    <w:rsid w:val="00342D92"/>
    <w:rsid w:val="00342E38"/>
    <w:rsid w:val="0034325F"/>
    <w:rsid w:val="003435F7"/>
    <w:rsid w:val="00343D44"/>
    <w:rsid w:val="00343D71"/>
    <w:rsid w:val="00343FCA"/>
    <w:rsid w:val="00344177"/>
    <w:rsid w:val="00344275"/>
    <w:rsid w:val="00344492"/>
    <w:rsid w:val="003444C3"/>
    <w:rsid w:val="003444E8"/>
    <w:rsid w:val="003446E9"/>
    <w:rsid w:val="00344902"/>
    <w:rsid w:val="003449E9"/>
    <w:rsid w:val="00344B39"/>
    <w:rsid w:val="00345020"/>
    <w:rsid w:val="003453B4"/>
    <w:rsid w:val="0034575A"/>
    <w:rsid w:val="00345A00"/>
    <w:rsid w:val="00345D79"/>
    <w:rsid w:val="0034605A"/>
    <w:rsid w:val="00346290"/>
    <w:rsid w:val="00346312"/>
    <w:rsid w:val="003463B5"/>
    <w:rsid w:val="00346A65"/>
    <w:rsid w:val="00346CD5"/>
    <w:rsid w:val="00346D9D"/>
    <w:rsid w:val="00347602"/>
    <w:rsid w:val="00347638"/>
    <w:rsid w:val="00347CDF"/>
    <w:rsid w:val="00347E6F"/>
    <w:rsid w:val="00347EDC"/>
    <w:rsid w:val="0035001D"/>
    <w:rsid w:val="0035031F"/>
    <w:rsid w:val="003508F8"/>
    <w:rsid w:val="00350B81"/>
    <w:rsid w:val="00350C90"/>
    <w:rsid w:val="00350E77"/>
    <w:rsid w:val="00350E9B"/>
    <w:rsid w:val="003510EE"/>
    <w:rsid w:val="003511C1"/>
    <w:rsid w:val="00351962"/>
    <w:rsid w:val="0035198C"/>
    <w:rsid w:val="00351C23"/>
    <w:rsid w:val="003521CF"/>
    <w:rsid w:val="003527AB"/>
    <w:rsid w:val="00352AA7"/>
    <w:rsid w:val="00352B1F"/>
    <w:rsid w:val="003531D8"/>
    <w:rsid w:val="0035365D"/>
    <w:rsid w:val="003537A5"/>
    <w:rsid w:val="00353987"/>
    <w:rsid w:val="00353B2C"/>
    <w:rsid w:val="00353B6E"/>
    <w:rsid w:val="00353E09"/>
    <w:rsid w:val="00354308"/>
    <w:rsid w:val="003544F9"/>
    <w:rsid w:val="003548B1"/>
    <w:rsid w:val="00354A30"/>
    <w:rsid w:val="00354C4F"/>
    <w:rsid w:val="00354D9F"/>
    <w:rsid w:val="00355488"/>
    <w:rsid w:val="003560D7"/>
    <w:rsid w:val="00356280"/>
    <w:rsid w:val="003565D8"/>
    <w:rsid w:val="00356884"/>
    <w:rsid w:val="00356963"/>
    <w:rsid w:val="0035697B"/>
    <w:rsid w:val="0035698E"/>
    <w:rsid w:val="00356D55"/>
    <w:rsid w:val="003572EE"/>
    <w:rsid w:val="0035737D"/>
    <w:rsid w:val="003577E4"/>
    <w:rsid w:val="00357B69"/>
    <w:rsid w:val="00357CCB"/>
    <w:rsid w:val="00357FAB"/>
    <w:rsid w:val="00357FE7"/>
    <w:rsid w:val="00360093"/>
    <w:rsid w:val="003600B9"/>
    <w:rsid w:val="003604DC"/>
    <w:rsid w:val="00360689"/>
    <w:rsid w:val="00360A4B"/>
    <w:rsid w:val="00360AB6"/>
    <w:rsid w:val="00360CAD"/>
    <w:rsid w:val="00360E0F"/>
    <w:rsid w:val="003611A0"/>
    <w:rsid w:val="003612EE"/>
    <w:rsid w:val="0036132F"/>
    <w:rsid w:val="00361ACE"/>
    <w:rsid w:val="00361F89"/>
    <w:rsid w:val="00361FBF"/>
    <w:rsid w:val="00362450"/>
    <w:rsid w:val="00362481"/>
    <w:rsid w:val="00362C27"/>
    <w:rsid w:val="00362EB8"/>
    <w:rsid w:val="003633FA"/>
    <w:rsid w:val="003634A0"/>
    <w:rsid w:val="00364326"/>
    <w:rsid w:val="003643E1"/>
    <w:rsid w:val="00364507"/>
    <w:rsid w:val="0036453A"/>
    <w:rsid w:val="00364A5B"/>
    <w:rsid w:val="00364F92"/>
    <w:rsid w:val="00365726"/>
    <w:rsid w:val="0036575E"/>
    <w:rsid w:val="003662C9"/>
    <w:rsid w:val="0036643F"/>
    <w:rsid w:val="00366538"/>
    <w:rsid w:val="00366676"/>
    <w:rsid w:val="003668CE"/>
    <w:rsid w:val="00366A6E"/>
    <w:rsid w:val="00366AC4"/>
    <w:rsid w:val="00366C97"/>
    <w:rsid w:val="00366E6C"/>
    <w:rsid w:val="003671E6"/>
    <w:rsid w:val="00367388"/>
    <w:rsid w:val="003678F0"/>
    <w:rsid w:val="00367A29"/>
    <w:rsid w:val="00367E2E"/>
    <w:rsid w:val="00367E52"/>
    <w:rsid w:val="00370358"/>
    <w:rsid w:val="003705E2"/>
    <w:rsid w:val="00370915"/>
    <w:rsid w:val="003709CB"/>
    <w:rsid w:val="00370ED9"/>
    <w:rsid w:val="00370EDD"/>
    <w:rsid w:val="00370F49"/>
    <w:rsid w:val="00371B69"/>
    <w:rsid w:val="00371EF7"/>
    <w:rsid w:val="00371FED"/>
    <w:rsid w:val="003720F1"/>
    <w:rsid w:val="00372262"/>
    <w:rsid w:val="0037277D"/>
    <w:rsid w:val="00372A4D"/>
    <w:rsid w:val="00372B52"/>
    <w:rsid w:val="00372B96"/>
    <w:rsid w:val="00372BE2"/>
    <w:rsid w:val="00372C4B"/>
    <w:rsid w:val="00372D64"/>
    <w:rsid w:val="00372E33"/>
    <w:rsid w:val="0037317B"/>
    <w:rsid w:val="0037350F"/>
    <w:rsid w:val="00373819"/>
    <w:rsid w:val="00373833"/>
    <w:rsid w:val="00373A18"/>
    <w:rsid w:val="00374102"/>
    <w:rsid w:val="00374134"/>
    <w:rsid w:val="003742AB"/>
    <w:rsid w:val="003747F7"/>
    <w:rsid w:val="00374D66"/>
    <w:rsid w:val="00375273"/>
    <w:rsid w:val="003753AE"/>
    <w:rsid w:val="003755E5"/>
    <w:rsid w:val="003756C0"/>
    <w:rsid w:val="00375A53"/>
    <w:rsid w:val="00375B1C"/>
    <w:rsid w:val="00376305"/>
    <w:rsid w:val="0037635D"/>
    <w:rsid w:val="003763BF"/>
    <w:rsid w:val="0037699B"/>
    <w:rsid w:val="00376D7D"/>
    <w:rsid w:val="00376D84"/>
    <w:rsid w:val="003772A1"/>
    <w:rsid w:val="003776A9"/>
    <w:rsid w:val="003779A7"/>
    <w:rsid w:val="003779DD"/>
    <w:rsid w:val="00377B2A"/>
    <w:rsid w:val="00377CBC"/>
    <w:rsid w:val="00377D98"/>
    <w:rsid w:val="00377E9C"/>
    <w:rsid w:val="00377EA8"/>
    <w:rsid w:val="003800C8"/>
    <w:rsid w:val="00380368"/>
    <w:rsid w:val="0038062F"/>
    <w:rsid w:val="00380927"/>
    <w:rsid w:val="00380A19"/>
    <w:rsid w:val="00380E44"/>
    <w:rsid w:val="00380EDA"/>
    <w:rsid w:val="00380FE8"/>
    <w:rsid w:val="003813F8"/>
    <w:rsid w:val="00381F99"/>
    <w:rsid w:val="003820F9"/>
    <w:rsid w:val="00382418"/>
    <w:rsid w:val="00382CBA"/>
    <w:rsid w:val="00382D71"/>
    <w:rsid w:val="00382FCC"/>
    <w:rsid w:val="003830E0"/>
    <w:rsid w:val="003832F9"/>
    <w:rsid w:val="00383725"/>
    <w:rsid w:val="003837BB"/>
    <w:rsid w:val="0038381B"/>
    <w:rsid w:val="0038384C"/>
    <w:rsid w:val="00383A3D"/>
    <w:rsid w:val="00383F18"/>
    <w:rsid w:val="00384032"/>
    <w:rsid w:val="003840F2"/>
    <w:rsid w:val="003841B4"/>
    <w:rsid w:val="00384628"/>
    <w:rsid w:val="00385421"/>
    <w:rsid w:val="003854CF"/>
    <w:rsid w:val="0038589D"/>
    <w:rsid w:val="00385A26"/>
    <w:rsid w:val="00385D76"/>
    <w:rsid w:val="00385EE7"/>
    <w:rsid w:val="00385F3E"/>
    <w:rsid w:val="0038601D"/>
    <w:rsid w:val="003860C9"/>
    <w:rsid w:val="00386322"/>
    <w:rsid w:val="003864E3"/>
    <w:rsid w:val="003867FE"/>
    <w:rsid w:val="00386ADB"/>
    <w:rsid w:val="00386CEB"/>
    <w:rsid w:val="00386FB7"/>
    <w:rsid w:val="00387006"/>
    <w:rsid w:val="00387067"/>
    <w:rsid w:val="0038715A"/>
    <w:rsid w:val="0038718B"/>
    <w:rsid w:val="00387232"/>
    <w:rsid w:val="003874D1"/>
    <w:rsid w:val="003876BF"/>
    <w:rsid w:val="00387957"/>
    <w:rsid w:val="003903AE"/>
    <w:rsid w:val="003903B3"/>
    <w:rsid w:val="00390466"/>
    <w:rsid w:val="0039073A"/>
    <w:rsid w:val="003908C9"/>
    <w:rsid w:val="00390907"/>
    <w:rsid w:val="00390933"/>
    <w:rsid w:val="00390A23"/>
    <w:rsid w:val="00390C25"/>
    <w:rsid w:val="00390C74"/>
    <w:rsid w:val="00390E17"/>
    <w:rsid w:val="00391365"/>
    <w:rsid w:val="00391471"/>
    <w:rsid w:val="00391BC2"/>
    <w:rsid w:val="00391C08"/>
    <w:rsid w:val="00391FA0"/>
    <w:rsid w:val="00391FCB"/>
    <w:rsid w:val="00391FE9"/>
    <w:rsid w:val="00392034"/>
    <w:rsid w:val="003923CF"/>
    <w:rsid w:val="00392586"/>
    <w:rsid w:val="0039289C"/>
    <w:rsid w:val="00392A09"/>
    <w:rsid w:val="00392D24"/>
    <w:rsid w:val="00393095"/>
    <w:rsid w:val="0039321C"/>
    <w:rsid w:val="0039332F"/>
    <w:rsid w:val="003935A8"/>
    <w:rsid w:val="003935C3"/>
    <w:rsid w:val="003935DD"/>
    <w:rsid w:val="0039391D"/>
    <w:rsid w:val="00393BF1"/>
    <w:rsid w:val="00393D1B"/>
    <w:rsid w:val="00393EB0"/>
    <w:rsid w:val="00394016"/>
    <w:rsid w:val="00394056"/>
    <w:rsid w:val="00394770"/>
    <w:rsid w:val="003950B6"/>
    <w:rsid w:val="003950E0"/>
    <w:rsid w:val="003951E5"/>
    <w:rsid w:val="00395801"/>
    <w:rsid w:val="0039595F"/>
    <w:rsid w:val="003959CF"/>
    <w:rsid w:val="00395B23"/>
    <w:rsid w:val="00396288"/>
    <w:rsid w:val="00396313"/>
    <w:rsid w:val="003965A4"/>
    <w:rsid w:val="003965F0"/>
    <w:rsid w:val="0039664C"/>
    <w:rsid w:val="00396ABF"/>
    <w:rsid w:val="0039710A"/>
    <w:rsid w:val="003973C0"/>
    <w:rsid w:val="00397765"/>
    <w:rsid w:val="0039788F"/>
    <w:rsid w:val="00397B49"/>
    <w:rsid w:val="00397DD4"/>
    <w:rsid w:val="003A00A1"/>
    <w:rsid w:val="003A0249"/>
    <w:rsid w:val="003A04E1"/>
    <w:rsid w:val="003A08B1"/>
    <w:rsid w:val="003A0B6C"/>
    <w:rsid w:val="003A0B92"/>
    <w:rsid w:val="003A0C39"/>
    <w:rsid w:val="003A0FB4"/>
    <w:rsid w:val="003A114F"/>
    <w:rsid w:val="003A1384"/>
    <w:rsid w:val="003A1810"/>
    <w:rsid w:val="003A20AB"/>
    <w:rsid w:val="003A2171"/>
    <w:rsid w:val="003A25DE"/>
    <w:rsid w:val="003A262B"/>
    <w:rsid w:val="003A27C9"/>
    <w:rsid w:val="003A2A59"/>
    <w:rsid w:val="003A2A7B"/>
    <w:rsid w:val="003A2B20"/>
    <w:rsid w:val="003A2B63"/>
    <w:rsid w:val="003A2B85"/>
    <w:rsid w:val="003A2DE4"/>
    <w:rsid w:val="003A307B"/>
    <w:rsid w:val="003A3524"/>
    <w:rsid w:val="003A364B"/>
    <w:rsid w:val="003A3970"/>
    <w:rsid w:val="003A3D03"/>
    <w:rsid w:val="003A3FC8"/>
    <w:rsid w:val="003A414C"/>
    <w:rsid w:val="003A4520"/>
    <w:rsid w:val="003A4957"/>
    <w:rsid w:val="003A4A01"/>
    <w:rsid w:val="003A4A29"/>
    <w:rsid w:val="003A4ABE"/>
    <w:rsid w:val="003A4AEC"/>
    <w:rsid w:val="003A4D83"/>
    <w:rsid w:val="003A4EC7"/>
    <w:rsid w:val="003A5035"/>
    <w:rsid w:val="003A5084"/>
    <w:rsid w:val="003A50DE"/>
    <w:rsid w:val="003A51AD"/>
    <w:rsid w:val="003A53C1"/>
    <w:rsid w:val="003A5536"/>
    <w:rsid w:val="003A5564"/>
    <w:rsid w:val="003A5717"/>
    <w:rsid w:val="003A5766"/>
    <w:rsid w:val="003A58DF"/>
    <w:rsid w:val="003A597E"/>
    <w:rsid w:val="003A5ADB"/>
    <w:rsid w:val="003A5CA9"/>
    <w:rsid w:val="003A5E8F"/>
    <w:rsid w:val="003A5EC1"/>
    <w:rsid w:val="003A66E8"/>
    <w:rsid w:val="003A67C3"/>
    <w:rsid w:val="003A6841"/>
    <w:rsid w:val="003A6949"/>
    <w:rsid w:val="003A6A56"/>
    <w:rsid w:val="003A72A4"/>
    <w:rsid w:val="003A7301"/>
    <w:rsid w:val="003A7587"/>
    <w:rsid w:val="003A75ED"/>
    <w:rsid w:val="003A763F"/>
    <w:rsid w:val="003A7D73"/>
    <w:rsid w:val="003A7F41"/>
    <w:rsid w:val="003B003D"/>
    <w:rsid w:val="003B0100"/>
    <w:rsid w:val="003B02F9"/>
    <w:rsid w:val="003B0472"/>
    <w:rsid w:val="003B0474"/>
    <w:rsid w:val="003B05C2"/>
    <w:rsid w:val="003B0690"/>
    <w:rsid w:val="003B0BAC"/>
    <w:rsid w:val="003B0C1B"/>
    <w:rsid w:val="003B0F16"/>
    <w:rsid w:val="003B0FE3"/>
    <w:rsid w:val="003B1240"/>
    <w:rsid w:val="003B12AB"/>
    <w:rsid w:val="003B1337"/>
    <w:rsid w:val="003B155D"/>
    <w:rsid w:val="003B1794"/>
    <w:rsid w:val="003B1991"/>
    <w:rsid w:val="003B1A6E"/>
    <w:rsid w:val="003B1ED2"/>
    <w:rsid w:val="003B203A"/>
    <w:rsid w:val="003B22E5"/>
    <w:rsid w:val="003B232B"/>
    <w:rsid w:val="003B24EF"/>
    <w:rsid w:val="003B269B"/>
    <w:rsid w:val="003B29F4"/>
    <w:rsid w:val="003B2AB8"/>
    <w:rsid w:val="003B2CE3"/>
    <w:rsid w:val="003B30C3"/>
    <w:rsid w:val="003B32E3"/>
    <w:rsid w:val="003B3464"/>
    <w:rsid w:val="003B36FD"/>
    <w:rsid w:val="003B38DB"/>
    <w:rsid w:val="003B39FA"/>
    <w:rsid w:val="003B3B7F"/>
    <w:rsid w:val="003B3C19"/>
    <w:rsid w:val="003B3D62"/>
    <w:rsid w:val="003B40A4"/>
    <w:rsid w:val="003B412A"/>
    <w:rsid w:val="003B419F"/>
    <w:rsid w:val="003B4467"/>
    <w:rsid w:val="003B48C2"/>
    <w:rsid w:val="003B48E5"/>
    <w:rsid w:val="003B4C24"/>
    <w:rsid w:val="003B4E4E"/>
    <w:rsid w:val="003B566F"/>
    <w:rsid w:val="003B5A2B"/>
    <w:rsid w:val="003B60AE"/>
    <w:rsid w:val="003B612A"/>
    <w:rsid w:val="003B6765"/>
    <w:rsid w:val="003B6E1B"/>
    <w:rsid w:val="003B6F5D"/>
    <w:rsid w:val="003B75E1"/>
    <w:rsid w:val="003B7645"/>
    <w:rsid w:val="003B7828"/>
    <w:rsid w:val="003C03D8"/>
    <w:rsid w:val="003C0782"/>
    <w:rsid w:val="003C0D25"/>
    <w:rsid w:val="003C0DDC"/>
    <w:rsid w:val="003C1512"/>
    <w:rsid w:val="003C1820"/>
    <w:rsid w:val="003C191F"/>
    <w:rsid w:val="003C1D31"/>
    <w:rsid w:val="003C1F37"/>
    <w:rsid w:val="003C2143"/>
    <w:rsid w:val="003C23D6"/>
    <w:rsid w:val="003C25A4"/>
    <w:rsid w:val="003C26CF"/>
    <w:rsid w:val="003C2D6B"/>
    <w:rsid w:val="003C2DA2"/>
    <w:rsid w:val="003C30B4"/>
    <w:rsid w:val="003C32EB"/>
    <w:rsid w:val="003C3349"/>
    <w:rsid w:val="003C36C5"/>
    <w:rsid w:val="003C3766"/>
    <w:rsid w:val="003C38DA"/>
    <w:rsid w:val="003C3C9E"/>
    <w:rsid w:val="003C3FC4"/>
    <w:rsid w:val="003C41E2"/>
    <w:rsid w:val="003C44B8"/>
    <w:rsid w:val="003C4944"/>
    <w:rsid w:val="003C4BB4"/>
    <w:rsid w:val="003C50F5"/>
    <w:rsid w:val="003C5309"/>
    <w:rsid w:val="003C56B9"/>
    <w:rsid w:val="003C5724"/>
    <w:rsid w:val="003C59BA"/>
    <w:rsid w:val="003C5B89"/>
    <w:rsid w:val="003C6160"/>
    <w:rsid w:val="003C64A0"/>
    <w:rsid w:val="003C6555"/>
    <w:rsid w:val="003C67EB"/>
    <w:rsid w:val="003C6899"/>
    <w:rsid w:val="003C6E95"/>
    <w:rsid w:val="003C752F"/>
    <w:rsid w:val="003C7681"/>
    <w:rsid w:val="003C76BE"/>
    <w:rsid w:val="003C781E"/>
    <w:rsid w:val="003C78F2"/>
    <w:rsid w:val="003C7B94"/>
    <w:rsid w:val="003C7FCA"/>
    <w:rsid w:val="003D04BE"/>
    <w:rsid w:val="003D0C33"/>
    <w:rsid w:val="003D0F47"/>
    <w:rsid w:val="003D10E3"/>
    <w:rsid w:val="003D1513"/>
    <w:rsid w:val="003D1718"/>
    <w:rsid w:val="003D174D"/>
    <w:rsid w:val="003D1766"/>
    <w:rsid w:val="003D1826"/>
    <w:rsid w:val="003D1945"/>
    <w:rsid w:val="003D19BF"/>
    <w:rsid w:val="003D22B5"/>
    <w:rsid w:val="003D232F"/>
    <w:rsid w:val="003D234A"/>
    <w:rsid w:val="003D25A7"/>
    <w:rsid w:val="003D2619"/>
    <w:rsid w:val="003D2837"/>
    <w:rsid w:val="003D2BF1"/>
    <w:rsid w:val="003D30CF"/>
    <w:rsid w:val="003D3329"/>
    <w:rsid w:val="003D352B"/>
    <w:rsid w:val="003D3746"/>
    <w:rsid w:val="003D3809"/>
    <w:rsid w:val="003D38CE"/>
    <w:rsid w:val="003D3D1A"/>
    <w:rsid w:val="003D3E0D"/>
    <w:rsid w:val="003D41F5"/>
    <w:rsid w:val="003D42AD"/>
    <w:rsid w:val="003D42D4"/>
    <w:rsid w:val="003D496C"/>
    <w:rsid w:val="003D4A7D"/>
    <w:rsid w:val="003D5092"/>
    <w:rsid w:val="003D50F1"/>
    <w:rsid w:val="003D51B4"/>
    <w:rsid w:val="003D5651"/>
    <w:rsid w:val="003D5898"/>
    <w:rsid w:val="003D59CC"/>
    <w:rsid w:val="003D5BF3"/>
    <w:rsid w:val="003D659E"/>
    <w:rsid w:val="003D6A15"/>
    <w:rsid w:val="003D76E9"/>
    <w:rsid w:val="003D77E8"/>
    <w:rsid w:val="003D7A5A"/>
    <w:rsid w:val="003D7CB2"/>
    <w:rsid w:val="003E00FC"/>
    <w:rsid w:val="003E0453"/>
    <w:rsid w:val="003E0620"/>
    <w:rsid w:val="003E0A33"/>
    <w:rsid w:val="003E0B7B"/>
    <w:rsid w:val="003E0BF4"/>
    <w:rsid w:val="003E0DEC"/>
    <w:rsid w:val="003E0E80"/>
    <w:rsid w:val="003E1542"/>
    <w:rsid w:val="003E1752"/>
    <w:rsid w:val="003E17EC"/>
    <w:rsid w:val="003E19A1"/>
    <w:rsid w:val="003E2009"/>
    <w:rsid w:val="003E203D"/>
    <w:rsid w:val="003E22B3"/>
    <w:rsid w:val="003E251F"/>
    <w:rsid w:val="003E2527"/>
    <w:rsid w:val="003E2668"/>
    <w:rsid w:val="003E26CB"/>
    <w:rsid w:val="003E303D"/>
    <w:rsid w:val="003E352C"/>
    <w:rsid w:val="003E3958"/>
    <w:rsid w:val="003E3987"/>
    <w:rsid w:val="003E3D2A"/>
    <w:rsid w:val="003E3DC5"/>
    <w:rsid w:val="003E4064"/>
    <w:rsid w:val="003E45F7"/>
    <w:rsid w:val="003E490A"/>
    <w:rsid w:val="003E497E"/>
    <w:rsid w:val="003E4E60"/>
    <w:rsid w:val="003E4F48"/>
    <w:rsid w:val="003E5111"/>
    <w:rsid w:val="003E53E4"/>
    <w:rsid w:val="003E5559"/>
    <w:rsid w:val="003E585A"/>
    <w:rsid w:val="003E58D7"/>
    <w:rsid w:val="003E6222"/>
    <w:rsid w:val="003E6534"/>
    <w:rsid w:val="003E6621"/>
    <w:rsid w:val="003E674A"/>
    <w:rsid w:val="003E6A1B"/>
    <w:rsid w:val="003E6B6C"/>
    <w:rsid w:val="003E77B0"/>
    <w:rsid w:val="003E7A45"/>
    <w:rsid w:val="003E7B80"/>
    <w:rsid w:val="003E7CA0"/>
    <w:rsid w:val="003E7E5B"/>
    <w:rsid w:val="003E7FA2"/>
    <w:rsid w:val="003F015A"/>
    <w:rsid w:val="003F019B"/>
    <w:rsid w:val="003F02C7"/>
    <w:rsid w:val="003F02D8"/>
    <w:rsid w:val="003F0354"/>
    <w:rsid w:val="003F056C"/>
    <w:rsid w:val="003F06D3"/>
    <w:rsid w:val="003F0A1C"/>
    <w:rsid w:val="003F0A70"/>
    <w:rsid w:val="003F0B9E"/>
    <w:rsid w:val="003F0D4F"/>
    <w:rsid w:val="003F0EEF"/>
    <w:rsid w:val="003F1710"/>
    <w:rsid w:val="003F1763"/>
    <w:rsid w:val="003F1794"/>
    <w:rsid w:val="003F22FD"/>
    <w:rsid w:val="003F23C2"/>
    <w:rsid w:val="003F23DB"/>
    <w:rsid w:val="003F2863"/>
    <w:rsid w:val="003F2A02"/>
    <w:rsid w:val="003F2A24"/>
    <w:rsid w:val="003F2EB1"/>
    <w:rsid w:val="003F3157"/>
    <w:rsid w:val="003F39C9"/>
    <w:rsid w:val="003F3B59"/>
    <w:rsid w:val="003F4087"/>
    <w:rsid w:val="003F4215"/>
    <w:rsid w:val="003F4820"/>
    <w:rsid w:val="003F4854"/>
    <w:rsid w:val="003F4A50"/>
    <w:rsid w:val="003F4EEB"/>
    <w:rsid w:val="003F50A4"/>
    <w:rsid w:val="003F50B3"/>
    <w:rsid w:val="003F5602"/>
    <w:rsid w:val="003F59EE"/>
    <w:rsid w:val="003F5B60"/>
    <w:rsid w:val="003F5E77"/>
    <w:rsid w:val="003F5E8E"/>
    <w:rsid w:val="003F5EA4"/>
    <w:rsid w:val="003F60D2"/>
    <w:rsid w:val="003F60D8"/>
    <w:rsid w:val="003F69C7"/>
    <w:rsid w:val="003F6A5C"/>
    <w:rsid w:val="003F6AAB"/>
    <w:rsid w:val="003F6D10"/>
    <w:rsid w:val="003F6EE9"/>
    <w:rsid w:val="003F708F"/>
    <w:rsid w:val="003F72C7"/>
    <w:rsid w:val="003F78E1"/>
    <w:rsid w:val="003F7A4F"/>
    <w:rsid w:val="00400182"/>
    <w:rsid w:val="0040019B"/>
    <w:rsid w:val="004008B1"/>
    <w:rsid w:val="004008D5"/>
    <w:rsid w:val="00400A13"/>
    <w:rsid w:val="00400F53"/>
    <w:rsid w:val="0040123B"/>
    <w:rsid w:val="00401274"/>
    <w:rsid w:val="0040129E"/>
    <w:rsid w:val="00401D5F"/>
    <w:rsid w:val="004023DA"/>
    <w:rsid w:val="00402D55"/>
    <w:rsid w:val="004033D5"/>
    <w:rsid w:val="0040370D"/>
    <w:rsid w:val="00403B6A"/>
    <w:rsid w:val="00403C5B"/>
    <w:rsid w:val="00403E8C"/>
    <w:rsid w:val="00403E95"/>
    <w:rsid w:val="00403EBA"/>
    <w:rsid w:val="004040BB"/>
    <w:rsid w:val="0040448C"/>
    <w:rsid w:val="00404A0F"/>
    <w:rsid w:val="0040521A"/>
    <w:rsid w:val="0040527E"/>
    <w:rsid w:val="00405A10"/>
    <w:rsid w:val="004060D4"/>
    <w:rsid w:val="004065CC"/>
    <w:rsid w:val="00406BA0"/>
    <w:rsid w:val="00406C65"/>
    <w:rsid w:val="00407412"/>
    <w:rsid w:val="004077A2"/>
    <w:rsid w:val="00407999"/>
    <w:rsid w:val="00407B19"/>
    <w:rsid w:val="00407C63"/>
    <w:rsid w:val="004103A6"/>
    <w:rsid w:val="0041061C"/>
    <w:rsid w:val="00410A3C"/>
    <w:rsid w:val="004113EE"/>
    <w:rsid w:val="00411830"/>
    <w:rsid w:val="0041185F"/>
    <w:rsid w:val="00411B1D"/>
    <w:rsid w:val="004124B4"/>
    <w:rsid w:val="00412772"/>
    <w:rsid w:val="0041293B"/>
    <w:rsid w:val="00412A4B"/>
    <w:rsid w:val="00412BEE"/>
    <w:rsid w:val="00412DA7"/>
    <w:rsid w:val="0041310D"/>
    <w:rsid w:val="0041323D"/>
    <w:rsid w:val="00413266"/>
    <w:rsid w:val="00413454"/>
    <w:rsid w:val="00413541"/>
    <w:rsid w:val="00413632"/>
    <w:rsid w:val="00413802"/>
    <w:rsid w:val="00413C70"/>
    <w:rsid w:val="00413D85"/>
    <w:rsid w:val="00413DB4"/>
    <w:rsid w:val="004142A8"/>
    <w:rsid w:val="00414E3C"/>
    <w:rsid w:val="00414FED"/>
    <w:rsid w:val="00415970"/>
    <w:rsid w:val="00415CD2"/>
    <w:rsid w:val="00415DF6"/>
    <w:rsid w:val="00416065"/>
    <w:rsid w:val="00416108"/>
    <w:rsid w:val="00416396"/>
    <w:rsid w:val="00416466"/>
    <w:rsid w:val="00416C45"/>
    <w:rsid w:val="00417070"/>
    <w:rsid w:val="00417118"/>
    <w:rsid w:val="004174EB"/>
    <w:rsid w:val="00417714"/>
    <w:rsid w:val="004178A3"/>
    <w:rsid w:val="00417AB5"/>
    <w:rsid w:val="00417C0F"/>
    <w:rsid w:val="00417E6B"/>
    <w:rsid w:val="004202B3"/>
    <w:rsid w:val="004202B8"/>
    <w:rsid w:val="004208C3"/>
    <w:rsid w:val="00420C23"/>
    <w:rsid w:val="00421621"/>
    <w:rsid w:val="00421991"/>
    <w:rsid w:val="00421C14"/>
    <w:rsid w:val="004220CF"/>
    <w:rsid w:val="004225AE"/>
    <w:rsid w:val="00422BC7"/>
    <w:rsid w:val="004230BF"/>
    <w:rsid w:val="004230ED"/>
    <w:rsid w:val="004234CE"/>
    <w:rsid w:val="004236C8"/>
    <w:rsid w:val="0042390D"/>
    <w:rsid w:val="00423C34"/>
    <w:rsid w:val="00423D03"/>
    <w:rsid w:val="00423E80"/>
    <w:rsid w:val="004249E0"/>
    <w:rsid w:val="00424ED2"/>
    <w:rsid w:val="00424F05"/>
    <w:rsid w:val="00424F46"/>
    <w:rsid w:val="00424FA4"/>
    <w:rsid w:val="004251B4"/>
    <w:rsid w:val="00425327"/>
    <w:rsid w:val="004255CD"/>
    <w:rsid w:val="0042561E"/>
    <w:rsid w:val="00425CBE"/>
    <w:rsid w:val="0042629E"/>
    <w:rsid w:val="004266A6"/>
    <w:rsid w:val="00426947"/>
    <w:rsid w:val="00426971"/>
    <w:rsid w:val="00426AE2"/>
    <w:rsid w:val="00426B42"/>
    <w:rsid w:val="00426BD8"/>
    <w:rsid w:val="00427070"/>
    <w:rsid w:val="0042708D"/>
    <w:rsid w:val="0042710C"/>
    <w:rsid w:val="004271F2"/>
    <w:rsid w:val="00427603"/>
    <w:rsid w:val="0042784E"/>
    <w:rsid w:val="00427943"/>
    <w:rsid w:val="00427C7F"/>
    <w:rsid w:val="00427E63"/>
    <w:rsid w:val="00430286"/>
    <w:rsid w:val="00430D4B"/>
    <w:rsid w:val="00430FEF"/>
    <w:rsid w:val="004310D6"/>
    <w:rsid w:val="004314D3"/>
    <w:rsid w:val="004314E4"/>
    <w:rsid w:val="00431832"/>
    <w:rsid w:val="0043199A"/>
    <w:rsid w:val="00431CCC"/>
    <w:rsid w:val="00431E13"/>
    <w:rsid w:val="00431EB5"/>
    <w:rsid w:val="0043222F"/>
    <w:rsid w:val="00432292"/>
    <w:rsid w:val="0043256F"/>
    <w:rsid w:val="004329B2"/>
    <w:rsid w:val="00432DAA"/>
    <w:rsid w:val="004336CA"/>
    <w:rsid w:val="0043377C"/>
    <w:rsid w:val="00433D33"/>
    <w:rsid w:val="004342A7"/>
    <w:rsid w:val="0043494B"/>
    <w:rsid w:val="00434977"/>
    <w:rsid w:val="00434998"/>
    <w:rsid w:val="00434D81"/>
    <w:rsid w:val="004355A4"/>
    <w:rsid w:val="00435857"/>
    <w:rsid w:val="004359F3"/>
    <w:rsid w:val="00435A22"/>
    <w:rsid w:val="00435EB6"/>
    <w:rsid w:val="004360C3"/>
    <w:rsid w:val="0043626C"/>
    <w:rsid w:val="004365CB"/>
    <w:rsid w:val="004368FB"/>
    <w:rsid w:val="004368FE"/>
    <w:rsid w:val="00436A41"/>
    <w:rsid w:val="00436B36"/>
    <w:rsid w:val="00436C3B"/>
    <w:rsid w:val="00436DE8"/>
    <w:rsid w:val="00436DF6"/>
    <w:rsid w:val="00436EDF"/>
    <w:rsid w:val="004373E0"/>
    <w:rsid w:val="00437899"/>
    <w:rsid w:val="00440486"/>
    <w:rsid w:val="00440638"/>
    <w:rsid w:val="004409B0"/>
    <w:rsid w:val="00440F04"/>
    <w:rsid w:val="0044127D"/>
    <w:rsid w:val="00441868"/>
    <w:rsid w:val="00441C03"/>
    <w:rsid w:val="00441C42"/>
    <w:rsid w:val="00441C59"/>
    <w:rsid w:val="00441DB9"/>
    <w:rsid w:val="00441DDE"/>
    <w:rsid w:val="0044211F"/>
    <w:rsid w:val="004425AE"/>
    <w:rsid w:val="0044263E"/>
    <w:rsid w:val="00442844"/>
    <w:rsid w:val="004428AB"/>
    <w:rsid w:val="004428E3"/>
    <w:rsid w:val="00442946"/>
    <w:rsid w:val="00442F67"/>
    <w:rsid w:val="00442F78"/>
    <w:rsid w:val="004430FD"/>
    <w:rsid w:val="00443177"/>
    <w:rsid w:val="00443617"/>
    <w:rsid w:val="004439C5"/>
    <w:rsid w:val="00443C4B"/>
    <w:rsid w:val="00443CC6"/>
    <w:rsid w:val="00443F68"/>
    <w:rsid w:val="00444195"/>
    <w:rsid w:val="00444199"/>
    <w:rsid w:val="00444212"/>
    <w:rsid w:val="0044430B"/>
    <w:rsid w:val="004452C9"/>
    <w:rsid w:val="00445429"/>
    <w:rsid w:val="0044552F"/>
    <w:rsid w:val="004457D0"/>
    <w:rsid w:val="0044591D"/>
    <w:rsid w:val="00445C71"/>
    <w:rsid w:val="00445EA0"/>
    <w:rsid w:val="00445F93"/>
    <w:rsid w:val="004466F5"/>
    <w:rsid w:val="00446796"/>
    <w:rsid w:val="0044689C"/>
    <w:rsid w:val="00446E13"/>
    <w:rsid w:val="00446E3D"/>
    <w:rsid w:val="00447007"/>
    <w:rsid w:val="004473F9"/>
    <w:rsid w:val="00447546"/>
    <w:rsid w:val="0044780B"/>
    <w:rsid w:val="00447A03"/>
    <w:rsid w:val="004502FA"/>
    <w:rsid w:val="004504CE"/>
    <w:rsid w:val="004505B5"/>
    <w:rsid w:val="00450A87"/>
    <w:rsid w:val="00450CD7"/>
    <w:rsid w:val="004510B8"/>
    <w:rsid w:val="00451673"/>
    <w:rsid w:val="004516CB"/>
    <w:rsid w:val="00451800"/>
    <w:rsid w:val="00451D03"/>
    <w:rsid w:val="0045201F"/>
    <w:rsid w:val="00452126"/>
    <w:rsid w:val="004523D8"/>
    <w:rsid w:val="00452B21"/>
    <w:rsid w:val="00452BCF"/>
    <w:rsid w:val="00452F45"/>
    <w:rsid w:val="00452F5C"/>
    <w:rsid w:val="004531B1"/>
    <w:rsid w:val="00453472"/>
    <w:rsid w:val="00453D9A"/>
    <w:rsid w:val="00454238"/>
    <w:rsid w:val="004543A5"/>
    <w:rsid w:val="0045440C"/>
    <w:rsid w:val="0045481C"/>
    <w:rsid w:val="0045495D"/>
    <w:rsid w:val="00454AF7"/>
    <w:rsid w:val="00454FE2"/>
    <w:rsid w:val="00455129"/>
    <w:rsid w:val="00455213"/>
    <w:rsid w:val="0045533D"/>
    <w:rsid w:val="004556B3"/>
    <w:rsid w:val="0045570C"/>
    <w:rsid w:val="004558DF"/>
    <w:rsid w:val="00455901"/>
    <w:rsid w:val="00455915"/>
    <w:rsid w:val="00455A5C"/>
    <w:rsid w:val="00455B86"/>
    <w:rsid w:val="00455DB5"/>
    <w:rsid w:val="00455FBF"/>
    <w:rsid w:val="00456140"/>
    <w:rsid w:val="0045675E"/>
    <w:rsid w:val="004567CF"/>
    <w:rsid w:val="00456B10"/>
    <w:rsid w:val="00456CB4"/>
    <w:rsid w:val="00456CEF"/>
    <w:rsid w:val="00457477"/>
    <w:rsid w:val="004576A6"/>
    <w:rsid w:val="004577DA"/>
    <w:rsid w:val="004578B0"/>
    <w:rsid w:val="004579ED"/>
    <w:rsid w:val="00457AD3"/>
    <w:rsid w:val="00457CD3"/>
    <w:rsid w:val="004604D2"/>
    <w:rsid w:val="00460854"/>
    <w:rsid w:val="004609C4"/>
    <w:rsid w:val="00460C09"/>
    <w:rsid w:val="00460D7C"/>
    <w:rsid w:val="00460EE8"/>
    <w:rsid w:val="00460F02"/>
    <w:rsid w:val="00461004"/>
    <w:rsid w:val="004613FF"/>
    <w:rsid w:val="00461824"/>
    <w:rsid w:val="00461943"/>
    <w:rsid w:val="00461A15"/>
    <w:rsid w:val="00461C09"/>
    <w:rsid w:val="004622EF"/>
    <w:rsid w:val="004625D6"/>
    <w:rsid w:val="004628A5"/>
    <w:rsid w:val="004629E8"/>
    <w:rsid w:val="0046302A"/>
    <w:rsid w:val="004631C6"/>
    <w:rsid w:val="00463361"/>
    <w:rsid w:val="00463674"/>
    <w:rsid w:val="00463F07"/>
    <w:rsid w:val="00463F81"/>
    <w:rsid w:val="004640BE"/>
    <w:rsid w:val="0046498F"/>
    <w:rsid w:val="00464A78"/>
    <w:rsid w:val="00464B53"/>
    <w:rsid w:val="00464F27"/>
    <w:rsid w:val="00465213"/>
    <w:rsid w:val="00465217"/>
    <w:rsid w:val="00465459"/>
    <w:rsid w:val="004654E8"/>
    <w:rsid w:val="0046550E"/>
    <w:rsid w:val="004655BB"/>
    <w:rsid w:val="00465B52"/>
    <w:rsid w:val="00465C00"/>
    <w:rsid w:val="004661F2"/>
    <w:rsid w:val="0046655D"/>
    <w:rsid w:val="00466A2C"/>
    <w:rsid w:val="00466DA7"/>
    <w:rsid w:val="00466DFC"/>
    <w:rsid w:val="00466E5A"/>
    <w:rsid w:val="00466F73"/>
    <w:rsid w:val="0046702F"/>
    <w:rsid w:val="00467034"/>
    <w:rsid w:val="00467101"/>
    <w:rsid w:val="00467E5B"/>
    <w:rsid w:val="00467F60"/>
    <w:rsid w:val="0047019C"/>
    <w:rsid w:val="0047042D"/>
    <w:rsid w:val="00470872"/>
    <w:rsid w:val="004709AA"/>
    <w:rsid w:val="00470C76"/>
    <w:rsid w:val="00470C89"/>
    <w:rsid w:val="0047165B"/>
    <w:rsid w:val="00471DF8"/>
    <w:rsid w:val="004721D2"/>
    <w:rsid w:val="004726C7"/>
    <w:rsid w:val="00472729"/>
    <w:rsid w:val="00472D69"/>
    <w:rsid w:val="00472E38"/>
    <w:rsid w:val="00472F51"/>
    <w:rsid w:val="00472FFF"/>
    <w:rsid w:val="00473573"/>
    <w:rsid w:val="004735B3"/>
    <w:rsid w:val="00473644"/>
    <w:rsid w:val="00473A76"/>
    <w:rsid w:val="00473C2C"/>
    <w:rsid w:val="00473D6C"/>
    <w:rsid w:val="00473E22"/>
    <w:rsid w:val="00474280"/>
    <w:rsid w:val="004743DA"/>
    <w:rsid w:val="004744D1"/>
    <w:rsid w:val="00474D21"/>
    <w:rsid w:val="00474D39"/>
    <w:rsid w:val="00475019"/>
    <w:rsid w:val="00475480"/>
    <w:rsid w:val="00475D80"/>
    <w:rsid w:val="00475DCB"/>
    <w:rsid w:val="00475DE2"/>
    <w:rsid w:val="00475F68"/>
    <w:rsid w:val="0047608F"/>
    <w:rsid w:val="00476398"/>
    <w:rsid w:val="0047652B"/>
    <w:rsid w:val="00476884"/>
    <w:rsid w:val="00476DAF"/>
    <w:rsid w:val="00476EDF"/>
    <w:rsid w:val="004774C2"/>
    <w:rsid w:val="0047756A"/>
    <w:rsid w:val="0047760C"/>
    <w:rsid w:val="00477BCF"/>
    <w:rsid w:val="00477C73"/>
    <w:rsid w:val="00477D7B"/>
    <w:rsid w:val="00477F94"/>
    <w:rsid w:val="00480001"/>
    <w:rsid w:val="00480270"/>
    <w:rsid w:val="00480516"/>
    <w:rsid w:val="00480D68"/>
    <w:rsid w:val="00481133"/>
    <w:rsid w:val="00481201"/>
    <w:rsid w:val="0048124A"/>
    <w:rsid w:val="0048124D"/>
    <w:rsid w:val="0048169F"/>
    <w:rsid w:val="00481893"/>
    <w:rsid w:val="004818C3"/>
    <w:rsid w:val="00481BE3"/>
    <w:rsid w:val="00481C22"/>
    <w:rsid w:val="00482271"/>
    <w:rsid w:val="004822E6"/>
    <w:rsid w:val="004823F8"/>
    <w:rsid w:val="004824C9"/>
    <w:rsid w:val="004825B8"/>
    <w:rsid w:val="004825CA"/>
    <w:rsid w:val="00482A96"/>
    <w:rsid w:val="00482C6E"/>
    <w:rsid w:val="00482E4C"/>
    <w:rsid w:val="004834BA"/>
    <w:rsid w:val="00483628"/>
    <w:rsid w:val="004838C0"/>
    <w:rsid w:val="00483964"/>
    <w:rsid w:val="00483A96"/>
    <w:rsid w:val="00483ADC"/>
    <w:rsid w:val="004844C7"/>
    <w:rsid w:val="004847F8"/>
    <w:rsid w:val="00484C46"/>
    <w:rsid w:val="00484D6E"/>
    <w:rsid w:val="00485122"/>
    <w:rsid w:val="00485813"/>
    <w:rsid w:val="00485BE2"/>
    <w:rsid w:val="004860E6"/>
    <w:rsid w:val="00486534"/>
    <w:rsid w:val="004867C0"/>
    <w:rsid w:val="004867FC"/>
    <w:rsid w:val="004868B1"/>
    <w:rsid w:val="004869CE"/>
    <w:rsid w:val="00486D94"/>
    <w:rsid w:val="00487102"/>
    <w:rsid w:val="00487623"/>
    <w:rsid w:val="004877B5"/>
    <w:rsid w:val="004877E1"/>
    <w:rsid w:val="0048786F"/>
    <w:rsid w:val="0048797F"/>
    <w:rsid w:val="00487A69"/>
    <w:rsid w:val="00487B15"/>
    <w:rsid w:val="00487B86"/>
    <w:rsid w:val="00487DB5"/>
    <w:rsid w:val="00487FB8"/>
    <w:rsid w:val="004901AC"/>
    <w:rsid w:val="00490395"/>
    <w:rsid w:val="00490443"/>
    <w:rsid w:val="00490B62"/>
    <w:rsid w:val="00490BB5"/>
    <w:rsid w:val="00490EEF"/>
    <w:rsid w:val="00491310"/>
    <w:rsid w:val="004913FE"/>
    <w:rsid w:val="004914B6"/>
    <w:rsid w:val="004917B5"/>
    <w:rsid w:val="00491C65"/>
    <w:rsid w:val="00491D4E"/>
    <w:rsid w:val="00491E28"/>
    <w:rsid w:val="00491E45"/>
    <w:rsid w:val="00492168"/>
    <w:rsid w:val="004921A9"/>
    <w:rsid w:val="004926DA"/>
    <w:rsid w:val="00492A33"/>
    <w:rsid w:val="00492ADC"/>
    <w:rsid w:val="00492DDB"/>
    <w:rsid w:val="004931CB"/>
    <w:rsid w:val="004935EE"/>
    <w:rsid w:val="00493734"/>
    <w:rsid w:val="0049392C"/>
    <w:rsid w:val="00493B43"/>
    <w:rsid w:val="00493BA6"/>
    <w:rsid w:val="00493C22"/>
    <w:rsid w:val="00493CFA"/>
    <w:rsid w:val="00493FFF"/>
    <w:rsid w:val="0049434C"/>
    <w:rsid w:val="004946E0"/>
    <w:rsid w:val="00494747"/>
    <w:rsid w:val="00494F35"/>
    <w:rsid w:val="00494FD4"/>
    <w:rsid w:val="004953F4"/>
    <w:rsid w:val="00495488"/>
    <w:rsid w:val="0049590B"/>
    <w:rsid w:val="00495A72"/>
    <w:rsid w:val="00495ED8"/>
    <w:rsid w:val="004963C8"/>
    <w:rsid w:val="00496426"/>
    <w:rsid w:val="004968E8"/>
    <w:rsid w:val="00496AF2"/>
    <w:rsid w:val="004974EA"/>
    <w:rsid w:val="00497781"/>
    <w:rsid w:val="004977EC"/>
    <w:rsid w:val="00497A47"/>
    <w:rsid w:val="00497AA3"/>
    <w:rsid w:val="00497D7E"/>
    <w:rsid w:val="004A0370"/>
    <w:rsid w:val="004A0A38"/>
    <w:rsid w:val="004A0A72"/>
    <w:rsid w:val="004A0EDD"/>
    <w:rsid w:val="004A105B"/>
    <w:rsid w:val="004A15D9"/>
    <w:rsid w:val="004A16F2"/>
    <w:rsid w:val="004A1828"/>
    <w:rsid w:val="004A1E06"/>
    <w:rsid w:val="004A2180"/>
    <w:rsid w:val="004A21F5"/>
    <w:rsid w:val="004A2383"/>
    <w:rsid w:val="004A2401"/>
    <w:rsid w:val="004A245E"/>
    <w:rsid w:val="004A2600"/>
    <w:rsid w:val="004A2825"/>
    <w:rsid w:val="004A2A15"/>
    <w:rsid w:val="004A2E68"/>
    <w:rsid w:val="004A324A"/>
    <w:rsid w:val="004A34A8"/>
    <w:rsid w:val="004A34BC"/>
    <w:rsid w:val="004A3A55"/>
    <w:rsid w:val="004A3EC4"/>
    <w:rsid w:val="004A403A"/>
    <w:rsid w:val="004A411D"/>
    <w:rsid w:val="004A48B5"/>
    <w:rsid w:val="004A4B16"/>
    <w:rsid w:val="004A50AE"/>
    <w:rsid w:val="004A5250"/>
    <w:rsid w:val="004A5301"/>
    <w:rsid w:val="004A55E6"/>
    <w:rsid w:val="004A561C"/>
    <w:rsid w:val="004A5674"/>
    <w:rsid w:val="004A5777"/>
    <w:rsid w:val="004A5B0D"/>
    <w:rsid w:val="004A5B5B"/>
    <w:rsid w:val="004A5D0F"/>
    <w:rsid w:val="004A63BA"/>
    <w:rsid w:val="004A63EB"/>
    <w:rsid w:val="004A6689"/>
    <w:rsid w:val="004A670C"/>
    <w:rsid w:val="004A6802"/>
    <w:rsid w:val="004A68D3"/>
    <w:rsid w:val="004A6B51"/>
    <w:rsid w:val="004A6E59"/>
    <w:rsid w:val="004A6FBC"/>
    <w:rsid w:val="004A710D"/>
    <w:rsid w:val="004A7398"/>
    <w:rsid w:val="004B020D"/>
    <w:rsid w:val="004B047D"/>
    <w:rsid w:val="004B04FC"/>
    <w:rsid w:val="004B069A"/>
    <w:rsid w:val="004B0843"/>
    <w:rsid w:val="004B0994"/>
    <w:rsid w:val="004B0A75"/>
    <w:rsid w:val="004B0ABD"/>
    <w:rsid w:val="004B0AD0"/>
    <w:rsid w:val="004B0B6A"/>
    <w:rsid w:val="004B0CEF"/>
    <w:rsid w:val="004B0E2A"/>
    <w:rsid w:val="004B0F55"/>
    <w:rsid w:val="004B16B5"/>
    <w:rsid w:val="004B18D8"/>
    <w:rsid w:val="004B1BDC"/>
    <w:rsid w:val="004B1D94"/>
    <w:rsid w:val="004B2209"/>
    <w:rsid w:val="004B234A"/>
    <w:rsid w:val="004B2426"/>
    <w:rsid w:val="004B2552"/>
    <w:rsid w:val="004B2A7A"/>
    <w:rsid w:val="004B2B4F"/>
    <w:rsid w:val="004B2D36"/>
    <w:rsid w:val="004B2F41"/>
    <w:rsid w:val="004B3137"/>
    <w:rsid w:val="004B35C6"/>
    <w:rsid w:val="004B3800"/>
    <w:rsid w:val="004B390C"/>
    <w:rsid w:val="004B3DCD"/>
    <w:rsid w:val="004B404F"/>
    <w:rsid w:val="004B4229"/>
    <w:rsid w:val="004B45C7"/>
    <w:rsid w:val="004B4621"/>
    <w:rsid w:val="004B4825"/>
    <w:rsid w:val="004B4AC0"/>
    <w:rsid w:val="004B4AD0"/>
    <w:rsid w:val="004B4BD1"/>
    <w:rsid w:val="004B4DB8"/>
    <w:rsid w:val="004B4FDF"/>
    <w:rsid w:val="004B5249"/>
    <w:rsid w:val="004B5758"/>
    <w:rsid w:val="004B5C5A"/>
    <w:rsid w:val="004B5CC1"/>
    <w:rsid w:val="004B5DF7"/>
    <w:rsid w:val="004B5E0F"/>
    <w:rsid w:val="004B6261"/>
    <w:rsid w:val="004B6960"/>
    <w:rsid w:val="004B6DD2"/>
    <w:rsid w:val="004B7479"/>
    <w:rsid w:val="004B76BF"/>
    <w:rsid w:val="004B772E"/>
    <w:rsid w:val="004B7BE5"/>
    <w:rsid w:val="004B7C4B"/>
    <w:rsid w:val="004B7C67"/>
    <w:rsid w:val="004B7E88"/>
    <w:rsid w:val="004B7F0A"/>
    <w:rsid w:val="004C0188"/>
    <w:rsid w:val="004C0717"/>
    <w:rsid w:val="004C0794"/>
    <w:rsid w:val="004C07AB"/>
    <w:rsid w:val="004C07F9"/>
    <w:rsid w:val="004C0925"/>
    <w:rsid w:val="004C0927"/>
    <w:rsid w:val="004C0CF0"/>
    <w:rsid w:val="004C0F1B"/>
    <w:rsid w:val="004C1259"/>
    <w:rsid w:val="004C1424"/>
    <w:rsid w:val="004C1487"/>
    <w:rsid w:val="004C1814"/>
    <w:rsid w:val="004C188F"/>
    <w:rsid w:val="004C1A94"/>
    <w:rsid w:val="004C1AF0"/>
    <w:rsid w:val="004C2102"/>
    <w:rsid w:val="004C212E"/>
    <w:rsid w:val="004C24D1"/>
    <w:rsid w:val="004C24E8"/>
    <w:rsid w:val="004C26E9"/>
    <w:rsid w:val="004C28E8"/>
    <w:rsid w:val="004C293E"/>
    <w:rsid w:val="004C315B"/>
    <w:rsid w:val="004C33B6"/>
    <w:rsid w:val="004C3749"/>
    <w:rsid w:val="004C3A38"/>
    <w:rsid w:val="004C3D70"/>
    <w:rsid w:val="004C3D73"/>
    <w:rsid w:val="004C3EBB"/>
    <w:rsid w:val="004C45A1"/>
    <w:rsid w:val="004C4A4B"/>
    <w:rsid w:val="004C4B3A"/>
    <w:rsid w:val="004C4B64"/>
    <w:rsid w:val="004C4B78"/>
    <w:rsid w:val="004C4B98"/>
    <w:rsid w:val="004C4CCE"/>
    <w:rsid w:val="004C4CF5"/>
    <w:rsid w:val="004C4CFF"/>
    <w:rsid w:val="004C537E"/>
    <w:rsid w:val="004C549D"/>
    <w:rsid w:val="004C5750"/>
    <w:rsid w:val="004C5A89"/>
    <w:rsid w:val="004C5BB9"/>
    <w:rsid w:val="004C5CA7"/>
    <w:rsid w:val="004C6198"/>
    <w:rsid w:val="004C62DA"/>
    <w:rsid w:val="004C639E"/>
    <w:rsid w:val="004C65BF"/>
    <w:rsid w:val="004C6673"/>
    <w:rsid w:val="004C7018"/>
    <w:rsid w:val="004C7266"/>
    <w:rsid w:val="004C7614"/>
    <w:rsid w:val="004C7648"/>
    <w:rsid w:val="004C7853"/>
    <w:rsid w:val="004C7D5A"/>
    <w:rsid w:val="004D0305"/>
    <w:rsid w:val="004D075E"/>
    <w:rsid w:val="004D09E4"/>
    <w:rsid w:val="004D1075"/>
    <w:rsid w:val="004D1282"/>
    <w:rsid w:val="004D1461"/>
    <w:rsid w:val="004D14D7"/>
    <w:rsid w:val="004D156D"/>
    <w:rsid w:val="004D20C0"/>
    <w:rsid w:val="004D211B"/>
    <w:rsid w:val="004D238D"/>
    <w:rsid w:val="004D253B"/>
    <w:rsid w:val="004D25D0"/>
    <w:rsid w:val="004D2858"/>
    <w:rsid w:val="004D28CA"/>
    <w:rsid w:val="004D2D6F"/>
    <w:rsid w:val="004D2ED0"/>
    <w:rsid w:val="004D3140"/>
    <w:rsid w:val="004D3376"/>
    <w:rsid w:val="004D3486"/>
    <w:rsid w:val="004D388B"/>
    <w:rsid w:val="004D3C71"/>
    <w:rsid w:val="004D41AD"/>
    <w:rsid w:val="004D4255"/>
    <w:rsid w:val="004D45CB"/>
    <w:rsid w:val="004D45F3"/>
    <w:rsid w:val="004D46B8"/>
    <w:rsid w:val="004D4783"/>
    <w:rsid w:val="004D48BF"/>
    <w:rsid w:val="004D494A"/>
    <w:rsid w:val="004D4E2B"/>
    <w:rsid w:val="004D5036"/>
    <w:rsid w:val="004D535B"/>
    <w:rsid w:val="004D5CEC"/>
    <w:rsid w:val="004D5F98"/>
    <w:rsid w:val="004D60E3"/>
    <w:rsid w:val="004D62EF"/>
    <w:rsid w:val="004D6420"/>
    <w:rsid w:val="004D6675"/>
    <w:rsid w:val="004D6DFE"/>
    <w:rsid w:val="004D6E05"/>
    <w:rsid w:val="004D7177"/>
    <w:rsid w:val="004D753B"/>
    <w:rsid w:val="004D75D8"/>
    <w:rsid w:val="004D774F"/>
    <w:rsid w:val="004D77D2"/>
    <w:rsid w:val="004D7A6A"/>
    <w:rsid w:val="004D7B88"/>
    <w:rsid w:val="004D7D90"/>
    <w:rsid w:val="004D7E7A"/>
    <w:rsid w:val="004D7F21"/>
    <w:rsid w:val="004D7FF4"/>
    <w:rsid w:val="004E0420"/>
    <w:rsid w:val="004E0641"/>
    <w:rsid w:val="004E0767"/>
    <w:rsid w:val="004E087B"/>
    <w:rsid w:val="004E096C"/>
    <w:rsid w:val="004E09CE"/>
    <w:rsid w:val="004E0A59"/>
    <w:rsid w:val="004E0D03"/>
    <w:rsid w:val="004E0E3D"/>
    <w:rsid w:val="004E0FD2"/>
    <w:rsid w:val="004E110A"/>
    <w:rsid w:val="004E11B5"/>
    <w:rsid w:val="004E1217"/>
    <w:rsid w:val="004E12AA"/>
    <w:rsid w:val="004E12D8"/>
    <w:rsid w:val="004E13B8"/>
    <w:rsid w:val="004E1648"/>
    <w:rsid w:val="004E1A0E"/>
    <w:rsid w:val="004E1E11"/>
    <w:rsid w:val="004E1F8B"/>
    <w:rsid w:val="004E1FE9"/>
    <w:rsid w:val="004E231B"/>
    <w:rsid w:val="004E2349"/>
    <w:rsid w:val="004E25ED"/>
    <w:rsid w:val="004E269D"/>
    <w:rsid w:val="004E28C2"/>
    <w:rsid w:val="004E2A2C"/>
    <w:rsid w:val="004E2B87"/>
    <w:rsid w:val="004E2CDF"/>
    <w:rsid w:val="004E2E89"/>
    <w:rsid w:val="004E3393"/>
    <w:rsid w:val="004E38C0"/>
    <w:rsid w:val="004E3BF8"/>
    <w:rsid w:val="004E3CDC"/>
    <w:rsid w:val="004E3D9D"/>
    <w:rsid w:val="004E4413"/>
    <w:rsid w:val="004E4532"/>
    <w:rsid w:val="004E45C7"/>
    <w:rsid w:val="004E4B02"/>
    <w:rsid w:val="004E4E8D"/>
    <w:rsid w:val="004E4F4F"/>
    <w:rsid w:val="004E4FC9"/>
    <w:rsid w:val="004E52AD"/>
    <w:rsid w:val="004E5313"/>
    <w:rsid w:val="004E5482"/>
    <w:rsid w:val="004E54A6"/>
    <w:rsid w:val="004E568D"/>
    <w:rsid w:val="004E57ED"/>
    <w:rsid w:val="004E581E"/>
    <w:rsid w:val="004E58CB"/>
    <w:rsid w:val="004E5E9C"/>
    <w:rsid w:val="004E5F78"/>
    <w:rsid w:val="004E654D"/>
    <w:rsid w:val="004E6550"/>
    <w:rsid w:val="004E6770"/>
    <w:rsid w:val="004E694C"/>
    <w:rsid w:val="004E6956"/>
    <w:rsid w:val="004E698E"/>
    <w:rsid w:val="004E6A5A"/>
    <w:rsid w:val="004E6D30"/>
    <w:rsid w:val="004E6F4C"/>
    <w:rsid w:val="004E7283"/>
    <w:rsid w:val="004E7AF9"/>
    <w:rsid w:val="004F0240"/>
    <w:rsid w:val="004F0337"/>
    <w:rsid w:val="004F03C1"/>
    <w:rsid w:val="004F0506"/>
    <w:rsid w:val="004F0E99"/>
    <w:rsid w:val="004F1294"/>
    <w:rsid w:val="004F12EA"/>
    <w:rsid w:val="004F15B8"/>
    <w:rsid w:val="004F163B"/>
    <w:rsid w:val="004F16CE"/>
    <w:rsid w:val="004F196A"/>
    <w:rsid w:val="004F199F"/>
    <w:rsid w:val="004F1AE1"/>
    <w:rsid w:val="004F1D9B"/>
    <w:rsid w:val="004F1F9F"/>
    <w:rsid w:val="004F207A"/>
    <w:rsid w:val="004F28E4"/>
    <w:rsid w:val="004F292B"/>
    <w:rsid w:val="004F2974"/>
    <w:rsid w:val="004F3176"/>
    <w:rsid w:val="004F354D"/>
    <w:rsid w:val="004F3599"/>
    <w:rsid w:val="004F437D"/>
    <w:rsid w:val="004F477E"/>
    <w:rsid w:val="004F4A33"/>
    <w:rsid w:val="004F5083"/>
    <w:rsid w:val="004F511F"/>
    <w:rsid w:val="004F59AB"/>
    <w:rsid w:val="004F5A60"/>
    <w:rsid w:val="004F5AFD"/>
    <w:rsid w:val="004F5C9B"/>
    <w:rsid w:val="004F6791"/>
    <w:rsid w:val="004F682E"/>
    <w:rsid w:val="004F68C1"/>
    <w:rsid w:val="004F68ED"/>
    <w:rsid w:val="004F6D86"/>
    <w:rsid w:val="004F6DE9"/>
    <w:rsid w:val="004F75A9"/>
    <w:rsid w:val="004F75DA"/>
    <w:rsid w:val="004F7A03"/>
    <w:rsid w:val="004F7A29"/>
    <w:rsid w:val="004F7D22"/>
    <w:rsid w:val="0050031E"/>
    <w:rsid w:val="005005F2"/>
    <w:rsid w:val="0050066D"/>
    <w:rsid w:val="005006FC"/>
    <w:rsid w:val="00500713"/>
    <w:rsid w:val="00500A0F"/>
    <w:rsid w:val="00500A5E"/>
    <w:rsid w:val="00500B7C"/>
    <w:rsid w:val="00501360"/>
    <w:rsid w:val="005016BE"/>
    <w:rsid w:val="00501951"/>
    <w:rsid w:val="00501A28"/>
    <w:rsid w:val="00501AB7"/>
    <w:rsid w:val="00501BFA"/>
    <w:rsid w:val="00501C21"/>
    <w:rsid w:val="00502051"/>
    <w:rsid w:val="0050234A"/>
    <w:rsid w:val="005024AE"/>
    <w:rsid w:val="00502665"/>
    <w:rsid w:val="005026D4"/>
    <w:rsid w:val="00502807"/>
    <w:rsid w:val="00502B4B"/>
    <w:rsid w:val="00502C4B"/>
    <w:rsid w:val="005030DD"/>
    <w:rsid w:val="00503193"/>
    <w:rsid w:val="00503448"/>
    <w:rsid w:val="005037CB"/>
    <w:rsid w:val="00503A7B"/>
    <w:rsid w:val="00503ECE"/>
    <w:rsid w:val="00503F25"/>
    <w:rsid w:val="00503F47"/>
    <w:rsid w:val="0050413E"/>
    <w:rsid w:val="00504484"/>
    <w:rsid w:val="00504A23"/>
    <w:rsid w:val="00504A31"/>
    <w:rsid w:val="00504CA9"/>
    <w:rsid w:val="00504DE3"/>
    <w:rsid w:val="00504F05"/>
    <w:rsid w:val="00505270"/>
    <w:rsid w:val="005053A9"/>
    <w:rsid w:val="005054FB"/>
    <w:rsid w:val="00505607"/>
    <w:rsid w:val="00505AD6"/>
    <w:rsid w:val="00505AEA"/>
    <w:rsid w:val="00505B00"/>
    <w:rsid w:val="00505B2C"/>
    <w:rsid w:val="005061E9"/>
    <w:rsid w:val="00506268"/>
    <w:rsid w:val="0050633E"/>
    <w:rsid w:val="0050673B"/>
    <w:rsid w:val="0050678E"/>
    <w:rsid w:val="0050689F"/>
    <w:rsid w:val="00506A41"/>
    <w:rsid w:val="00506C12"/>
    <w:rsid w:val="00506D5D"/>
    <w:rsid w:val="00506E3E"/>
    <w:rsid w:val="00506FBC"/>
    <w:rsid w:val="005071FB"/>
    <w:rsid w:val="00507228"/>
    <w:rsid w:val="005075AC"/>
    <w:rsid w:val="005075B9"/>
    <w:rsid w:val="00507695"/>
    <w:rsid w:val="005076EC"/>
    <w:rsid w:val="00507769"/>
    <w:rsid w:val="00507AC1"/>
    <w:rsid w:val="00507BBB"/>
    <w:rsid w:val="00507D5A"/>
    <w:rsid w:val="00507F18"/>
    <w:rsid w:val="0051027E"/>
    <w:rsid w:val="005104BD"/>
    <w:rsid w:val="00510582"/>
    <w:rsid w:val="00510A9C"/>
    <w:rsid w:val="00510BF4"/>
    <w:rsid w:val="00510F0F"/>
    <w:rsid w:val="00511194"/>
    <w:rsid w:val="0051126B"/>
    <w:rsid w:val="0051138C"/>
    <w:rsid w:val="00511843"/>
    <w:rsid w:val="00511890"/>
    <w:rsid w:val="005118CF"/>
    <w:rsid w:val="00511D4F"/>
    <w:rsid w:val="005123AB"/>
    <w:rsid w:val="00512AF1"/>
    <w:rsid w:val="00512F8B"/>
    <w:rsid w:val="0051327F"/>
    <w:rsid w:val="0051353B"/>
    <w:rsid w:val="005136F9"/>
    <w:rsid w:val="00513EEA"/>
    <w:rsid w:val="00514391"/>
    <w:rsid w:val="005143B1"/>
    <w:rsid w:val="00514660"/>
    <w:rsid w:val="00514910"/>
    <w:rsid w:val="005149EB"/>
    <w:rsid w:val="0051549B"/>
    <w:rsid w:val="00515685"/>
    <w:rsid w:val="005156A7"/>
    <w:rsid w:val="005158F8"/>
    <w:rsid w:val="00515A7C"/>
    <w:rsid w:val="00515E87"/>
    <w:rsid w:val="00515F75"/>
    <w:rsid w:val="0051620F"/>
    <w:rsid w:val="005162A4"/>
    <w:rsid w:val="00516351"/>
    <w:rsid w:val="00516744"/>
    <w:rsid w:val="005168B3"/>
    <w:rsid w:val="00516D8E"/>
    <w:rsid w:val="00517836"/>
    <w:rsid w:val="005178F9"/>
    <w:rsid w:val="00517B71"/>
    <w:rsid w:val="00517D72"/>
    <w:rsid w:val="00517E84"/>
    <w:rsid w:val="00517F43"/>
    <w:rsid w:val="0052031A"/>
    <w:rsid w:val="005203E1"/>
    <w:rsid w:val="0052048B"/>
    <w:rsid w:val="0052055A"/>
    <w:rsid w:val="00520960"/>
    <w:rsid w:val="00520D03"/>
    <w:rsid w:val="0052120B"/>
    <w:rsid w:val="005213D2"/>
    <w:rsid w:val="005216EC"/>
    <w:rsid w:val="00521A5C"/>
    <w:rsid w:val="00521CA1"/>
    <w:rsid w:val="00522727"/>
    <w:rsid w:val="0052276E"/>
    <w:rsid w:val="005229AC"/>
    <w:rsid w:val="00522A0F"/>
    <w:rsid w:val="00522B02"/>
    <w:rsid w:val="00522B7C"/>
    <w:rsid w:val="00522C61"/>
    <w:rsid w:val="00523173"/>
    <w:rsid w:val="00523725"/>
    <w:rsid w:val="0052387B"/>
    <w:rsid w:val="00523E3D"/>
    <w:rsid w:val="0052411D"/>
    <w:rsid w:val="005245F0"/>
    <w:rsid w:val="005246C1"/>
    <w:rsid w:val="0052482C"/>
    <w:rsid w:val="0052499F"/>
    <w:rsid w:val="00524B2F"/>
    <w:rsid w:val="00524D89"/>
    <w:rsid w:val="00524E40"/>
    <w:rsid w:val="005250D3"/>
    <w:rsid w:val="00525140"/>
    <w:rsid w:val="005252CC"/>
    <w:rsid w:val="00525314"/>
    <w:rsid w:val="00525377"/>
    <w:rsid w:val="00525669"/>
    <w:rsid w:val="00525A3A"/>
    <w:rsid w:val="00525A8A"/>
    <w:rsid w:val="00525AE7"/>
    <w:rsid w:val="00525CF3"/>
    <w:rsid w:val="00525D92"/>
    <w:rsid w:val="00525E47"/>
    <w:rsid w:val="00525F26"/>
    <w:rsid w:val="00526229"/>
    <w:rsid w:val="00526410"/>
    <w:rsid w:val="005267F6"/>
    <w:rsid w:val="0052689D"/>
    <w:rsid w:val="00526A06"/>
    <w:rsid w:val="00526BAB"/>
    <w:rsid w:val="00526EB4"/>
    <w:rsid w:val="005271F8"/>
    <w:rsid w:val="005274A5"/>
    <w:rsid w:val="00527500"/>
    <w:rsid w:val="00527845"/>
    <w:rsid w:val="00527ACE"/>
    <w:rsid w:val="00527DD8"/>
    <w:rsid w:val="00527EEA"/>
    <w:rsid w:val="005303E4"/>
    <w:rsid w:val="005304B2"/>
    <w:rsid w:val="00530845"/>
    <w:rsid w:val="00530947"/>
    <w:rsid w:val="00530D1B"/>
    <w:rsid w:val="00530D9B"/>
    <w:rsid w:val="00531278"/>
    <w:rsid w:val="005312E4"/>
    <w:rsid w:val="00531BA0"/>
    <w:rsid w:val="00531F96"/>
    <w:rsid w:val="00531FD9"/>
    <w:rsid w:val="0053256C"/>
    <w:rsid w:val="0053257B"/>
    <w:rsid w:val="005327F0"/>
    <w:rsid w:val="005328A7"/>
    <w:rsid w:val="00532C35"/>
    <w:rsid w:val="005330C0"/>
    <w:rsid w:val="00533137"/>
    <w:rsid w:val="0053328A"/>
    <w:rsid w:val="00533896"/>
    <w:rsid w:val="005338BB"/>
    <w:rsid w:val="005340A6"/>
    <w:rsid w:val="00534183"/>
    <w:rsid w:val="0053434E"/>
    <w:rsid w:val="0053450C"/>
    <w:rsid w:val="0053454F"/>
    <w:rsid w:val="00534748"/>
    <w:rsid w:val="0053476A"/>
    <w:rsid w:val="00534C27"/>
    <w:rsid w:val="00534D7F"/>
    <w:rsid w:val="00534E4F"/>
    <w:rsid w:val="00534E6F"/>
    <w:rsid w:val="00534EF2"/>
    <w:rsid w:val="00534F31"/>
    <w:rsid w:val="00534F4E"/>
    <w:rsid w:val="00535BA9"/>
    <w:rsid w:val="00535CF9"/>
    <w:rsid w:val="00535F11"/>
    <w:rsid w:val="005362EC"/>
    <w:rsid w:val="005371AD"/>
    <w:rsid w:val="005371C5"/>
    <w:rsid w:val="0053735B"/>
    <w:rsid w:val="00537651"/>
    <w:rsid w:val="00537BE8"/>
    <w:rsid w:val="00537CA5"/>
    <w:rsid w:val="00537D2C"/>
    <w:rsid w:val="00537E0A"/>
    <w:rsid w:val="00540395"/>
    <w:rsid w:val="00540480"/>
    <w:rsid w:val="005404DA"/>
    <w:rsid w:val="00540A8C"/>
    <w:rsid w:val="00541037"/>
    <w:rsid w:val="0054128E"/>
    <w:rsid w:val="0054143A"/>
    <w:rsid w:val="0054145D"/>
    <w:rsid w:val="0054166B"/>
    <w:rsid w:val="005416B1"/>
    <w:rsid w:val="005420F2"/>
    <w:rsid w:val="00542150"/>
    <w:rsid w:val="00542392"/>
    <w:rsid w:val="00542B8F"/>
    <w:rsid w:val="00542D28"/>
    <w:rsid w:val="00543415"/>
    <w:rsid w:val="00543467"/>
    <w:rsid w:val="0054352A"/>
    <w:rsid w:val="005438CD"/>
    <w:rsid w:val="005438F0"/>
    <w:rsid w:val="00543DDD"/>
    <w:rsid w:val="005443E4"/>
    <w:rsid w:val="005445D2"/>
    <w:rsid w:val="00544670"/>
    <w:rsid w:val="00544D29"/>
    <w:rsid w:val="00544D53"/>
    <w:rsid w:val="00544D61"/>
    <w:rsid w:val="0054505D"/>
    <w:rsid w:val="00545203"/>
    <w:rsid w:val="00545343"/>
    <w:rsid w:val="005458D8"/>
    <w:rsid w:val="00545E42"/>
    <w:rsid w:val="005460E6"/>
    <w:rsid w:val="00546167"/>
    <w:rsid w:val="00546193"/>
    <w:rsid w:val="0054686F"/>
    <w:rsid w:val="005469AE"/>
    <w:rsid w:val="00546FBD"/>
    <w:rsid w:val="005471CA"/>
    <w:rsid w:val="00547576"/>
    <w:rsid w:val="005477C8"/>
    <w:rsid w:val="00547846"/>
    <w:rsid w:val="00547908"/>
    <w:rsid w:val="00547AD3"/>
    <w:rsid w:val="00547C72"/>
    <w:rsid w:val="00547F90"/>
    <w:rsid w:val="00550476"/>
    <w:rsid w:val="0055055A"/>
    <w:rsid w:val="00550855"/>
    <w:rsid w:val="00550950"/>
    <w:rsid w:val="005509E5"/>
    <w:rsid w:val="00550B61"/>
    <w:rsid w:val="00550B7D"/>
    <w:rsid w:val="00550CA0"/>
    <w:rsid w:val="00550EC6"/>
    <w:rsid w:val="0055114A"/>
    <w:rsid w:val="005511A1"/>
    <w:rsid w:val="005511D2"/>
    <w:rsid w:val="00551576"/>
    <w:rsid w:val="00551795"/>
    <w:rsid w:val="005518FC"/>
    <w:rsid w:val="0055204D"/>
    <w:rsid w:val="005523ED"/>
    <w:rsid w:val="00552476"/>
    <w:rsid w:val="005526B9"/>
    <w:rsid w:val="00552725"/>
    <w:rsid w:val="0055272F"/>
    <w:rsid w:val="00552787"/>
    <w:rsid w:val="00552CE8"/>
    <w:rsid w:val="00552DDE"/>
    <w:rsid w:val="00552DE4"/>
    <w:rsid w:val="00553264"/>
    <w:rsid w:val="0055349E"/>
    <w:rsid w:val="005535BF"/>
    <w:rsid w:val="005538E2"/>
    <w:rsid w:val="00553AB4"/>
    <w:rsid w:val="00553E40"/>
    <w:rsid w:val="00553E5A"/>
    <w:rsid w:val="00554078"/>
    <w:rsid w:val="00554168"/>
    <w:rsid w:val="005544F0"/>
    <w:rsid w:val="00554571"/>
    <w:rsid w:val="005545AD"/>
    <w:rsid w:val="00554714"/>
    <w:rsid w:val="0055493A"/>
    <w:rsid w:val="00554B01"/>
    <w:rsid w:val="00554C1F"/>
    <w:rsid w:val="00554C5F"/>
    <w:rsid w:val="00554DB8"/>
    <w:rsid w:val="00554E8F"/>
    <w:rsid w:val="00555207"/>
    <w:rsid w:val="00555CB5"/>
    <w:rsid w:val="00555EE7"/>
    <w:rsid w:val="005560B2"/>
    <w:rsid w:val="0055612B"/>
    <w:rsid w:val="0055615B"/>
    <w:rsid w:val="00556177"/>
    <w:rsid w:val="00556C90"/>
    <w:rsid w:val="005571C5"/>
    <w:rsid w:val="005574BA"/>
    <w:rsid w:val="005579C5"/>
    <w:rsid w:val="005600F4"/>
    <w:rsid w:val="00560191"/>
    <w:rsid w:val="005601A3"/>
    <w:rsid w:val="00560395"/>
    <w:rsid w:val="005606C5"/>
    <w:rsid w:val="00560AA9"/>
    <w:rsid w:val="00560B36"/>
    <w:rsid w:val="00560E32"/>
    <w:rsid w:val="00560EEF"/>
    <w:rsid w:val="00560EFC"/>
    <w:rsid w:val="00561046"/>
    <w:rsid w:val="0056124B"/>
    <w:rsid w:val="005619FF"/>
    <w:rsid w:val="00561A1B"/>
    <w:rsid w:val="00562441"/>
    <w:rsid w:val="00562CF1"/>
    <w:rsid w:val="005633C3"/>
    <w:rsid w:val="0056379F"/>
    <w:rsid w:val="005639AD"/>
    <w:rsid w:val="00563BFD"/>
    <w:rsid w:val="00563CB1"/>
    <w:rsid w:val="005640B3"/>
    <w:rsid w:val="005645DB"/>
    <w:rsid w:val="005649BF"/>
    <w:rsid w:val="00564E4D"/>
    <w:rsid w:val="00564ED0"/>
    <w:rsid w:val="005652C9"/>
    <w:rsid w:val="00565305"/>
    <w:rsid w:val="00565377"/>
    <w:rsid w:val="005667A5"/>
    <w:rsid w:val="00566BAE"/>
    <w:rsid w:val="00566C68"/>
    <w:rsid w:val="00566E1F"/>
    <w:rsid w:val="0056733B"/>
    <w:rsid w:val="0056774F"/>
    <w:rsid w:val="00567851"/>
    <w:rsid w:val="00567ACE"/>
    <w:rsid w:val="00567AF3"/>
    <w:rsid w:val="00567B62"/>
    <w:rsid w:val="00567C44"/>
    <w:rsid w:val="00567CA3"/>
    <w:rsid w:val="00570002"/>
    <w:rsid w:val="005700F1"/>
    <w:rsid w:val="00570646"/>
    <w:rsid w:val="00570940"/>
    <w:rsid w:val="00570B26"/>
    <w:rsid w:val="00570B5D"/>
    <w:rsid w:val="00570B67"/>
    <w:rsid w:val="00570D64"/>
    <w:rsid w:val="00570E0F"/>
    <w:rsid w:val="0057100E"/>
    <w:rsid w:val="005710B3"/>
    <w:rsid w:val="00571368"/>
    <w:rsid w:val="00571B25"/>
    <w:rsid w:val="0057261C"/>
    <w:rsid w:val="00572BC4"/>
    <w:rsid w:val="00572CC0"/>
    <w:rsid w:val="00572CDA"/>
    <w:rsid w:val="00572E6B"/>
    <w:rsid w:val="00572F5B"/>
    <w:rsid w:val="005731F7"/>
    <w:rsid w:val="005735F1"/>
    <w:rsid w:val="0057369E"/>
    <w:rsid w:val="00573923"/>
    <w:rsid w:val="00574F18"/>
    <w:rsid w:val="00574FE4"/>
    <w:rsid w:val="005752D9"/>
    <w:rsid w:val="00575580"/>
    <w:rsid w:val="005758D7"/>
    <w:rsid w:val="00575CB3"/>
    <w:rsid w:val="005760C9"/>
    <w:rsid w:val="0057623B"/>
    <w:rsid w:val="0057636D"/>
    <w:rsid w:val="005763CA"/>
    <w:rsid w:val="0057650E"/>
    <w:rsid w:val="00576A6C"/>
    <w:rsid w:val="00576CCC"/>
    <w:rsid w:val="00576D80"/>
    <w:rsid w:val="00576EF8"/>
    <w:rsid w:val="00576EFD"/>
    <w:rsid w:val="0057777E"/>
    <w:rsid w:val="0057792D"/>
    <w:rsid w:val="00577B4B"/>
    <w:rsid w:val="00577CE5"/>
    <w:rsid w:val="00577DA0"/>
    <w:rsid w:val="00580018"/>
    <w:rsid w:val="005806DF"/>
    <w:rsid w:val="0058088B"/>
    <w:rsid w:val="005809C0"/>
    <w:rsid w:val="005809D5"/>
    <w:rsid w:val="00580C40"/>
    <w:rsid w:val="00580C5E"/>
    <w:rsid w:val="00580DF0"/>
    <w:rsid w:val="00581128"/>
    <w:rsid w:val="0058118B"/>
    <w:rsid w:val="00581394"/>
    <w:rsid w:val="005813EE"/>
    <w:rsid w:val="005813F6"/>
    <w:rsid w:val="00581C95"/>
    <w:rsid w:val="00581EA8"/>
    <w:rsid w:val="0058203E"/>
    <w:rsid w:val="0058231B"/>
    <w:rsid w:val="005823C1"/>
    <w:rsid w:val="0058244F"/>
    <w:rsid w:val="005828A4"/>
    <w:rsid w:val="00582AC9"/>
    <w:rsid w:val="00582AEC"/>
    <w:rsid w:val="00582DCA"/>
    <w:rsid w:val="00582E61"/>
    <w:rsid w:val="00583674"/>
    <w:rsid w:val="005836A0"/>
    <w:rsid w:val="005838BC"/>
    <w:rsid w:val="005839DC"/>
    <w:rsid w:val="00583BA0"/>
    <w:rsid w:val="00583BBA"/>
    <w:rsid w:val="00583BED"/>
    <w:rsid w:val="00583C5C"/>
    <w:rsid w:val="00583EAF"/>
    <w:rsid w:val="0058420E"/>
    <w:rsid w:val="00584525"/>
    <w:rsid w:val="00584A28"/>
    <w:rsid w:val="005851C0"/>
    <w:rsid w:val="005854FC"/>
    <w:rsid w:val="005855F8"/>
    <w:rsid w:val="005857B2"/>
    <w:rsid w:val="00585A07"/>
    <w:rsid w:val="00585E40"/>
    <w:rsid w:val="00586082"/>
    <w:rsid w:val="0058628F"/>
    <w:rsid w:val="0058646E"/>
    <w:rsid w:val="00586478"/>
    <w:rsid w:val="0058649C"/>
    <w:rsid w:val="00586A18"/>
    <w:rsid w:val="00586BD2"/>
    <w:rsid w:val="00586D98"/>
    <w:rsid w:val="00586DE2"/>
    <w:rsid w:val="005871A7"/>
    <w:rsid w:val="005873FE"/>
    <w:rsid w:val="00587601"/>
    <w:rsid w:val="00587CAC"/>
    <w:rsid w:val="00587EBD"/>
    <w:rsid w:val="00590184"/>
    <w:rsid w:val="00590323"/>
    <w:rsid w:val="00590821"/>
    <w:rsid w:val="00590E89"/>
    <w:rsid w:val="00591492"/>
    <w:rsid w:val="005916DB"/>
    <w:rsid w:val="005919F7"/>
    <w:rsid w:val="00591E7C"/>
    <w:rsid w:val="00592A84"/>
    <w:rsid w:val="00592B00"/>
    <w:rsid w:val="00592FA2"/>
    <w:rsid w:val="005930DE"/>
    <w:rsid w:val="0059336A"/>
    <w:rsid w:val="0059459F"/>
    <w:rsid w:val="00594A34"/>
    <w:rsid w:val="00594B0A"/>
    <w:rsid w:val="00594F1E"/>
    <w:rsid w:val="005955C4"/>
    <w:rsid w:val="00595644"/>
    <w:rsid w:val="00595B51"/>
    <w:rsid w:val="00595EB8"/>
    <w:rsid w:val="00595EEE"/>
    <w:rsid w:val="005961B4"/>
    <w:rsid w:val="005965D0"/>
    <w:rsid w:val="00596854"/>
    <w:rsid w:val="00596BEF"/>
    <w:rsid w:val="00596D1A"/>
    <w:rsid w:val="00596DEE"/>
    <w:rsid w:val="00596F1B"/>
    <w:rsid w:val="0059725A"/>
    <w:rsid w:val="005974FC"/>
    <w:rsid w:val="00597D4C"/>
    <w:rsid w:val="00597DF1"/>
    <w:rsid w:val="005A01EE"/>
    <w:rsid w:val="005A02F7"/>
    <w:rsid w:val="005A0692"/>
    <w:rsid w:val="005A071E"/>
    <w:rsid w:val="005A07A1"/>
    <w:rsid w:val="005A0C28"/>
    <w:rsid w:val="005A119D"/>
    <w:rsid w:val="005A13F5"/>
    <w:rsid w:val="005A163F"/>
    <w:rsid w:val="005A1BD2"/>
    <w:rsid w:val="005A1D83"/>
    <w:rsid w:val="005A256A"/>
    <w:rsid w:val="005A2607"/>
    <w:rsid w:val="005A2988"/>
    <w:rsid w:val="005A2A06"/>
    <w:rsid w:val="005A2D33"/>
    <w:rsid w:val="005A2D46"/>
    <w:rsid w:val="005A2D5B"/>
    <w:rsid w:val="005A2EA5"/>
    <w:rsid w:val="005A312A"/>
    <w:rsid w:val="005A3189"/>
    <w:rsid w:val="005A3486"/>
    <w:rsid w:val="005A3493"/>
    <w:rsid w:val="005A37F2"/>
    <w:rsid w:val="005A3895"/>
    <w:rsid w:val="005A3A96"/>
    <w:rsid w:val="005A3AAE"/>
    <w:rsid w:val="005A408E"/>
    <w:rsid w:val="005A411F"/>
    <w:rsid w:val="005A42BF"/>
    <w:rsid w:val="005A4E59"/>
    <w:rsid w:val="005A4E74"/>
    <w:rsid w:val="005A5631"/>
    <w:rsid w:val="005A5843"/>
    <w:rsid w:val="005A5935"/>
    <w:rsid w:val="005A5A2A"/>
    <w:rsid w:val="005A6055"/>
    <w:rsid w:val="005A60E6"/>
    <w:rsid w:val="005A6437"/>
    <w:rsid w:val="005A643F"/>
    <w:rsid w:val="005A68C5"/>
    <w:rsid w:val="005A6D20"/>
    <w:rsid w:val="005A7271"/>
    <w:rsid w:val="005A73AF"/>
    <w:rsid w:val="005A769B"/>
    <w:rsid w:val="005A7791"/>
    <w:rsid w:val="005A784F"/>
    <w:rsid w:val="005A7C99"/>
    <w:rsid w:val="005A7DAF"/>
    <w:rsid w:val="005A7F20"/>
    <w:rsid w:val="005B01C6"/>
    <w:rsid w:val="005B01F4"/>
    <w:rsid w:val="005B0247"/>
    <w:rsid w:val="005B031D"/>
    <w:rsid w:val="005B03D9"/>
    <w:rsid w:val="005B05BA"/>
    <w:rsid w:val="005B0657"/>
    <w:rsid w:val="005B088B"/>
    <w:rsid w:val="005B0DCF"/>
    <w:rsid w:val="005B0F2A"/>
    <w:rsid w:val="005B111E"/>
    <w:rsid w:val="005B1263"/>
    <w:rsid w:val="005B184C"/>
    <w:rsid w:val="005B1CCD"/>
    <w:rsid w:val="005B1F06"/>
    <w:rsid w:val="005B21CE"/>
    <w:rsid w:val="005B21F3"/>
    <w:rsid w:val="005B2794"/>
    <w:rsid w:val="005B2944"/>
    <w:rsid w:val="005B2AE8"/>
    <w:rsid w:val="005B2D91"/>
    <w:rsid w:val="005B2EA6"/>
    <w:rsid w:val="005B31FE"/>
    <w:rsid w:val="005B3BA6"/>
    <w:rsid w:val="005B3BE1"/>
    <w:rsid w:val="005B3EA2"/>
    <w:rsid w:val="005B4076"/>
    <w:rsid w:val="005B410D"/>
    <w:rsid w:val="005B413D"/>
    <w:rsid w:val="005B4270"/>
    <w:rsid w:val="005B427D"/>
    <w:rsid w:val="005B45D0"/>
    <w:rsid w:val="005B47CC"/>
    <w:rsid w:val="005B4A4A"/>
    <w:rsid w:val="005B517F"/>
    <w:rsid w:val="005B5213"/>
    <w:rsid w:val="005B5540"/>
    <w:rsid w:val="005B5A0C"/>
    <w:rsid w:val="005B5B02"/>
    <w:rsid w:val="005B5B5C"/>
    <w:rsid w:val="005B5D74"/>
    <w:rsid w:val="005B6496"/>
    <w:rsid w:val="005B67C8"/>
    <w:rsid w:val="005B6A0B"/>
    <w:rsid w:val="005B6C89"/>
    <w:rsid w:val="005B7497"/>
    <w:rsid w:val="005B753D"/>
    <w:rsid w:val="005B7548"/>
    <w:rsid w:val="005B758F"/>
    <w:rsid w:val="005B7E2D"/>
    <w:rsid w:val="005C00AF"/>
    <w:rsid w:val="005C01B4"/>
    <w:rsid w:val="005C029C"/>
    <w:rsid w:val="005C06B4"/>
    <w:rsid w:val="005C07B5"/>
    <w:rsid w:val="005C082D"/>
    <w:rsid w:val="005C08DB"/>
    <w:rsid w:val="005C08EA"/>
    <w:rsid w:val="005C0968"/>
    <w:rsid w:val="005C0E94"/>
    <w:rsid w:val="005C12F0"/>
    <w:rsid w:val="005C16CD"/>
    <w:rsid w:val="005C1F6D"/>
    <w:rsid w:val="005C20FA"/>
    <w:rsid w:val="005C267D"/>
    <w:rsid w:val="005C2FF2"/>
    <w:rsid w:val="005C3322"/>
    <w:rsid w:val="005C38FB"/>
    <w:rsid w:val="005C3CAB"/>
    <w:rsid w:val="005C3F5F"/>
    <w:rsid w:val="005C43E4"/>
    <w:rsid w:val="005C474A"/>
    <w:rsid w:val="005C4B0E"/>
    <w:rsid w:val="005C4CCE"/>
    <w:rsid w:val="005C5010"/>
    <w:rsid w:val="005C506D"/>
    <w:rsid w:val="005C56A1"/>
    <w:rsid w:val="005C5C37"/>
    <w:rsid w:val="005C5CB0"/>
    <w:rsid w:val="005C5D28"/>
    <w:rsid w:val="005C5FB5"/>
    <w:rsid w:val="005C63D5"/>
    <w:rsid w:val="005C64B6"/>
    <w:rsid w:val="005C6612"/>
    <w:rsid w:val="005C67A4"/>
    <w:rsid w:val="005C68A0"/>
    <w:rsid w:val="005C68D0"/>
    <w:rsid w:val="005C69D1"/>
    <w:rsid w:val="005C6B2F"/>
    <w:rsid w:val="005C6CA4"/>
    <w:rsid w:val="005C7305"/>
    <w:rsid w:val="005C7AE1"/>
    <w:rsid w:val="005C7AFB"/>
    <w:rsid w:val="005C7FAF"/>
    <w:rsid w:val="005C7FB9"/>
    <w:rsid w:val="005D016F"/>
    <w:rsid w:val="005D02AE"/>
    <w:rsid w:val="005D0369"/>
    <w:rsid w:val="005D0466"/>
    <w:rsid w:val="005D04C3"/>
    <w:rsid w:val="005D04E6"/>
    <w:rsid w:val="005D06CD"/>
    <w:rsid w:val="005D0B89"/>
    <w:rsid w:val="005D1172"/>
    <w:rsid w:val="005D1175"/>
    <w:rsid w:val="005D1585"/>
    <w:rsid w:val="005D1665"/>
    <w:rsid w:val="005D1853"/>
    <w:rsid w:val="005D2286"/>
    <w:rsid w:val="005D2395"/>
    <w:rsid w:val="005D24F5"/>
    <w:rsid w:val="005D272C"/>
    <w:rsid w:val="005D2763"/>
    <w:rsid w:val="005D27B9"/>
    <w:rsid w:val="005D2FF6"/>
    <w:rsid w:val="005D36A3"/>
    <w:rsid w:val="005D38B0"/>
    <w:rsid w:val="005D3A0D"/>
    <w:rsid w:val="005D3E5A"/>
    <w:rsid w:val="005D3F9C"/>
    <w:rsid w:val="005D413C"/>
    <w:rsid w:val="005D431D"/>
    <w:rsid w:val="005D4CD9"/>
    <w:rsid w:val="005D4D2F"/>
    <w:rsid w:val="005D4D63"/>
    <w:rsid w:val="005D4E0F"/>
    <w:rsid w:val="005D5A7A"/>
    <w:rsid w:val="005D5A8C"/>
    <w:rsid w:val="005D5AEC"/>
    <w:rsid w:val="005D5B00"/>
    <w:rsid w:val="005D6070"/>
    <w:rsid w:val="005D6088"/>
    <w:rsid w:val="005D6364"/>
    <w:rsid w:val="005D65EB"/>
    <w:rsid w:val="005D6A74"/>
    <w:rsid w:val="005D6BAD"/>
    <w:rsid w:val="005D6DBB"/>
    <w:rsid w:val="005D6E6E"/>
    <w:rsid w:val="005D6FBE"/>
    <w:rsid w:val="005D7394"/>
    <w:rsid w:val="005D7891"/>
    <w:rsid w:val="005D7A66"/>
    <w:rsid w:val="005D7CCC"/>
    <w:rsid w:val="005D7CFF"/>
    <w:rsid w:val="005D7D09"/>
    <w:rsid w:val="005E01E9"/>
    <w:rsid w:val="005E02BF"/>
    <w:rsid w:val="005E09E3"/>
    <w:rsid w:val="005E0BBE"/>
    <w:rsid w:val="005E0C7C"/>
    <w:rsid w:val="005E0EAF"/>
    <w:rsid w:val="005E0F60"/>
    <w:rsid w:val="005E0F86"/>
    <w:rsid w:val="005E106A"/>
    <w:rsid w:val="005E1845"/>
    <w:rsid w:val="005E18D8"/>
    <w:rsid w:val="005E19E5"/>
    <w:rsid w:val="005E20D3"/>
    <w:rsid w:val="005E20E4"/>
    <w:rsid w:val="005E2543"/>
    <w:rsid w:val="005E2775"/>
    <w:rsid w:val="005E2C48"/>
    <w:rsid w:val="005E2DBD"/>
    <w:rsid w:val="005E2E8B"/>
    <w:rsid w:val="005E3088"/>
    <w:rsid w:val="005E30F4"/>
    <w:rsid w:val="005E322A"/>
    <w:rsid w:val="005E34D7"/>
    <w:rsid w:val="005E3570"/>
    <w:rsid w:val="005E35B3"/>
    <w:rsid w:val="005E377A"/>
    <w:rsid w:val="005E3829"/>
    <w:rsid w:val="005E384E"/>
    <w:rsid w:val="005E391F"/>
    <w:rsid w:val="005E394C"/>
    <w:rsid w:val="005E39A1"/>
    <w:rsid w:val="005E3C38"/>
    <w:rsid w:val="005E3FBE"/>
    <w:rsid w:val="005E405F"/>
    <w:rsid w:val="005E42BA"/>
    <w:rsid w:val="005E4591"/>
    <w:rsid w:val="005E4BF4"/>
    <w:rsid w:val="005E4DD7"/>
    <w:rsid w:val="005E4ED1"/>
    <w:rsid w:val="005E518C"/>
    <w:rsid w:val="005E541C"/>
    <w:rsid w:val="005E55A6"/>
    <w:rsid w:val="005E55E0"/>
    <w:rsid w:val="005E5B1C"/>
    <w:rsid w:val="005E5E87"/>
    <w:rsid w:val="005E5F97"/>
    <w:rsid w:val="005E6166"/>
    <w:rsid w:val="005E667E"/>
    <w:rsid w:val="005E6843"/>
    <w:rsid w:val="005E68DE"/>
    <w:rsid w:val="005E696C"/>
    <w:rsid w:val="005E6991"/>
    <w:rsid w:val="005E6E06"/>
    <w:rsid w:val="005E6E13"/>
    <w:rsid w:val="005E6F11"/>
    <w:rsid w:val="005E7403"/>
    <w:rsid w:val="005E74FE"/>
    <w:rsid w:val="005E77DE"/>
    <w:rsid w:val="005E7CEF"/>
    <w:rsid w:val="005F010D"/>
    <w:rsid w:val="005F02D6"/>
    <w:rsid w:val="005F0443"/>
    <w:rsid w:val="005F046D"/>
    <w:rsid w:val="005F080F"/>
    <w:rsid w:val="005F0B9B"/>
    <w:rsid w:val="005F133D"/>
    <w:rsid w:val="005F172D"/>
    <w:rsid w:val="005F1980"/>
    <w:rsid w:val="005F19B0"/>
    <w:rsid w:val="005F1D8D"/>
    <w:rsid w:val="005F1E5E"/>
    <w:rsid w:val="005F1EE8"/>
    <w:rsid w:val="005F2025"/>
    <w:rsid w:val="005F213A"/>
    <w:rsid w:val="005F220A"/>
    <w:rsid w:val="005F2568"/>
    <w:rsid w:val="005F2691"/>
    <w:rsid w:val="005F28C6"/>
    <w:rsid w:val="005F2FB4"/>
    <w:rsid w:val="005F37AC"/>
    <w:rsid w:val="005F396D"/>
    <w:rsid w:val="005F3A34"/>
    <w:rsid w:val="005F3D17"/>
    <w:rsid w:val="005F3D4E"/>
    <w:rsid w:val="005F4605"/>
    <w:rsid w:val="005F473A"/>
    <w:rsid w:val="005F4753"/>
    <w:rsid w:val="005F499C"/>
    <w:rsid w:val="005F4B38"/>
    <w:rsid w:val="005F5078"/>
    <w:rsid w:val="005F5203"/>
    <w:rsid w:val="005F53A3"/>
    <w:rsid w:val="005F5A0E"/>
    <w:rsid w:val="005F5EEE"/>
    <w:rsid w:val="005F603B"/>
    <w:rsid w:val="005F63BE"/>
    <w:rsid w:val="005F6588"/>
    <w:rsid w:val="005F65DC"/>
    <w:rsid w:val="005F67AB"/>
    <w:rsid w:val="005F6821"/>
    <w:rsid w:val="005F6B4F"/>
    <w:rsid w:val="005F70C6"/>
    <w:rsid w:val="005F75F5"/>
    <w:rsid w:val="005F7721"/>
    <w:rsid w:val="005F7D2A"/>
    <w:rsid w:val="005F7EDE"/>
    <w:rsid w:val="0060076F"/>
    <w:rsid w:val="00600EC8"/>
    <w:rsid w:val="00600F3B"/>
    <w:rsid w:val="00601434"/>
    <w:rsid w:val="00601555"/>
    <w:rsid w:val="00601654"/>
    <w:rsid w:val="006016F6"/>
    <w:rsid w:val="006018AB"/>
    <w:rsid w:val="006018C3"/>
    <w:rsid w:val="00601BC6"/>
    <w:rsid w:val="00601F75"/>
    <w:rsid w:val="0060205F"/>
    <w:rsid w:val="00602112"/>
    <w:rsid w:val="0060231B"/>
    <w:rsid w:val="006024D7"/>
    <w:rsid w:val="00602813"/>
    <w:rsid w:val="00602974"/>
    <w:rsid w:val="00602A3A"/>
    <w:rsid w:val="00603013"/>
    <w:rsid w:val="00603A21"/>
    <w:rsid w:val="00603AEF"/>
    <w:rsid w:val="00603DBD"/>
    <w:rsid w:val="00603FD8"/>
    <w:rsid w:val="00604201"/>
    <w:rsid w:val="00604214"/>
    <w:rsid w:val="006042D2"/>
    <w:rsid w:val="00604391"/>
    <w:rsid w:val="0060474D"/>
    <w:rsid w:val="00604769"/>
    <w:rsid w:val="006053A2"/>
    <w:rsid w:val="006056CC"/>
    <w:rsid w:val="00605C2B"/>
    <w:rsid w:val="00605D89"/>
    <w:rsid w:val="00606273"/>
    <w:rsid w:val="00606338"/>
    <w:rsid w:val="0060634C"/>
    <w:rsid w:val="00606399"/>
    <w:rsid w:val="0060688B"/>
    <w:rsid w:val="00606CF5"/>
    <w:rsid w:val="0060706D"/>
    <w:rsid w:val="006071DF"/>
    <w:rsid w:val="0060741A"/>
    <w:rsid w:val="0060753D"/>
    <w:rsid w:val="006076C8"/>
    <w:rsid w:val="00607AA8"/>
    <w:rsid w:val="00607C26"/>
    <w:rsid w:val="00607E16"/>
    <w:rsid w:val="00607F3F"/>
    <w:rsid w:val="0061031B"/>
    <w:rsid w:val="006104F0"/>
    <w:rsid w:val="006109DD"/>
    <w:rsid w:val="00610C7F"/>
    <w:rsid w:val="00610F21"/>
    <w:rsid w:val="00610F4B"/>
    <w:rsid w:val="00611127"/>
    <w:rsid w:val="00611688"/>
    <w:rsid w:val="006116F7"/>
    <w:rsid w:val="00611C04"/>
    <w:rsid w:val="006120CE"/>
    <w:rsid w:val="0061230B"/>
    <w:rsid w:val="00612909"/>
    <w:rsid w:val="006129D5"/>
    <w:rsid w:val="00612DA1"/>
    <w:rsid w:val="0061338B"/>
    <w:rsid w:val="00613476"/>
    <w:rsid w:val="00613615"/>
    <w:rsid w:val="006136B5"/>
    <w:rsid w:val="00613BA0"/>
    <w:rsid w:val="00613E71"/>
    <w:rsid w:val="006141B3"/>
    <w:rsid w:val="0061436F"/>
    <w:rsid w:val="0061460A"/>
    <w:rsid w:val="00614D96"/>
    <w:rsid w:val="00614EBF"/>
    <w:rsid w:val="00614F23"/>
    <w:rsid w:val="00614F2E"/>
    <w:rsid w:val="006151B2"/>
    <w:rsid w:val="006151F4"/>
    <w:rsid w:val="006155A8"/>
    <w:rsid w:val="00615670"/>
    <w:rsid w:val="0061596E"/>
    <w:rsid w:val="00615B6F"/>
    <w:rsid w:val="00615F0A"/>
    <w:rsid w:val="00616200"/>
    <w:rsid w:val="00616245"/>
    <w:rsid w:val="00616325"/>
    <w:rsid w:val="00616B4D"/>
    <w:rsid w:val="00617637"/>
    <w:rsid w:val="0061785E"/>
    <w:rsid w:val="00617866"/>
    <w:rsid w:val="00617CD3"/>
    <w:rsid w:val="00617D83"/>
    <w:rsid w:val="00617E7C"/>
    <w:rsid w:val="006201A3"/>
    <w:rsid w:val="00620555"/>
    <w:rsid w:val="00620BCC"/>
    <w:rsid w:val="00620C7D"/>
    <w:rsid w:val="00620F36"/>
    <w:rsid w:val="00621375"/>
    <w:rsid w:val="0062139C"/>
    <w:rsid w:val="006215CF"/>
    <w:rsid w:val="00621969"/>
    <w:rsid w:val="00621C27"/>
    <w:rsid w:val="00621CD1"/>
    <w:rsid w:val="00621F18"/>
    <w:rsid w:val="0062211B"/>
    <w:rsid w:val="0062219F"/>
    <w:rsid w:val="00622627"/>
    <w:rsid w:val="006227A2"/>
    <w:rsid w:val="00622A25"/>
    <w:rsid w:val="00622BB7"/>
    <w:rsid w:val="00622BCA"/>
    <w:rsid w:val="00622CC8"/>
    <w:rsid w:val="0062308E"/>
    <w:rsid w:val="0062309B"/>
    <w:rsid w:val="006232D9"/>
    <w:rsid w:val="00623888"/>
    <w:rsid w:val="0062395F"/>
    <w:rsid w:val="0062397D"/>
    <w:rsid w:val="00623A21"/>
    <w:rsid w:val="00623BF0"/>
    <w:rsid w:val="00623E00"/>
    <w:rsid w:val="00623E5F"/>
    <w:rsid w:val="00624202"/>
    <w:rsid w:val="00624470"/>
    <w:rsid w:val="006244CC"/>
    <w:rsid w:val="006244D5"/>
    <w:rsid w:val="0062455F"/>
    <w:rsid w:val="00624650"/>
    <w:rsid w:val="006246ED"/>
    <w:rsid w:val="0062493A"/>
    <w:rsid w:val="0062493C"/>
    <w:rsid w:val="00624A2F"/>
    <w:rsid w:val="00624DB7"/>
    <w:rsid w:val="00625341"/>
    <w:rsid w:val="00625545"/>
    <w:rsid w:val="00625699"/>
    <w:rsid w:val="00625E2E"/>
    <w:rsid w:val="006261CB"/>
    <w:rsid w:val="00626509"/>
    <w:rsid w:val="00626731"/>
    <w:rsid w:val="0062674A"/>
    <w:rsid w:val="006268F3"/>
    <w:rsid w:val="00626910"/>
    <w:rsid w:val="00626D56"/>
    <w:rsid w:val="006275F7"/>
    <w:rsid w:val="00627926"/>
    <w:rsid w:val="006279FD"/>
    <w:rsid w:val="00627B76"/>
    <w:rsid w:val="00627DCC"/>
    <w:rsid w:val="00627EB5"/>
    <w:rsid w:val="00630319"/>
    <w:rsid w:val="00630399"/>
    <w:rsid w:val="00630595"/>
    <w:rsid w:val="0063067C"/>
    <w:rsid w:val="00630C3B"/>
    <w:rsid w:val="00630E3F"/>
    <w:rsid w:val="00630E47"/>
    <w:rsid w:val="00630E93"/>
    <w:rsid w:val="00631091"/>
    <w:rsid w:val="0063129E"/>
    <w:rsid w:val="00631AC2"/>
    <w:rsid w:val="00631AD7"/>
    <w:rsid w:val="00632173"/>
    <w:rsid w:val="00632187"/>
    <w:rsid w:val="0063291D"/>
    <w:rsid w:val="006329B8"/>
    <w:rsid w:val="00632FCB"/>
    <w:rsid w:val="0063356D"/>
    <w:rsid w:val="00633845"/>
    <w:rsid w:val="00634181"/>
    <w:rsid w:val="0063427F"/>
    <w:rsid w:val="00634422"/>
    <w:rsid w:val="006347F4"/>
    <w:rsid w:val="006348DB"/>
    <w:rsid w:val="00634992"/>
    <w:rsid w:val="00634CD6"/>
    <w:rsid w:val="00634DBF"/>
    <w:rsid w:val="00635725"/>
    <w:rsid w:val="0063583A"/>
    <w:rsid w:val="006359CB"/>
    <w:rsid w:val="00636147"/>
    <w:rsid w:val="00636477"/>
    <w:rsid w:val="00636528"/>
    <w:rsid w:val="006365CB"/>
    <w:rsid w:val="00636712"/>
    <w:rsid w:val="0063684F"/>
    <w:rsid w:val="00636A01"/>
    <w:rsid w:val="00636B2E"/>
    <w:rsid w:val="00636D90"/>
    <w:rsid w:val="00637179"/>
    <w:rsid w:val="00637525"/>
    <w:rsid w:val="0063783F"/>
    <w:rsid w:val="0063794F"/>
    <w:rsid w:val="00637D06"/>
    <w:rsid w:val="00637E4B"/>
    <w:rsid w:val="00637E6F"/>
    <w:rsid w:val="006401B9"/>
    <w:rsid w:val="0064052F"/>
    <w:rsid w:val="006406E5"/>
    <w:rsid w:val="00640817"/>
    <w:rsid w:val="00640AEF"/>
    <w:rsid w:val="00640BCA"/>
    <w:rsid w:val="00640C63"/>
    <w:rsid w:val="00640D57"/>
    <w:rsid w:val="00640F61"/>
    <w:rsid w:val="006411B0"/>
    <w:rsid w:val="00641466"/>
    <w:rsid w:val="006418E0"/>
    <w:rsid w:val="00641B06"/>
    <w:rsid w:val="00641F92"/>
    <w:rsid w:val="00641F9A"/>
    <w:rsid w:val="006421AE"/>
    <w:rsid w:val="00642236"/>
    <w:rsid w:val="0064225C"/>
    <w:rsid w:val="00642FE9"/>
    <w:rsid w:val="0064301A"/>
    <w:rsid w:val="006433BA"/>
    <w:rsid w:val="00643A29"/>
    <w:rsid w:val="00643B9D"/>
    <w:rsid w:val="006440DE"/>
    <w:rsid w:val="00644337"/>
    <w:rsid w:val="006447EF"/>
    <w:rsid w:val="006448D0"/>
    <w:rsid w:val="00644CC4"/>
    <w:rsid w:val="00644F70"/>
    <w:rsid w:val="0064514C"/>
    <w:rsid w:val="00645954"/>
    <w:rsid w:val="00645D3A"/>
    <w:rsid w:val="00645DBE"/>
    <w:rsid w:val="00645FCD"/>
    <w:rsid w:val="006461C9"/>
    <w:rsid w:val="00646211"/>
    <w:rsid w:val="006464FB"/>
    <w:rsid w:val="0064656A"/>
    <w:rsid w:val="006466CD"/>
    <w:rsid w:val="00646ACE"/>
    <w:rsid w:val="00646AEF"/>
    <w:rsid w:val="00646E87"/>
    <w:rsid w:val="00646F3B"/>
    <w:rsid w:val="0064720F"/>
    <w:rsid w:val="006476C0"/>
    <w:rsid w:val="006478BE"/>
    <w:rsid w:val="00647D55"/>
    <w:rsid w:val="00647FE2"/>
    <w:rsid w:val="006500E2"/>
    <w:rsid w:val="006503EB"/>
    <w:rsid w:val="00650607"/>
    <w:rsid w:val="006508D0"/>
    <w:rsid w:val="00650D85"/>
    <w:rsid w:val="0065107C"/>
    <w:rsid w:val="006511AF"/>
    <w:rsid w:val="00651355"/>
    <w:rsid w:val="00651931"/>
    <w:rsid w:val="00651AAC"/>
    <w:rsid w:val="00651B40"/>
    <w:rsid w:val="00652516"/>
    <w:rsid w:val="00652561"/>
    <w:rsid w:val="0065266B"/>
    <w:rsid w:val="006528DD"/>
    <w:rsid w:val="00652BDC"/>
    <w:rsid w:val="006531C3"/>
    <w:rsid w:val="006533E6"/>
    <w:rsid w:val="00653495"/>
    <w:rsid w:val="0065358B"/>
    <w:rsid w:val="00653778"/>
    <w:rsid w:val="00653A7D"/>
    <w:rsid w:val="00653B75"/>
    <w:rsid w:val="00654081"/>
    <w:rsid w:val="006540C9"/>
    <w:rsid w:val="006543EF"/>
    <w:rsid w:val="0065440E"/>
    <w:rsid w:val="0065443A"/>
    <w:rsid w:val="006545BB"/>
    <w:rsid w:val="006546CF"/>
    <w:rsid w:val="00654F42"/>
    <w:rsid w:val="006551EB"/>
    <w:rsid w:val="006553E6"/>
    <w:rsid w:val="0065592D"/>
    <w:rsid w:val="00656096"/>
    <w:rsid w:val="0065633E"/>
    <w:rsid w:val="006565C3"/>
    <w:rsid w:val="00656628"/>
    <w:rsid w:val="0065663D"/>
    <w:rsid w:val="0065683D"/>
    <w:rsid w:val="006568B7"/>
    <w:rsid w:val="00656C07"/>
    <w:rsid w:val="00656D27"/>
    <w:rsid w:val="00656D65"/>
    <w:rsid w:val="00656EFA"/>
    <w:rsid w:val="00657046"/>
    <w:rsid w:val="00657126"/>
    <w:rsid w:val="0065734D"/>
    <w:rsid w:val="006575D7"/>
    <w:rsid w:val="00657DAD"/>
    <w:rsid w:val="00660116"/>
    <w:rsid w:val="006601E1"/>
    <w:rsid w:val="00660260"/>
    <w:rsid w:val="00660288"/>
    <w:rsid w:val="0066061E"/>
    <w:rsid w:val="00660A90"/>
    <w:rsid w:val="00660A9C"/>
    <w:rsid w:val="00660D78"/>
    <w:rsid w:val="00660E48"/>
    <w:rsid w:val="00660F47"/>
    <w:rsid w:val="006612F4"/>
    <w:rsid w:val="006615D5"/>
    <w:rsid w:val="00661782"/>
    <w:rsid w:val="00661A44"/>
    <w:rsid w:val="00662008"/>
    <w:rsid w:val="006625AD"/>
    <w:rsid w:val="00662605"/>
    <w:rsid w:val="00662A4F"/>
    <w:rsid w:val="00662E2C"/>
    <w:rsid w:val="00662E52"/>
    <w:rsid w:val="00662FBB"/>
    <w:rsid w:val="006630AD"/>
    <w:rsid w:val="00663386"/>
    <w:rsid w:val="00663561"/>
    <w:rsid w:val="00663584"/>
    <w:rsid w:val="00663AF5"/>
    <w:rsid w:val="00663EB1"/>
    <w:rsid w:val="006643A1"/>
    <w:rsid w:val="00664516"/>
    <w:rsid w:val="00664676"/>
    <w:rsid w:val="00664709"/>
    <w:rsid w:val="0066472F"/>
    <w:rsid w:val="00664781"/>
    <w:rsid w:val="00664875"/>
    <w:rsid w:val="0066492B"/>
    <w:rsid w:val="00664BDD"/>
    <w:rsid w:val="00664D04"/>
    <w:rsid w:val="00664E59"/>
    <w:rsid w:val="00664F3B"/>
    <w:rsid w:val="006650C3"/>
    <w:rsid w:val="006655F7"/>
    <w:rsid w:val="006656CB"/>
    <w:rsid w:val="00665D09"/>
    <w:rsid w:val="00665DEA"/>
    <w:rsid w:val="00665F38"/>
    <w:rsid w:val="0066600E"/>
    <w:rsid w:val="0066622F"/>
    <w:rsid w:val="00666339"/>
    <w:rsid w:val="00666382"/>
    <w:rsid w:val="00666780"/>
    <w:rsid w:val="00666AA4"/>
    <w:rsid w:val="00666CF9"/>
    <w:rsid w:val="00667085"/>
    <w:rsid w:val="0066742E"/>
    <w:rsid w:val="0066763D"/>
    <w:rsid w:val="006679F4"/>
    <w:rsid w:val="00667BE3"/>
    <w:rsid w:val="00670268"/>
    <w:rsid w:val="00670489"/>
    <w:rsid w:val="006705B9"/>
    <w:rsid w:val="00670A23"/>
    <w:rsid w:val="00670E4A"/>
    <w:rsid w:val="00670FCB"/>
    <w:rsid w:val="006715E3"/>
    <w:rsid w:val="006719E8"/>
    <w:rsid w:val="00671D7C"/>
    <w:rsid w:val="00671F65"/>
    <w:rsid w:val="0067230B"/>
    <w:rsid w:val="00672810"/>
    <w:rsid w:val="0067283E"/>
    <w:rsid w:val="00672A07"/>
    <w:rsid w:val="00672EC2"/>
    <w:rsid w:val="00673412"/>
    <w:rsid w:val="0067380E"/>
    <w:rsid w:val="00673D37"/>
    <w:rsid w:val="00673F0B"/>
    <w:rsid w:val="00674191"/>
    <w:rsid w:val="006746EC"/>
    <w:rsid w:val="006747E6"/>
    <w:rsid w:val="00674854"/>
    <w:rsid w:val="006749BC"/>
    <w:rsid w:val="00674D87"/>
    <w:rsid w:val="00674DAA"/>
    <w:rsid w:val="00674F63"/>
    <w:rsid w:val="00675301"/>
    <w:rsid w:val="0067547F"/>
    <w:rsid w:val="006754A8"/>
    <w:rsid w:val="00675642"/>
    <w:rsid w:val="006756EE"/>
    <w:rsid w:val="006759E9"/>
    <w:rsid w:val="006761F4"/>
    <w:rsid w:val="0067637D"/>
    <w:rsid w:val="006763E8"/>
    <w:rsid w:val="00676451"/>
    <w:rsid w:val="0067668F"/>
    <w:rsid w:val="006766FC"/>
    <w:rsid w:val="00676817"/>
    <w:rsid w:val="006768F9"/>
    <w:rsid w:val="00676983"/>
    <w:rsid w:val="006769C7"/>
    <w:rsid w:val="00676B46"/>
    <w:rsid w:val="00676F38"/>
    <w:rsid w:val="00676FA4"/>
    <w:rsid w:val="00677379"/>
    <w:rsid w:val="006777F1"/>
    <w:rsid w:val="00677B52"/>
    <w:rsid w:val="00677C77"/>
    <w:rsid w:val="0068038C"/>
    <w:rsid w:val="00680648"/>
    <w:rsid w:val="00680777"/>
    <w:rsid w:val="00680B60"/>
    <w:rsid w:val="00680B7C"/>
    <w:rsid w:val="0068115B"/>
    <w:rsid w:val="006815BD"/>
    <w:rsid w:val="00681883"/>
    <w:rsid w:val="00681DC6"/>
    <w:rsid w:val="00682297"/>
    <w:rsid w:val="006825F5"/>
    <w:rsid w:val="0068281F"/>
    <w:rsid w:val="006828BB"/>
    <w:rsid w:val="00682AF0"/>
    <w:rsid w:val="00682BB8"/>
    <w:rsid w:val="00682DA5"/>
    <w:rsid w:val="00682FC1"/>
    <w:rsid w:val="0068320A"/>
    <w:rsid w:val="006833B1"/>
    <w:rsid w:val="00683BBE"/>
    <w:rsid w:val="00684063"/>
    <w:rsid w:val="00684163"/>
    <w:rsid w:val="00684227"/>
    <w:rsid w:val="006842C3"/>
    <w:rsid w:val="006842C7"/>
    <w:rsid w:val="00684A20"/>
    <w:rsid w:val="00684A2F"/>
    <w:rsid w:val="00684AA0"/>
    <w:rsid w:val="00684CDE"/>
    <w:rsid w:val="006850EC"/>
    <w:rsid w:val="0068541D"/>
    <w:rsid w:val="006856BB"/>
    <w:rsid w:val="0068586A"/>
    <w:rsid w:val="006859EF"/>
    <w:rsid w:val="00685BE0"/>
    <w:rsid w:val="00685C1F"/>
    <w:rsid w:val="00685DF9"/>
    <w:rsid w:val="00686228"/>
    <w:rsid w:val="006865E4"/>
    <w:rsid w:val="0068688F"/>
    <w:rsid w:val="006868AB"/>
    <w:rsid w:val="00686BF4"/>
    <w:rsid w:val="00686C82"/>
    <w:rsid w:val="0068777B"/>
    <w:rsid w:val="00687983"/>
    <w:rsid w:val="00687B0D"/>
    <w:rsid w:val="00687E4A"/>
    <w:rsid w:val="00690038"/>
    <w:rsid w:val="00690338"/>
    <w:rsid w:val="006905A2"/>
    <w:rsid w:val="0069075A"/>
    <w:rsid w:val="00690918"/>
    <w:rsid w:val="00690C5B"/>
    <w:rsid w:val="00690D00"/>
    <w:rsid w:val="00691219"/>
    <w:rsid w:val="0069126D"/>
    <w:rsid w:val="006912E0"/>
    <w:rsid w:val="00691DC5"/>
    <w:rsid w:val="00692060"/>
    <w:rsid w:val="00692232"/>
    <w:rsid w:val="006924F0"/>
    <w:rsid w:val="00692EC3"/>
    <w:rsid w:val="00693170"/>
    <w:rsid w:val="0069320D"/>
    <w:rsid w:val="0069338D"/>
    <w:rsid w:val="006933DB"/>
    <w:rsid w:val="0069385A"/>
    <w:rsid w:val="00693AAD"/>
    <w:rsid w:val="00693C3F"/>
    <w:rsid w:val="00693F38"/>
    <w:rsid w:val="00694588"/>
    <w:rsid w:val="0069462C"/>
    <w:rsid w:val="00694B4F"/>
    <w:rsid w:val="00694EA3"/>
    <w:rsid w:val="00695085"/>
    <w:rsid w:val="006951AC"/>
    <w:rsid w:val="006951D8"/>
    <w:rsid w:val="00695395"/>
    <w:rsid w:val="00695442"/>
    <w:rsid w:val="006959F5"/>
    <w:rsid w:val="00695ADD"/>
    <w:rsid w:val="00695C32"/>
    <w:rsid w:val="00695E80"/>
    <w:rsid w:val="00696014"/>
    <w:rsid w:val="00696099"/>
    <w:rsid w:val="006961AE"/>
    <w:rsid w:val="006962D8"/>
    <w:rsid w:val="00696367"/>
    <w:rsid w:val="00696424"/>
    <w:rsid w:val="0069655D"/>
    <w:rsid w:val="00696720"/>
    <w:rsid w:val="00696C34"/>
    <w:rsid w:val="00696EFF"/>
    <w:rsid w:val="00696F6B"/>
    <w:rsid w:val="00697053"/>
    <w:rsid w:val="00697167"/>
    <w:rsid w:val="006979BB"/>
    <w:rsid w:val="00697C6B"/>
    <w:rsid w:val="00697D51"/>
    <w:rsid w:val="00697E3E"/>
    <w:rsid w:val="006A0635"/>
    <w:rsid w:val="006A06B6"/>
    <w:rsid w:val="006A0846"/>
    <w:rsid w:val="006A0935"/>
    <w:rsid w:val="006A0CC6"/>
    <w:rsid w:val="006A1122"/>
    <w:rsid w:val="006A1537"/>
    <w:rsid w:val="006A16DC"/>
    <w:rsid w:val="006A1C27"/>
    <w:rsid w:val="006A296E"/>
    <w:rsid w:val="006A2ECB"/>
    <w:rsid w:val="006A32A1"/>
    <w:rsid w:val="006A38B7"/>
    <w:rsid w:val="006A3A8C"/>
    <w:rsid w:val="006A3ABE"/>
    <w:rsid w:val="006A3D0B"/>
    <w:rsid w:val="006A41EE"/>
    <w:rsid w:val="006A4227"/>
    <w:rsid w:val="006A427A"/>
    <w:rsid w:val="006A453F"/>
    <w:rsid w:val="006A4875"/>
    <w:rsid w:val="006A52B2"/>
    <w:rsid w:val="006A53A3"/>
    <w:rsid w:val="006A5432"/>
    <w:rsid w:val="006A566E"/>
    <w:rsid w:val="006A5853"/>
    <w:rsid w:val="006A58A6"/>
    <w:rsid w:val="006A5962"/>
    <w:rsid w:val="006A5F8A"/>
    <w:rsid w:val="006A62FA"/>
    <w:rsid w:val="006A65D9"/>
    <w:rsid w:val="006A6A76"/>
    <w:rsid w:val="006A6B8F"/>
    <w:rsid w:val="006A6C12"/>
    <w:rsid w:val="006A6D28"/>
    <w:rsid w:val="006A6E44"/>
    <w:rsid w:val="006A6EFC"/>
    <w:rsid w:val="006A7145"/>
    <w:rsid w:val="006A734C"/>
    <w:rsid w:val="006A74B1"/>
    <w:rsid w:val="006A7EF5"/>
    <w:rsid w:val="006B08C1"/>
    <w:rsid w:val="006B0B8F"/>
    <w:rsid w:val="006B0C8B"/>
    <w:rsid w:val="006B10C7"/>
    <w:rsid w:val="006B1466"/>
    <w:rsid w:val="006B149E"/>
    <w:rsid w:val="006B14BA"/>
    <w:rsid w:val="006B1608"/>
    <w:rsid w:val="006B182C"/>
    <w:rsid w:val="006B1C34"/>
    <w:rsid w:val="006B1CCF"/>
    <w:rsid w:val="006B20CB"/>
    <w:rsid w:val="006B217B"/>
    <w:rsid w:val="006B2536"/>
    <w:rsid w:val="006B269E"/>
    <w:rsid w:val="006B2832"/>
    <w:rsid w:val="006B295B"/>
    <w:rsid w:val="006B29CE"/>
    <w:rsid w:val="006B2C8C"/>
    <w:rsid w:val="006B2CA7"/>
    <w:rsid w:val="006B2F87"/>
    <w:rsid w:val="006B39D2"/>
    <w:rsid w:val="006B3BF1"/>
    <w:rsid w:val="006B3FBE"/>
    <w:rsid w:val="006B4912"/>
    <w:rsid w:val="006B4B63"/>
    <w:rsid w:val="006B4B8C"/>
    <w:rsid w:val="006B4D6A"/>
    <w:rsid w:val="006B543C"/>
    <w:rsid w:val="006B5822"/>
    <w:rsid w:val="006B59D0"/>
    <w:rsid w:val="006B5BBD"/>
    <w:rsid w:val="006B5EF2"/>
    <w:rsid w:val="006B5F1C"/>
    <w:rsid w:val="006B5FAA"/>
    <w:rsid w:val="006B6044"/>
    <w:rsid w:val="006B604A"/>
    <w:rsid w:val="006B60ED"/>
    <w:rsid w:val="006B6101"/>
    <w:rsid w:val="006B6376"/>
    <w:rsid w:val="006B63C6"/>
    <w:rsid w:val="006B65CB"/>
    <w:rsid w:val="006B686E"/>
    <w:rsid w:val="006B6A9B"/>
    <w:rsid w:val="006B6DD7"/>
    <w:rsid w:val="006B6E57"/>
    <w:rsid w:val="006B6EAA"/>
    <w:rsid w:val="006B6FA7"/>
    <w:rsid w:val="006B6FF2"/>
    <w:rsid w:val="006B72F2"/>
    <w:rsid w:val="006C0004"/>
    <w:rsid w:val="006C0224"/>
    <w:rsid w:val="006C0405"/>
    <w:rsid w:val="006C0489"/>
    <w:rsid w:val="006C05D3"/>
    <w:rsid w:val="006C06C6"/>
    <w:rsid w:val="006C096C"/>
    <w:rsid w:val="006C0ACA"/>
    <w:rsid w:val="006C0E35"/>
    <w:rsid w:val="006C1224"/>
    <w:rsid w:val="006C1363"/>
    <w:rsid w:val="006C1B5C"/>
    <w:rsid w:val="006C1BE3"/>
    <w:rsid w:val="006C1C32"/>
    <w:rsid w:val="006C1FC9"/>
    <w:rsid w:val="006C262E"/>
    <w:rsid w:val="006C2991"/>
    <w:rsid w:val="006C2A74"/>
    <w:rsid w:val="006C2C3D"/>
    <w:rsid w:val="006C2C60"/>
    <w:rsid w:val="006C2D7F"/>
    <w:rsid w:val="006C3197"/>
    <w:rsid w:val="006C3502"/>
    <w:rsid w:val="006C37C0"/>
    <w:rsid w:val="006C3BD3"/>
    <w:rsid w:val="006C3D8D"/>
    <w:rsid w:val="006C3DA7"/>
    <w:rsid w:val="006C43E0"/>
    <w:rsid w:val="006C4D1C"/>
    <w:rsid w:val="006C4F4C"/>
    <w:rsid w:val="006C5535"/>
    <w:rsid w:val="006C5B23"/>
    <w:rsid w:val="006C6236"/>
    <w:rsid w:val="006C6259"/>
    <w:rsid w:val="006C655E"/>
    <w:rsid w:val="006C6605"/>
    <w:rsid w:val="006C677D"/>
    <w:rsid w:val="006C6A73"/>
    <w:rsid w:val="006C6B63"/>
    <w:rsid w:val="006C6BCA"/>
    <w:rsid w:val="006C6EC3"/>
    <w:rsid w:val="006C7550"/>
    <w:rsid w:val="006C7621"/>
    <w:rsid w:val="006C7761"/>
    <w:rsid w:val="006C783F"/>
    <w:rsid w:val="006C7AFB"/>
    <w:rsid w:val="006C7F0D"/>
    <w:rsid w:val="006C7FB3"/>
    <w:rsid w:val="006D03F5"/>
    <w:rsid w:val="006D0468"/>
    <w:rsid w:val="006D0554"/>
    <w:rsid w:val="006D08A9"/>
    <w:rsid w:val="006D08B7"/>
    <w:rsid w:val="006D0933"/>
    <w:rsid w:val="006D1B58"/>
    <w:rsid w:val="006D1B81"/>
    <w:rsid w:val="006D1C3B"/>
    <w:rsid w:val="006D24BE"/>
    <w:rsid w:val="006D285D"/>
    <w:rsid w:val="006D30CF"/>
    <w:rsid w:val="006D3120"/>
    <w:rsid w:val="006D313C"/>
    <w:rsid w:val="006D3698"/>
    <w:rsid w:val="006D3A35"/>
    <w:rsid w:val="006D3D0D"/>
    <w:rsid w:val="006D3D7D"/>
    <w:rsid w:val="006D4100"/>
    <w:rsid w:val="006D4419"/>
    <w:rsid w:val="006D48D6"/>
    <w:rsid w:val="006D4C6A"/>
    <w:rsid w:val="006D5019"/>
    <w:rsid w:val="006D503E"/>
    <w:rsid w:val="006D5111"/>
    <w:rsid w:val="006D54C4"/>
    <w:rsid w:val="006D55A8"/>
    <w:rsid w:val="006D59B3"/>
    <w:rsid w:val="006D5DB2"/>
    <w:rsid w:val="006D5F0C"/>
    <w:rsid w:val="006D6017"/>
    <w:rsid w:val="006D605B"/>
    <w:rsid w:val="006D6516"/>
    <w:rsid w:val="006D659C"/>
    <w:rsid w:val="006D6C14"/>
    <w:rsid w:val="006D6CE7"/>
    <w:rsid w:val="006D6EE8"/>
    <w:rsid w:val="006D6FA1"/>
    <w:rsid w:val="006D7734"/>
    <w:rsid w:val="006D79D0"/>
    <w:rsid w:val="006D7B68"/>
    <w:rsid w:val="006D7CC2"/>
    <w:rsid w:val="006E053C"/>
    <w:rsid w:val="006E0599"/>
    <w:rsid w:val="006E0832"/>
    <w:rsid w:val="006E0C78"/>
    <w:rsid w:val="006E0D50"/>
    <w:rsid w:val="006E0D51"/>
    <w:rsid w:val="006E0E67"/>
    <w:rsid w:val="006E124B"/>
    <w:rsid w:val="006E1274"/>
    <w:rsid w:val="006E1431"/>
    <w:rsid w:val="006E15D3"/>
    <w:rsid w:val="006E17AD"/>
    <w:rsid w:val="006E1A21"/>
    <w:rsid w:val="006E1A35"/>
    <w:rsid w:val="006E1C18"/>
    <w:rsid w:val="006E1D93"/>
    <w:rsid w:val="006E2159"/>
    <w:rsid w:val="006E2993"/>
    <w:rsid w:val="006E299C"/>
    <w:rsid w:val="006E2E01"/>
    <w:rsid w:val="006E2E98"/>
    <w:rsid w:val="006E3312"/>
    <w:rsid w:val="006E33C1"/>
    <w:rsid w:val="006E345F"/>
    <w:rsid w:val="006E353D"/>
    <w:rsid w:val="006E3668"/>
    <w:rsid w:val="006E3889"/>
    <w:rsid w:val="006E39E6"/>
    <w:rsid w:val="006E3A70"/>
    <w:rsid w:val="006E3BC3"/>
    <w:rsid w:val="006E3D40"/>
    <w:rsid w:val="006E3DD6"/>
    <w:rsid w:val="006E4039"/>
    <w:rsid w:val="006E412F"/>
    <w:rsid w:val="006E4455"/>
    <w:rsid w:val="006E46BC"/>
    <w:rsid w:val="006E4A0E"/>
    <w:rsid w:val="006E4A96"/>
    <w:rsid w:val="006E4B74"/>
    <w:rsid w:val="006E4BA8"/>
    <w:rsid w:val="006E4BAD"/>
    <w:rsid w:val="006E4DAC"/>
    <w:rsid w:val="006E4EE0"/>
    <w:rsid w:val="006E511A"/>
    <w:rsid w:val="006E513A"/>
    <w:rsid w:val="006E5958"/>
    <w:rsid w:val="006E5A6C"/>
    <w:rsid w:val="006E5C08"/>
    <w:rsid w:val="006E5CE0"/>
    <w:rsid w:val="006E5D4D"/>
    <w:rsid w:val="006E5F04"/>
    <w:rsid w:val="006E5F90"/>
    <w:rsid w:val="006E61CF"/>
    <w:rsid w:val="006E683E"/>
    <w:rsid w:val="006E6933"/>
    <w:rsid w:val="006E6A86"/>
    <w:rsid w:val="006E6AC2"/>
    <w:rsid w:val="006E6D24"/>
    <w:rsid w:val="006E6DF2"/>
    <w:rsid w:val="006E6E78"/>
    <w:rsid w:val="006E7195"/>
    <w:rsid w:val="006E74D2"/>
    <w:rsid w:val="006E76D6"/>
    <w:rsid w:val="006E7DFA"/>
    <w:rsid w:val="006E7F5A"/>
    <w:rsid w:val="006F0066"/>
    <w:rsid w:val="006F03E3"/>
    <w:rsid w:val="006F03EE"/>
    <w:rsid w:val="006F0497"/>
    <w:rsid w:val="006F0EE3"/>
    <w:rsid w:val="006F1467"/>
    <w:rsid w:val="006F15B1"/>
    <w:rsid w:val="006F190B"/>
    <w:rsid w:val="006F1CBA"/>
    <w:rsid w:val="006F1D88"/>
    <w:rsid w:val="006F1F5A"/>
    <w:rsid w:val="006F205E"/>
    <w:rsid w:val="006F20AF"/>
    <w:rsid w:val="006F2738"/>
    <w:rsid w:val="006F27D5"/>
    <w:rsid w:val="006F2856"/>
    <w:rsid w:val="006F29D0"/>
    <w:rsid w:val="006F2B1B"/>
    <w:rsid w:val="006F2C19"/>
    <w:rsid w:val="006F2DC0"/>
    <w:rsid w:val="006F3BE5"/>
    <w:rsid w:val="006F3C3C"/>
    <w:rsid w:val="006F3E53"/>
    <w:rsid w:val="006F3FCC"/>
    <w:rsid w:val="006F40BC"/>
    <w:rsid w:val="006F41C1"/>
    <w:rsid w:val="006F4248"/>
    <w:rsid w:val="006F4649"/>
    <w:rsid w:val="006F4718"/>
    <w:rsid w:val="006F49C6"/>
    <w:rsid w:val="006F4AFB"/>
    <w:rsid w:val="006F4CA8"/>
    <w:rsid w:val="006F4DC9"/>
    <w:rsid w:val="006F4F02"/>
    <w:rsid w:val="006F506A"/>
    <w:rsid w:val="006F5339"/>
    <w:rsid w:val="006F5739"/>
    <w:rsid w:val="006F5754"/>
    <w:rsid w:val="006F5A38"/>
    <w:rsid w:val="006F6027"/>
    <w:rsid w:val="006F6301"/>
    <w:rsid w:val="006F6460"/>
    <w:rsid w:val="006F647D"/>
    <w:rsid w:val="006F6677"/>
    <w:rsid w:val="006F67F3"/>
    <w:rsid w:val="006F685D"/>
    <w:rsid w:val="006F6867"/>
    <w:rsid w:val="006F6DFC"/>
    <w:rsid w:val="006F7741"/>
    <w:rsid w:val="006F7B5D"/>
    <w:rsid w:val="006F7B5F"/>
    <w:rsid w:val="006F7C1B"/>
    <w:rsid w:val="006F7F4C"/>
    <w:rsid w:val="00700329"/>
    <w:rsid w:val="00700466"/>
    <w:rsid w:val="007005A2"/>
    <w:rsid w:val="0070072A"/>
    <w:rsid w:val="0070078E"/>
    <w:rsid w:val="0070080D"/>
    <w:rsid w:val="007008DA"/>
    <w:rsid w:val="00700BF2"/>
    <w:rsid w:val="007016C8"/>
    <w:rsid w:val="007018AA"/>
    <w:rsid w:val="007019C9"/>
    <w:rsid w:val="00702371"/>
    <w:rsid w:val="00702B4B"/>
    <w:rsid w:val="0070300E"/>
    <w:rsid w:val="00703102"/>
    <w:rsid w:val="007031D3"/>
    <w:rsid w:val="00703274"/>
    <w:rsid w:val="00703294"/>
    <w:rsid w:val="0070353A"/>
    <w:rsid w:val="00703632"/>
    <w:rsid w:val="0070367B"/>
    <w:rsid w:val="00703785"/>
    <w:rsid w:val="0070386F"/>
    <w:rsid w:val="0070387B"/>
    <w:rsid w:val="007039EB"/>
    <w:rsid w:val="00703AF1"/>
    <w:rsid w:val="00703C36"/>
    <w:rsid w:val="00703DCE"/>
    <w:rsid w:val="00703E20"/>
    <w:rsid w:val="00703E3E"/>
    <w:rsid w:val="0070400D"/>
    <w:rsid w:val="007041AA"/>
    <w:rsid w:val="00704372"/>
    <w:rsid w:val="00704D4D"/>
    <w:rsid w:val="00704ECE"/>
    <w:rsid w:val="00704FF5"/>
    <w:rsid w:val="007052CD"/>
    <w:rsid w:val="007052F3"/>
    <w:rsid w:val="0070543E"/>
    <w:rsid w:val="00705638"/>
    <w:rsid w:val="00705772"/>
    <w:rsid w:val="007058CE"/>
    <w:rsid w:val="00705A82"/>
    <w:rsid w:val="00705E2A"/>
    <w:rsid w:val="007062C8"/>
    <w:rsid w:val="007063EF"/>
    <w:rsid w:val="00706554"/>
    <w:rsid w:val="00706683"/>
    <w:rsid w:val="007066A0"/>
    <w:rsid w:val="00706728"/>
    <w:rsid w:val="00706774"/>
    <w:rsid w:val="00706878"/>
    <w:rsid w:val="0070688C"/>
    <w:rsid w:val="00706F99"/>
    <w:rsid w:val="00706FFA"/>
    <w:rsid w:val="007070C3"/>
    <w:rsid w:val="0070722E"/>
    <w:rsid w:val="007072E2"/>
    <w:rsid w:val="0070756E"/>
    <w:rsid w:val="007078BF"/>
    <w:rsid w:val="0070797F"/>
    <w:rsid w:val="00707A2F"/>
    <w:rsid w:val="00707B1F"/>
    <w:rsid w:val="007101FB"/>
    <w:rsid w:val="007102E4"/>
    <w:rsid w:val="00710521"/>
    <w:rsid w:val="007105B7"/>
    <w:rsid w:val="007111AD"/>
    <w:rsid w:val="00711474"/>
    <w:rsid w:val="007114A0"/>
    <w:rsid w:val="0071173A"/>
    <w:rsid w:val="00711E6E"/>
    <w:rsid w:val="00711F19"/>
    <w:rsid w:val="00711FC1"/>
    <w:rsid w:val="007124B7"/>
    <w:rsid w:val="00712650"/>
    <w:rsid w:val="00712796"/>
    <w:rsid w:val="007127AD"/>
    <w:rsid w:val="00712874"/>
    <w:rsid w:val="00712B9E"/>
    <w:rsid w:val="00712FEC"/>
    <w:rsid w:val="00713217"/>
    <w:rsid w:val="0071326C"/>
    <w:rsid w:val="00713361"/>
    <w:rsid w:val="00713661"/>
    <w:rsid w:val="007137A7"/>
    <w:rsid w:val="007137E8"/>
    <w:rsid w:val="0071404F"/>
    <w:rsid w:val="007143A9"/>
    <w:rsid w:val="007145B3"/>
    <w:rsid w:val="00714894"/>
    <w:rsid w:val="00714C22"/>
    <w:rsid w:val="00714DDC"/>
    <w:rsid w:val="00714FD1"/>
    <w:rsid w:val="0071508F"/>
    <w:rsid w:val="00715565"/>
    <w:rsid w:val="007155DC"/>
    <w:rsid w:val="00715685"/>
    <w:rsid w:val="00715AD9"/>
    <w:rsid w:val="00715D7A"/>
    <w:rsid w:val="007168DE"/>
    <w:rsid w:val="00716ABF"/>
    <w:rsid w:val="00716B31"/>
    <w:rsid w:val="00716E5E"/>
    <w:rsid w:val="0071702A"/>
    <w:rsid w:val="007171ED"/>
    <w:rsid w:val="0071737B"/>
    <w:rsid w:val="00717700"/>
    <w:rsid w:val="0071794F"/>
    <w:rsid w:val="00717AC7"/>
    <w:rsid w:val="00717CA9"/>
    <w:rsid w:val="00717D02"/>
    <w:rsid w:val="00717DC8"/>
    <w:rsid w:val="00720406"/>
    <w:rsid w:val="00720428"/>
    <w:rsid w:val="00720466"/>
    <w:rsid w:val="007204F3"/>
    <w:rsid w:val="00720571"/>
    <w:rsid w:val="00720672"/>
    <w:rsid w:val="0072067D"/>
    <w:rsid w:val="00720838"/>
    <w:rsid w:val="0072084F"/>
    <w:rsid w:val="00720859"/>
    <w:rsid w:val="00721132"/>
    <w:rsid w:val="007214AF"/>
    <w:rsid w:val="0072160E"/>
    <w:rsid w:val="0072162D"/>
    <w:rsid w:val="00721B1B"/>
    <w:rsid w:val="00721BCA"/>
    <w:rsid w:val="00721C84"/>
    <w:rsid w:val="00721D07"/>
    <w:rsid w:val="00721E39"/>
    <w:rsid w:val="00721EBF"/>
    <w:rsid w:val="00721FFA"/>
    <w:rsid w:val="0072239B"/>
    <w:rsid w:val="00722494"/>
    <w:rsid w:val="007224EA"/>
    <w:rsid w:val="007225D0"/>
    <w:rsid w:val="007226FB"/>
    <w:rsid w:val="00722866"/>
    <w:rsid w:val="007229F0"/>
    <w:rsid w:val="00722BA5"/>
    <w:rsid w:val="00722C4C"/>
    <w:rsid w:val="00722F8D"/>
    <w:rsid w:val="00723514"/>
    <w:rsid w:val="0072387D"/>
    <w:rsid w:val="00723FF7"/>
    <w:rsid w:val="007243C6"/>
    <w:rsid w:val="00724544"/>
    <w:rsid w:val="00724738"/>
    <w:rsid w:val="00724ECA"/>
    <w:rsid w:val="0072506B"/>
    <w:rsid w:val="0072555B"/>
    <w:rsid w:val="007257B1"/>
    <w:rsid w:val="00725A0A"/>
    <w:rsid w:val="00725B61"/>
    <w:rsid w:val="00725E89"/>
    <w:rsid w:val="00725F9F"/>
    <w:rsid w:val="00725FC5"/>
    <w:rsid w:val="007262E4"/>
    <w:rsid w:val="007266A1"/>
    <w:rsid w:val="00726785"/>
    <w:rsid w:val="007267AD"/>
    <w:rsid w:val="007268A2"/>
    <w:rsid w:val="0072696F"/>
    <w:rsid w:val="00726D88"/>
    <w:rsid w:val="007270FC"/>
    <w:rsid w:val="00727531"/>
    <w:rsid w:val="00727A42"/>
    <w:rsid w:val="00730025"/>
    <w:rsid w:val="0073077B"/>
    <w:rsid w:val="00730D9D"/>
    <w:rsid w:val="00731128"/>
    <w:rsid w:val="007311D0"/>
    <w:rsid w:val="00731627"/>
    <w:rsid w:val="0073167E"/>
    <w:rsid w:val="00731750"/>
    <w:rsid w:val="0073284A"/>
    <w:rsid w:val="007329AB"/>
    <w:rsid w:val="00732B54"/>
    <w:rsid w:val="00733046"/>
    <w:rsid w:val="007331CF"/>
    <w:rsid w:val="0073324D"/>
    <w:rsid w:val="007335BC"/>
    <w:rsid w:val="007336B1"/>
    <w:rsid w:val="00733795"/>
    <w:rsid w:val="0073387D"/>
    <w:rsid w:val="00733939"/>
    <w:rsid w:val="00733A0A"/>
    <w:rsid w:val="00733D9B"/>
    <w:rsid w:val="00734101"/>
    <w:rsid w:val="007341B6"/>
    <w:rsid w:val="00734246"/>
    <w:rsid w:val="0073458B"/>
    <w:rsid w:val="00734609"/>
    <w:rsid w:val="00734971"/>
    <w:rsid w:val="0073498A"/>
    <w:rsid w:val="00734A0F"/>
    <w:rsid w:val="00734A99"/>
    <w:rsid w:val="00734B68"/>
    <w:rsid w:val="00734E3A"/>
    <w:rsid w:val="0073511B"/>
    <w:rsid w:val="0073515C"/>
    <w:rsid w:val="00735401"/>
    <w:rsid w:val="0073556A"/>
    <w:rsid w:val="007355AB"/>
    <w:rsid w:val="00735DE7"/>
    <w:rsid w:val="00736440"/>
    <w:rsid w:val="00736D56"/>
    <w:rsid w:val="00736FA6"/>
    <w:rsid w:val="00737168"/>
    <w:rsid w:val="0073740E"/>
    <w:rsid w:val="007375D6"/>
    <w:rsid w:val="007379C7"/>
    <w:rsid w:val="00737BCB"/>
    <w:rsid w:val="00737EB3"/>
    <w:rsid w:val="007401BD"/>
    <w:rsid w:val="00740351"/>
    <w:rsid w:val="00740B34"/>
    <w:rsid w:val="007411F5"/>
    <w:rsid w:val="00741573"/>
    <w:rsid w:val="007416B5"/>
    <w:rsid w:val="00741723"/>
    <w:rsid w:val="00741A25"/>
    <w:rsid w:val="00741F22"/>
    <w:rsid w:val="007420B4"/>
    <w:rsid w:val="007421A9"/>
    <w:rsid w:val="0074236F"/>
    <w:rsid w:val="00742879"/>
    <w:rsid w:val="007430EC"/>
    <w:rsid w:val="0074377F"/>
    <w:rsid w:val="007438A0"/>
    <w:rsid w:val="00743902"/>
    <w:rsid w:val="0074391B"/>
    <w:rsid w:val="0074392F"/>
    <w:rsid w:val="00743AEF"/>
    <w:rsid w:val="00743D21"/>
    <w:rsid w:val="00743ECF"/>
    <w:rsid w:val="00744AD1"/>
    <w:rsid w:val="00744B28"/>
    <w:rsid w:val="007450A6"/>
    <w:rsid w:val="00745566"/>
    <w:rsid w:val="0074561E"/>
    <w:rsid w:val="00745676"/>
    <w:rsid w:val="0074572F"/>
    <w:rsid w:val="00745753"/>
    <w:rsid w:val="00745FDE"/>
    <w:rsid w:val="00746825"/>
    <w:rsid w:val="00746BC2"/>
    <w:rsid w:val="00746D01"/>
    <w:rsid w:val="00746E54"/>
    <w:rsid w:val="007473A9"/>
    <w:rsid w:val="0074750E"/>
    <w:rsid w:val="007475CF"/>
    <w:rsid w:val="00747A83"/>
    <w:rsid w:val="00747C78"/>
    <w:rsid w:val="00747CCF"/>
    <w:rsid w:val="00747DFB"/>
    <w:rsid w:val="00747FFA"/>
    <w:rsid w:val="00750A9E"/>
    <w:rsid w:val="00750EED"/>
    <w:rsid w:val="00751266"/>
    <w:rsid w:val="00751417"/>
    <w:rsid w:val="0075179F"/>
    <w:rsid w:val="007517D5"/>
    <w:rsid w:val="0075184E"/>
    <w:rsid w:val="007519A1"/>
    <w:rsid w:val="00751B43"/>
    <w:rsid w:val="0075238B"/>
    <w:rsid w:val="00752473"/>
    <w:rsid w:val="0075250B"/>
    <w:rsid w:val="00752F1D"/>
    <w:rsid w:val="00753324"/>
    <w:rsid w:val="00754041"/>
    <w:rsid w:val="00754156"/>
    <w:rsid w:val="00754168"/>
    <w:rsid w:val="00754475"/>
    <w:rsid w:val="0075486E"/>
    <w:rsid w:val="0075491F"/>
    <w:rsid w:val="00754AED"/>
    <w:rsid w:val="00754D3B"/>
    <w:rsid w:val="00754DF6"/>
    <w:rsid w:val="00754E14"/>
    <w:rsid w:val="00754E62"/>
    <w:rsid w:val="00754FA2"/>
    <w:rsid w:val="007551FE"/>
    <w:rsid w:val="00755249"/>
    <w:rsid w:val="007553AC"/>
    <w:rsid w:val="00755D6B"/>
    <w:rsid w:val="007561C1"/>
    <w:rsid w:val="00756234"/>
    <w:rsid w:val="00756277"/>
    <w:rsid w:val="00756302"/>
    <w:rsid w:val="007564EC"/>
    <w:rsid w:val="0075668D"/>
    <w:rsid w:val="00756857"/>
    <w:rsid w:val="007568B4"/>
    <w:rsid w:val="00756929"/>
    <w:rsid w:val="00756AEE"/>
    <w:rsid w:val="00757238"/>
    <w:rsid w:val="0075728E"/>
    <w:rsid w:val="007579D8"/>
    <w:rsid w:val="00757CCA"/>
    <w:rsid w:val="00757E27"/>
    <w:rsid w:val="00757E33"/>
    <w:rsid w:val="00757FD0"/>
    <w:rsid w:val="007601E6"/>
    <w:rsid w:val="00760335"/>
    <w:rsid w:val="00760A8A"/>
    <w:rsid w:val="00760CA2"/>
    <w:rsid w:val="00760EB4"/>
    <w:rsid w:val="00760F0C"/>
    <w:rsid w:val="00761895"/>
    <w:rsid w:val="00761C32"/>
    <w:rsid w:val="007622F9"/>
    <w:rsid w:val="00762523"/>
    <w:rsid w:val="007626FE"/>
    <w:rsid w:val="0076284B"/>
    <w:rsid w:val="00762999"/>
    <w:rsid w:val="00762AE3"/>
    <w:rsid w:val="00762B5F"/>
    <w:rsid w:val="00762D2F"/>
    <w:rsid w:val="00762DD6"/>
    <w:rsid w:val="00762F44"/>
    <w:rsid w:val="0076321E"/>
    <w:rsid w:val="0076344A"/>
    <w:rsid w:val="00763650"/>
    <w:rsid w:val="00763843"/>
    <w:rsid w:val="00763CA9"/>
    <w:rsid w:val="007643CC"/>
    <w:rsid w:val="0076501D"/>
    <w:rsid w:val="007650BC"/>
    <w:rsid w:val="00765156"/>
    <w:rsid w:val="00765185"/>
    <w:rsid w:val="00765235"/>
    <w:rsid w:val="007653E5"/>
    <w:rsid w:val="0076546E"/>
    <w:rsid w:val="0076599C"/>
    <w:rsid w:val="00765A05"/>
    <w:rsid w:val="00766377"/>
    <w:rsid w:val="00766770"/>
    <w:rsid w:val="0076690F"/>
    <w:rsid w:val="00766A09"/>
    <w:rsid w:val="00766D4F"/>
    <w:rsid w:val="00766DE3"/>
    <w:rsid w:val="00766FF1"/>
    <w:rsid w:val="0076711F"/>
    <w:rsid w:val="00767444"/>
    <w:rsid w:val="007674DF"/>
    <w:rsid w:val="0076753F"/>
    <w:rsid w:val="00767BD6"/>
    <w:rsid w:val="00767BDD"/>
    <w:rsid w:val="0077005E"/>
    <w:rsid w:val="007701BE"/>
    <w:rsid w:val="007705AA"/>
    <w:rsid w:val="0077067E"/>
    <w:rsid w:val="00770B84"/>
    <w:rsid w:val="00771477"/>
    <w:rsid w:val="00771636"/>
    <w:rsid w:val="007719E4"/>
    <w:rsid w:val="00771F73"/>
    <w:rsid w:val="00772122"/>
    <w:rsid w:val="0077234E"/>
    <w:rsid w:val="00772547"/>
    <w:rsid w:val="00772681"/>
    <w:rsid w:val="00772880"/>
    <w:rsid w:val="00772924"/>
    <w:rsid w:val="00772C5C"/>
    <w:rsid w:val="00773037"/>
    <w:rsid w:val="00773043"/>
    <w:rsid w:val="00773120"/>
    <w:rsid w:val="007736B9"/>
    <w:rsid w:val="007736D0"/>
    <w:rsid w:val="00773E9B"/>
    <w:rsid w:val="00773F2F"/>
    <w:rsid w:val="00773FAC"/>
    <w:rsid w:val="00774219"/>
    <w:rsid w:val="007751E4"/>
    <w:rsid w:val="00775300"/>
    <w:rsid w:val="00775429"/>
    <w:rsid w:val="007755DC"/>
    <w:rsid w:val="00775795"/>
    <w:rsid w:val="00775908"/>
    <w:rsid w:val="00775B22"/>
    <w:rsid w:val="00775DEC"/>
    <w:rsid w:val="00775ECD"/>
    <w:rsid w:val="00776281"/>
    <w:rsid w:val="0077641B"/>
    <w:rsid w:val="007766A0"/>
    <w:rsid w:val="007766F2"/>
    <w:rsid w:val="007767CE"/>
    <w:rsid w:val="007768ED"/>
    <w:rsid w:val="00776960"/>
    <w:rsid w:val="00776BCE"/>
    <w:rsid w:val="00776D82"/>
    <w:rsid w:val="00776E9A"/>
    <w:rsid w:val="007772D4"/>
    <w:rsid w:val="00777300"/>
    <w:rsid w:val="007775F4"/>
    <w:rsid w:val="00777C56"/>
    <w:rsid w:val="00777CAC"/>
    <w:rsid w:val="00777D15"/>
    <w:rsid w:val="00777EAF"/>
    <w:rsid w:val="00777F82"/>
    <w:rsid w:val="00780120"/>
    <w:rsid w:val="0078023D"/>
    <w:rsid w:val="007804C2"/>
    <w:rsid w:val="00780A40"/>
    <w:rsid w:val="00780A4E"/>
    <w:rsid w:val="00780FDD"/>
    <w:rsid w:val="007812BB"/>
    <w:rsid w:val="0078180D"/>
    <w:rsid w:val="00781926"/>
    <w:rsid w:val="00781C6D"/>
    <w:rsid w:val="00781C80"/>
    <w:rsid w:val="00781CE4"/>
    <w:rsid w:val="00781F8B"/>
    <w:rsid w:val="00781FBF"/>
    <w:rsid w:val="00782164"/>
    <w:rsid w:val="007823B9"/>
    <w:rsid w:val="00782E47"/>
    <w:rsid w:val="00782E81"/>
    <w:rsid w:val="0078348E"/>
    <w:rsid w:val="007839E2"/>
    <w:rsid w:val="00783C11"/>
    <w:rsid w:val="007841D0"/>
    <w:rsid w:val="00784369"/>
    <w:rsid w:val="0078436C"/>
    <w:rsid w:val="00784917"/>
    <w:rsid w:val="00784A8C"/>
    <w:rsid w:val="00784D9C"/>
    <w:rsid w:val="00784E95"/>
    <w:rsid w:val="00784FAB"/>
    <w:rsid w:val="00785287"/>
    <w:rsid w:val="0078529F"/>
    <w:rsid w:val="0078547C"/>
    <w:rsid w:val="00785B2A"/>
    <w:rsid w:val="00785E26"/>
    <w:rsid w:val="00785FFD"/>
    <w:rsid w:val="0078603C"/>
    <w:rsid w:val="00786117"/>
    <w:rsid w:val="007862D7"/>
    <w:rsid w:val="00786457"/>
    <w:rsid w:val="007866DC"/>
    <w:rsid w:val="00786D9A"/>
    <w:rsid w:val="0078734E"/>
    <w:rsid w:val="0078739D"/>
    <w:rsid w:val="00787493"/>
    <w:rsid w:val="00787620"/>
    <w:rsid w:val="0078787E"/>
    <w:rsid w:val="007878CA"/>
    <w:rsid w:val="00787A65"/>
    <w:rsid w:val="00787B1B"/>
    <w:rsid w:val="00787BAB"/>
    <w:rsid w:val="0079005F"/>
    <w:rsid w:val="007900F9"/>
    <w:rsid w:val="0079029D"/>
    <w:rsid w:val="00790C66"/>
    <w:rsid w:val="00790DED"/>
    <w:rsid w:val="00790EFB"/>
    <w:rsid w:val="00791015"/>
    <w:rsid w:val="0079150B"/>
    <w:rsid w:val="0079175C"/>
    <w:rsid w:val="00791817"/>
    <w:rsid w:val="00791A3D"/>
    <w:rsid w:val="00791AF3"/>
    <w:rsid w:val="00791B1A"/>
    <w:rsid w:val="00791CD4"/>
    <w:rsid w:val="00791F26"/>
    <w:rsid w:val="0079205E"/>
    <w:rsid w:val="007921FE"/>
    <w:rsid w:val="007922C8"/>
    <w:rsid w:val="00792915"/>
    <w:rsid w:val="00792B4E"/>
    <w:rsid w:val="00792BDD"/>
    <w:rsid w:val="00792CF6"/>
    <w:rsid w:val="00792D89"/>
    <w:rsid w:val="00793027"/>
    <w:rsid w:val="0079310B"/>
    <w:rsid w:val="00793143"/>
    <w:rsid w:val="007932E3"/>
    <w:rsid w:val="00793602"/>
    <w:rsid w:val="00793604"/>
    <w:rsid w:val="007937E1"/>
    <w:rsid w:val="00793F7A"/>
    <w:rsid w:val="00793F8D"/>
    <w:rsid w:val="00794093"/>
    <w:rsid w:val="00794343"/>
    <w:rsid w:val="007943D8"/>
    <w:rsid w:val="007947B4"/>
    <w:rsid w:val="0079498E"/>
    <w:rsid w:val="00794D93"/>
    <w:rsid w:val="00795338"/>
    <w:rsid w:val="00795442"/>
    <w:rsid w:val="007959D0"/>
    <w:rsid w:val="00795FDC"/>
    <w:rsid w:val="00796061"/>
    <w:rsid w:val="007960E7"/>
    <w:rsid w:val="00796125"/>
    <w:rsid w:val="007961FC"/>
    <w:rsid w:val="007964F9"/>
    <w:rsid w:val="00796647"/>
    <w:rsid w:val="007966B3"/>
    <w:rsid w:val="00796CE5"/>
    <w:rsid w:val="00796E03"/>
    <w:rsid w:val="00796FBD"/>
    <w:rsid w:val="0079764B"/>
    <w:rsid w:val="00797776"/>
    <w:rsid w:val="00797857"/>
    <w:rsid w:val="007978B6"/>
    <w:rsid w:val="00797A06"/>
    <w:rsid w:val="00797C4E"/>
    <w:rsid w:val="00797DE8"/>
    <w:rsid w:val="00797F29"/>
    <w:rsid w:val="007A02E8"/>
    <w:rsid w:val="007A04F0"/>
    <w:rsid w:val="007A06F7"/>
    <w:rsid w:val="007A0D7A"/>
    <w:rsid w:val="007A0EA1"/>
    <w:rsid w:val="007A0F0D"/>
    <w:rsid w:val="007A12B4"/>
    <w:rsid w:val="007A147F"/>
    <w:rsid w:val="007A14E1"/>
    <w:rsid w:val="007A17C5"/>
    <w:rsid w:val="007A1883"/>
    <w:rsid w:val="007A19FD"/>
    <w:rsid w:val="007A1B5D"/>
    <w:rsid w:val="007A1DA0"/>
    <w:rsid w:val="007A1DE5"/>
    <w:rsid w:val="007A1F7D"/>
    <w:rsid w:val="007A1FE7"/>
    <w:rsid w:val="007A21C0"/>
    <w:rsid w:val="007A21F2"/>
    <w:rsid w:val="007A222D"/>
    <w:rsid w:val="007A2415"/>
    <w:rsid w:val="007A25B9"/>
    <w:rsid w:val="007A27FA"/>
    <w:rsid w:val="007A286A"/>
    <w:rsid w:val="007A28E4"/>
    <w:rsid w:val="007A2CD9"/>
    <w:rsid w:val="007A301B"/>
    <w:rsid w:val="007A328E"/>
    <w:rsid w:val="007A34D1"/>
    <w:rsid w:val="007A35B7"/>
    <w:rsid w:val="007A38CF"/>
    <w:rsid w:val="007A3B7E"/>
    <w:rsid w:val="007A3C2E"/>
    <w:rsid w:val="007A3D67"/>
    <w:rsid w:val="007A3E7B"/>
    <w:rsid w:val="007A401F"/>
    <w:rsid w:val="007A4247"/>
    <w:rsid w:val="007A42DB"/>
    <w:rsid w:val="007A4913"/>
    <w:rsid w:val="007A49C1"/>
    <w:rsid w:val="007A4E90"/>
    <w:rsid w:val="007A4FB7"/>
    <w:rsid w:val="007A50D3"/>
    <w:rsid w:val="007A5199"/>
    <w:rsid w:val="007A51CF"/>
    <w:rsid w:val="007A51E4"/>
    <w:rsid w:val="007A5C7D"/>
    <w:rsid w:val="007A5D39"/>
    <w:rsid w:val="007A5EAB"/>
    <w:rsid w:val="007A6811"/>
    <w:rsid w:val="007A6829"/>
    <w:rsid w:val="007A6A04"/>
    <w:rsid w:val="007A6A4A"/>
    <w:rsid w:val="007A6AF2"/>
    <w:rsid w:val="007A7276"/>
    <w:rsid w:val="007A74E2"/>
    <w:rsid w:val="007A7A6D"/>
    <w:rsid w:val="007A7F25"/>
    <w:rsid w:val="007B013B"/>
    <w:rsid w:val="007B0783"/>
    <w:rsid w:val="007B0784"/>
    <w:rsid w:val="007B09C3"/>
    <w:rsid w:val="007B0A92"/>
    <w:rsid w:val="007B0B90"/>
    <w:rsid w:val="007B0E91"/>
    <w:rsid w:val="007B138A"/>
    <w:rsid w:val="007B14E3"/>
    <w:rsid w:val="007B192A"/>
    <w:rsid w:val="007B2060"/>
    <w:rsid w:val="007B28DF"/>
    <w:rsid w:val="007B2B48"/>
    <w:rsid w:val="007B2BBC"/>
    <w:rsid w:val="007B2CC7"/>
    <w:rsid w:val="007B339B"/>
    <w:rsid w:val="007B388D"/>
    <w:rsid w:val="007B420E"/>
    <w:rsid w:val="007B4553"/>
    <w:rsid w:val="007B45BC"/>
    <w:rsid w:val="007B47A8"/>
    <w:rsid w:val="007B4B99"/>
    <w:rsid w:val="007B4EB7"/>
    <w:rsid w:val="007B4F8C"/>
    <w:rsid w:val="007B4FE9"/>
    <w:rsid w:val="007B52AC"/>
    <w:rsid w:val="007B52D0"/>
    <w:rsid w:val="007B5429"/>
    <w:rsid w:val="007B55D0"/>
    <w:rsid w:val="007B5734"/>
    <w:rsid w:val="007B5867"/>
    <w:rsid w:val="007B5FDD"/>
    <w:rsid w:val="007B609E"/>
    <w:rsid w:val="007B6A3F"/>
    <w:rsid w:val="007B6B28"/>
    <w:rsid w:val="007B6C1F"/>
    <w:rsid w:val="007B7793"/>
    <w:rsid w:val="007B7828"/>
    <w:rsid w:val="007B7B3E"/>
    <w:rsid w:val="007B7F1A"/>
    <w:rsid w:val="007B7F4A"/>
    <w:rsid w:val="007C0200"/>
    <w:rsid w:val="007C04FB"/>
    <w:rsid w:val="007C0758"/>
    <w:rsid w:val="007C077F"/>
    <w:rsid w:val="007C080C"/>
    <w:rsid w:val="007C085C"/>
    <w:rsid w:val="007C0C21"/>
    <w:rsid w:val="007C1234"/>
    <w:rsid w:val="007C12BB"/>
    <w:rsid w:val="007C160C"/>
    <w:rsid w:val="007C16E8"/>
    <w:rsid w:val="007C1764"/>
    <w:rsid w:val="007C1A3A"/>
    <w:rsid w:val="007C20E0"/>
    <w:rsid w:val="007C225C"/>
    <w:rsid w:val="007C237B"/>
    <w:rsid w:val="007C2794"/>
    <w:rsid w:val="007C29B0"/>
    <w:rsid w:val="007C2B7C"/>
    <w:rsid w:val="007C3119"/>
    <w:rsid w:val="007C31BD"/>
    <w:rsid w:val="007C31EA"/>
    <w:rsid w:val="007C323C"/>
    <w:rsid w:val="007C32C1"/>
    <w:rsid w:val="007C3844"/>
    <w:rsid w:val="007C3CDE"/>
    <w:rsid w:val="007C3D80"/>
    <w:rsid w:val="007C3E00"/>
    <w:rsid w:val="007C4203"/>
    <w:rsid w:val="007C4246"/>
    <w:rsid w:val="007C4282"/>
    <w:rsid w:val="007C42A1"/>
    <w:rsid w:val="007C44B4"/>
    <w:rsid w:val="007C47AE"/>
    <w:rsid w:val="007C4B2D"/>
    <w:rsid w:val="007C4BD6"/>
    <w:rsid w:val="007C4D54"/>
    <w:rsid w:val="007C4DB6"/>
    <w:rsid w:val="007C4E22"/>
    <w:rsid w:val="007C512C"/>
    <w:rsid w:val="007C57B3"/>
    <w:rsid w:val="007C5882"/>
    <w:rsid w:val="007C58F3"/>
    <w:rsid w:val="007C5D21"/>
    <w:rsid w:val="007C5DAD"/>
    <w:rsid w:val="007C5E8B"/>
    <w:rsid w:val="007C6139"/>
    <w:rsid w:val="007C678B"/>
    <w:rsid w:val="007C6804"/>
    <w:rsid w:val="007C68DF"/>
    <w:rsid w:val="007C6A12"/>
    <w:rsid w:val="007C7059"/>
    <w:rsid w:val="007C75A1"/>
    <w:rsid w:val="007C76A6"/>
    <w:rsid w:val="007C7761"/>
    <w:rsid w:val="007C799C"/>
    <w:rsid w:val="007C79FA"/>
    <w:rsid w:val="007C7BC9"/>
    <w:rsid w:val="007C7CE1"/>
    <w:rsid w:val="007D039C"/>
    <w:rsid w:val="007D086B"/>
    <w:rsid w:val="007D0A05"/>
    <w:rsid w:val="007D0B10"/>
    <w:rsid w:val="007D0CB5"/>
    <w:rsid w:val="007D0D2A"/>
    <w:rsid w:val="007D1506"/>
    <w:rsid w:val="007D1804"/>
    <w:rsid w:val="007D18AA"/>
    <w:rsid w:val="007D22CA"/>
    <w:rsid w:val="007D234C"/>
    <w:rsid w:val="007D2431"/>
    <w:rsid w:val="007D2776"/>
    <w:rsid w:val="007D2A52"/>
    <w:rsid w:val="007D2DB0"/>
    <w:rsid w:val="007D2F5F"/>
    <w:rsid w:val="007D310C"/>
    <w:rsid w:val="007D33CE"/>
    <w:rsid w:val="007D37C5"/>
    <w:rsid w:val="007D38D5"/>
    <w:rsid w:val="007D3968"/>
    <w:rsid w:val="007D3B93"/>
    <w:rsid w:val="007D3BB3"/>
    <w:rsid w:val="007D3BC5"/>
    <w:rsid w:val="007D3E40"/>
    <w:rsid w:val="007D479F"/>
    <w:rsid w:val="007D4A12"/>
    <w:rsid w:val="007D4AC6"/>
    <w:rsid w:val="007D4B68"/>
    <w:rsid w:val="007D4B6F"/>
    <w:rsid w:val="007D4CBE"/>
    <w:rsid w:val="007D5311"/>
    <w:rsid w:val="007D56E4"/>
    <w:rsid w:val="007D599F"/>
    <w:rsid w:val="007D5A08"/>
    <w:rsid w:val="007D5A5F"/>
    <w:rsid w:val="007D5A87"/>
    <w:rsid w:val="007D5B53"/>
    <w:rsid w:val="007D5CAE"/>
    <w:rsid w:val="007D5D78"/>
    <w:rsid w:val="007D6659"/>
    <w:rsid w:val="007D6D06"/>
    <w:rsid w:val="007D72CA"/>
    <w:rsid w:val="007D7435"/>
    <w:rsid w:val="007D797D"/>
    <w:rsid w:val="007D79FA"/>
    <w:rsid w:val="007D7AD3"/>
    <w:rsid w:val="007D7C22"/>
    <w:rsid w:val="007D7D80"/>
    <w:rsid w:val="007E029B"/>
    <w:rsid w:val="007E0BEC"/>
    <w:rsid w:val="007E0CBE"/>
    <w:rsid w:val="007E1076"/>
    <w:rsid w:val="007E1127"/>
    <w:rsid w:val="007E1269"/>
    <w:rsid w:val="007E1315"/>
    <w:rsid w:val="007E159D"/>
    <w:rsid w:val="007E17E8"/>
    <w:rsid w:val="007E1B8F"/>
    <w:rsid w:val="007E1F85"/>
    <w:rsid w:val="007E20B8"/>
    <w:rsid w:val="007E22EF"/>
    <w:rsid w:val="007E231C"/>
    <w:rsid w:val="007E245C"/>
    <w:rsid w:val="007E2622"/>
    <w:rsid w:val="007E2CEB"/>
    <w:rsid w:val="007E2F60"/>
    <w:rsid w:val="007E32E5"/>
    <w:rsid w:val="007E333C"/>
    <w:rsid w:val="007E36A2"/>
    <w:rsid w:val="007E3768"/>
    <w:rsid w:val="007E38C9"/>
    <w:rsid w:val="007E3C50"/>
    <w:rsid w:val="007E43E7"/>
    <w:rsid w:val="007E49D1"/>
    <w:rsid w:val="007E4AF3"/>
    <w:rsid w:val="007E4C0B"/>
    <w:rsid w:val="007E4DB0"/>
    <w:rsid w:val="007E548B"/>
    <w:rsid w:val="007E5537"/>
    <w:rsid w:val="007E5940"/>
    <w:rsid w:val="007E6401"/>
    <w:rsid w:val="007E686A"/>
    <w:rsid w:val="007E68E0"/>
    <w:rsid w:val="007E69C3"/>
    <w:rsid w:val="007E6AC2"/>
    <w:rsid w:val="007E6F91"/>
    <w:rsid w:val="007E7080"/>
    <w:rsid w:val="007E78F5"/>
    <w:rsid w:val="007E7928"/>
    <w:rsid w:val="007E7AA2"/>
    <w:rsid w:val="007E7F32"/>
    <w:rsid w:val="007F0253"/>
    <w:rsid w:val="007F046A"/>
    <w:rsid w:val="007F0597"/>
    <w:rsid w:val="007F0AD4"/>
    <w:rsid w:val="007F0F37"/>
    <w:rsid w:val="007F1066"/>
    <w:rsid w:val="007F11E0"/>
    <w:rsid w:val="007F19C9"/>
    <w:rsid w:val="007F1C13"/>
    <w:rsid w:val="007F1CB7"/>
    <w:rsid w:val="007F1F6E"/>
    <w:rsid w:val="007F2A84"/>
    <w:rsid w:val="007F3528"/>
    <w:rsid w:val="007F35FC"/>
    <w:rsid w:val="007F3723"/>
    <w:rsid w:val="007F3F29"/>
    <w:rsid w:val="007F408C"/>
    <w:rsid w:val="007F416A"/>
    <w:rsid w:val="007F4348"/>
    <w:rsid w:val="007F4359"/>
    <w:rsid w:val="007F49D4"/>
    <w:rsid w:val="007F4BE5"/>
    <w:rsid w:val="007F4D68"/>
    <w:rsid w:val="007F514E"/>
    <w:rsid w:val="007F519D"/>
    <w:rsid w:val="007F5591"/>
    <w:rsid w:val="007F5869"/>
    <w:rsid w:val="007F5D90"/>
    <w:rsid w:val="007F5E6D"/>
    <w:rsid w:val="007F5F3A"/>
    <w:rsid w:val="007F5F7C"/>
    <w:rsid w:val="007F6059"/>
    <w:rsid w:val="007F6196"/>
    <w:rsid w:val="007F6217"/>
    <w:rsid w:val="007F64E6"/>
    <w:rsid w:val="007F664C"/>
    <w:rsid w:val="007F6680"/>
    <w:rsid w:val="007F6790"/>
    <w:rsid w:val="007F692B"/>
    <w:rsid w:val="007F6C67"/>
    <w:rsid w:val="007F6C75"/>
    <w:rsid w:val="007F6E07"/>
    <w:rsid w:val="007F6E53"/>
    <w:rsid w:val="007F6E8B"/>
    <w:rsid w:val="007F6FD2"/>
    <w:rsid w:val="007F706C"/>
    <w:rsid w:val="007F757A"/>
    <w:rsid w:val="007F78C4"/>
    <w:rsid w:val="007F79A2"/>
    <w:rsid w:val="007F7A53"/>
    <w:rsid w:val="007F7B82"/>
    <w:rsid w:val="007F7BF5"/>
    <w:rsid w:val="008008A8"/>
    <w:rsid w:val="008015D3"/>
    <w:rsid w:val="00801A16"/>
    <w:rsid w:val="00801AEE"/>
    <w:rsid w:val="00801EB9"/>
    <w:rsid w:val="00801FF5"/>
    <w:rsid w:val="00802095"/>
    <w:rsid w:val="00802389"/>
    <w:rsid w:val="00802402"/>
    <w:rsid w:val="00802C33"/>
    <w:rsid w:val="00802EAD"/>
    <w:rsid w:val="0080322B"/>
    <w:rsid w:val="00803231"/>
    <w:rsid w:val="008032C0"/>
    <w:rsid w:val="0080347F"/>
    <w:rsid w:val="00803565"/>
    <w:rsid w:val="008036D6"/>
    <w:rsid w:val="00803791"/>
    <w:rsid w:val="00803A75"/>
    <w:rsid w:val="00803CCC"/>
    <w:rsid w:val="00803E11"/>
    <w:rsid w:val="0080477C"/>
    <w:rsid w:val="00805041"/>
    <w:rsid w:val="00805669"/>
    <w:rsid w:val="0080570F"/>
    <w:rsid w:val="00805998"/>
    <w:rsid w:val="00805A9E"/>
    <w:rsid w:val="00806110"/>
    <w:rsid w:val="0080625B"/>
    <w:rsid w:val="008063D1"/>
    <w:rsid w:val="00806564"/>
    <w:rsid w:val="008065A3"/>
    <w:rsid w:val="008068FC"/>
    <w:rsid w:val="008069D8"/>
    <w:rsid w:val="00806B51"/>
    <w:rsid w:val="00806BD9"/>
    <w:rsid w:val="008071CB"/>
    <w:rsid w:val="008071DE"/>
    <w:rsid w:val="00807485"/>
    <w:rsid w:val="00807887"/>
    <w:rsid w:val="00807D06"/>
    <w:rsid w:val="00807DD0"/>
    <w:rsid w:val="00810054"/>
    <w:rsid w:val="00810122"/>
    <w:rsid w:val="008104B0"/>
    <w:rsid w:val="00810BFC"/>
    <w:rsid w:val="00810CD1"/>
    <w:rsid w:val="00810E45"/>
    <w:rsid w:val="00811098"/>
    <w:rsid w:val="0081134C"/>
    <w:rsid w:val="0081142D"/>
    <w:rsid w:val="008116C3"/>
    <w:rsid w:val="00811874"/>
    <w:rsid w:val="00811958"/>
    <w:rsid w:val="00811C3B"/>
    <w:rsid w:val="00811D5D"/>
    <w:rsid w:val="00811FB5"/>
    <w:rsid w:val="008120CA"/>
    <w:rsid w:val="00812ACA"/>
    <w:rsid w:val="00812C9E"/>
    <w:rsid w:val="008130D2"/>
    <w:rsid w:val="008133B3"/>
    <w:rsid w:val="0081343B"/>
    <w:rsid w:val="008137C2"/>
    <w:rsid w:val="0081384C"/>
    <w:rsid w:val="0081385F"/>
    <w:rsid w:val="008139AB"/>
    <w:rsid w:val="00813D10"/>
    <w:rsid w:val="00813E06"/>
    <w:rsid w:val="00814079"/>
    <w:rsid w:val="008143F7"/>
    <w:rsid w:val="00814891"/>
    <w:rsid w:val="00814915"/>
    <w:rsid w:val="00814BE6"/>
    <w:rsid w:val="00815749"/>
    <w:rsid w:val="0081582D"/>
    <w:rsid w:val="00815A1D"/>
    <w:rsid w:val="00815C92"/>
    <w:rsid w:val="00815DFE"/>
    <w:rsid w:val="0081608D"/>
    <w:rsid w:val="008161AA"/>
    <w:rsid w:val="008161C5"/>
    <w:rsid w:val="0081669D"/>
    <w:rsid w:val="008168C3"/>
    <w:rsid w:val="00816C57"/>
    <w:rsid w:val="00816E06"/>
    <w:rsid w:val="008170D7"/>
    <w:rsid w:val="008171C4"/>
    <w:rsid w:val="008171C8"/>
    <w:rsid w:val="008175D3"/>
    <w:rsid w:val="00817D22"/>
    <w:rsid w:val="0082049C"/>
    <w:rsid w:val="0082053A"/>
    <w:rsid w:val="0082062C"/>
    <w:rsid w:val="00820A22"/>
    <w:rsid w:val="00820AED"/>
    <w:rsid w:val="00820CBD"/>
    <w:rsid w:val="0082121B"/>
    <w:rsid w:val="00821313"/>
    <w:rsid w:val="00821590"/>
    <w:rsid w:val="0082172A"/>
    <w:rsid w:val="00821731"/>
    <w:rsid w:val="008217A8"/>
    <w:rsid w:val="0082182C"/>
    <w:rsid w:val="00821D6C"/>
    <w:rsid w:val="00821E5A"/>
    <w:rsid w:val="00821F9C"/>
    <w:rsid w:val="00821FB1"/>
    <w:rsid w:val="008220CD"/>
    <w:rsid w:val="00822123"/>
    <w:rsid w:val="00822558"/>
    <w:rsid w:val="00822A08"/>
    <w:rsid w:val="00823492"/>
    <w:rsid w:val="008238AF"/>
    <w:rsid w:val="008238FE"/>
    <w:rsid w:val="00823D31"/>
    <w:rsid w:val="00823ECE"/>
    <w:rsid w:val="00824146"/>
    <w:rsid w:val="00824745"/>
    <w:rsid w:val="008247AF"/>
    <w:rsid w:val="00824C5D"/>
    <w:rsid w:val="00824D92"/>
    <w:rsid w:val="00824E8C"/>
    <w:rsid w:val="00825079"/>
    <w:rsid w:val="0082517B"/>
    <w:rsid w:val="008257EB"/>
    <w:rsid w:val="00825C08"/>
    <w:rsid w:val="00825D55"/>
    <w:rsid w:val="00825D9C"/>
    <w:rsid w:val="008262E9"/>
    <w:rsid w:val="008263E6"/>
    <w:rsid w:val="0082666A"/>
    <w:rsid w:val="008266B0"/>
    <w:rsid w:val="0082692C"/>
    <w:rsid w:val="0082694D"/>
    <w:rsid w:val="00826DF9"/>
    <w:rsid w:val="00826EF3"/>
    <w:rsid w:val="008270B7"/>
    <w:rsid w:val="0082724B"/>
    <w:rsid w:val="00827312"/>
    <w:rsid w:val="008274C0"/>
    <w:rsid w:val="00827734"/>
    <w:rsid w:val="00827990"/>
    <w:rsid w:val="008279E5"/>
    <w:rsid w:val="00827A70"/>
    <w:rsid w:val="00827D66"/>
    <w:rsid w:val="00827EF1"/>
    <w:rsid w:val="00830188"/>
    <w:rsid w:val="00830DF1"/>
    <w:rsid w:val="00830F56"/>
    <w:rsid w:val="00831834"/>
    <w:rsid w:val="0083189E"/>
    <w:rsid w:val="008318F3"/>
    <w:rsid w:val="00831F08"/>
    <w:rsid w:val="0083213E"/>
    <w:rsid w:val="008323E2"/>
    <w:rsid w:val="008328CE"/>
    <w:rsid w:val="00832C13"/>
    <w:rsid w:val="00833133"/>
    <w:rsid w:val="00833181"/>
    <w:rsid w:val="0083338E"/>
    <w:rsid w:val="008335D6"/>
    <w:rsid w:val="008336D3"/>
    <w:rsid w:val="00833762"/>
    <w:rsid w:val="008338AA"/>
    <w:rsid w:val="00833969"/>
    <w:rsid w:val="008339CE"/>
    <w:rsid w:val="00833A5F"/>
    <w:rsid w:val="00834114"/>
    <w:rsid w:val="008341C6"/>
    <w:rsid w:val="0083448C"/>
    <w:rsid w:val="00834646"/>
    <w:rsid w:val="00834697"/>
    <w:rsid w:val="008349BD"/>
    <w:rsid w:val="00834C3F"/>
    <w:rsid w:val="00834CFA"/>
    <w:rsid w:val="00834D75"/>
    <w:rsid w:val="00834FAA"/>
    <w:rsid w:val="008352D9"/>
    <w:rsid w:val="0083537D"/>
    <w:rsid w:val="0083588B"/>
    <w:rsid w:val="00835B24"/>
    <w:rsid w:val="00835CED"/>
    <w:rsid w:val="00836A09"/>
    <w:rsid w:val="008370C5"/>
    <w:rsid w:val="0083727C"/>
    <w:rsid w:val="00837629"/>
    <w:rsid w:val="00837906"/>
    <w:rsid w:val="00837A73"/>
    <w:rsid w:val="00837A86"/>
    <w:rsid w:val="00837B07"/>
    <w:rsid w:val="00837F09"/>
    <w:rsid w:val="00840757"/>
    <w:rsid w:val="008407B4"/>
    <w:rsid w:val="00840832"/>
    <w:rsid w:val="0084091F"/>
    <w:rsid w:val="00840932"/>
    <w:rsid w:val="00840B04"/>
    <w:rsid w:val="00840E33"/>
    <w:rsid w:val="0084113B"/>
    <w:rsid w:val="00841155"/>
    <w:rsid w:val="008412C1"/>
    <w:rsid w:val="0084143A"/>
    <w:rsid w:val="00841ADC"/>
    <w:rsid w:val="00841E72"/>
    <w:rsid w:val="008422C0"/>
    <w:rsid w:val="0084237D"/>
    <w:rsid w:val="0084240A"/>
    <w:rsid w:val="00842AF9"/>
    <w:rsid w:val="00842B6B"/>
    <w:rsid w:val="00843187"/>
    <w:rsid w:val="008431D9"/>
    <w:rsid w:val="0084330C"/>
    <w:rsid w:val="00843B24"/>
    <w:rsid w:val="00843DD3"/>
    <w:rsid w:val="00844056"/>
    <w:rsid w:val="0084427A"/>
    <w:rsid w:val="008443AF"/>
    <w:rsid w:val="0084475D"/>
    <w:rsid w:val="00844BFB"/>
    <w:rsid w:val="00845112"/>
    <w:rsid w:val="00845AB1"/>
    <w:rsid w:val="00845C5E"/>
    <w:rsid w:val="00845FC6"/>
    <w:rsid w:val="00846112"/>
    <w:rsid w:val="0084630B"/>
    <w:rsid w:val="008465DE"/>
    <w:rsid w:val="0084662F"/>
    <w:rsid w:val="008469E8"/>
    <w:rsid w:val="0084736B"/>
    <w:rsid w:val="0084739B"/>
    <w:rsid w:val="00847489"/>
    <w:rsid w:val="0084780B"/>
    <w:rsid w:val="00847977"/>
    <w:rsid w:val="00847AE4"/>
    <w:rsid w:val="00847C74"/>
    <w:rsid w:val="00847D86"/>
    <w:rsid w:val="00847EF1"/>
    <w:rsid w:val="00847FAE"/>
    <w:rsid w:val="00847FE7"/>
    <w:rsid w:val="00850037"/>
    <w:rsid w:val="00850071"/>
    <w:rsid w:val="0085070B"/>
    <w:rsid w:val="00850D39"/>
    <w:rsid w:val="00851094"/>
    <w:rsid w:val="00851136"/>
    <w:rsid w:val="00851166"/>
    <w:rsid w:val="008513D4"/>
    <w:rsid w:val="008515BF"/>
    <w:rsid w:val="00851740"/>
    <w:rsid w:val="00851A2C"/>
    <w:rsid w:val="00851A6F"/>
    <w:rsid w:val="00851AD4"/>
    <w:rsid w:val="00851D07"/>
    <w:rsid w:val="00851F89"/>
    <w:rsid w:val="0085223C"/>
    <w:rsid w:val="0085244F"/>
    <w:rsid w:val="0085248A"/>
    <w:rsid w:val="008525B8"/>
    <w:rsid w:val="00852915"/>
    <w:rsid w:val="00852AE8"/>
    <w:rsid w:val="00852C8C"/>
    <w:rsid w:val="00852EF3"/>
    <w:rsid w:val="00852F9F"/>
    <w:rsid w:val="00852FF7"/>
    <w:rsid w:val="008531C9"/>
    <w:rsid w:val="008531DC"/>
    <w:rsid w:val="00853241"/>
    <w:rsid w:val="00853B8E"/>
    <w:rsid w:val="00853BAE"/>
    <w:rsid w:val="00853C21"/>
    <w:rsid w:val="00853C25"/>
    <w:rsid w:val="0085425F"/>
    <w:rsid w:val="00854342"/>
    <w:rsid w:val="0085450F"/>
    <w:rsid w:val="008547DD"/>
    <w:rsid w:val="00854AAB"/>
    <w:rsid w:val="00854EBE"/>
    <w:rsid w:val="00854FA5"/>
    <w:rsid w:val="0085512F"/>
    <w:rsid w:val="00855424"/>
    <w:rsid w:val="0085563F"/>
    <w:rsid w:val="00855CE9"/>
    <w:rsid w:val="00856990"/>
    <w:rsid w:val="00856B59"/>
    <w:rsid w:val="00856C05"/>
    <w:rsid w:val="00856CA2"/>
    <w:rsid w:val="008571A5"/>
    <w:rsid w:val="008571AA"/>
    <w:rsid w:val="00857236"/>
    <w:rsid w:val="00857C8F"/>
    <w:rsid w:val="0086015B"/>
    <w:rsid w:val="00860209"/>
    <w:rsid w:val="0086029B"/>
    <w:rsid w:val="008608E1"/>
    <w:rsid w:val="00860B02"/>
    <w:rsid w:val="00861097"/>
    <w:rsid w:val="00861420"/>
    <w:rsid w:val="008614E0"/>
    <w:rsid w:val="00861638"/>
    <w:rsid w:val="0086174F"/>
    <w:rsid w:val="008618D9"/>
    <w:rsid w:val="00861FEF"/>
    <w:rsid w:val="008623D0"/>
    <w:rsid w:val="00862418"/>
    <w:rsid w:val="008625E6"/>
    <w:rsid w:val="008626B3"/>
    <w:rsid w:val="008627DA"/>
    <w:rsid w:val="0086284F"/>
    <w:rsid w:val="00862A1F"/>
    <w:rsid w:val="00862CE1"/>
    <w:rsid w:val="00862EC6"/>
    <w:rsid w:val="00862F51"/>
    <w:rsid w:val="00863765"/>
    <w:rsid w:val="00863769"/>
    <w:rsid w:val="00863931"/>
    <w:rsid w:val="00863FF3"/>
    <w:rsid w:val="00864126"/>
    <w:rsid w:val="0086489C"/>
    <w:rsid w:val="00864AD5"/>
    <w:rsid w:val="00864C36"/>
    <w:rsid w:val="00864F4A"/>
    <w:rsid w:val="0086525E"/>
    <w:rsid w:val="00865574"/>
    <w:rsid w:val="00865699"/>
    <w:rsid w:val="00865720"/>
    <w:rsid w:val="0086589E"/>
    <w:rsid w:val="00865921"/>
    <w:rsid w:val="00865ABE"/>
    <w:rsid w:val="00865B86"/>
    <w:rsid w:val="00865BC3"/>
    <w:rsid w:val="00865F31"/>
    <w:rsid w:val="008660C8"/>
    <w:rsid w:val="00866221"/>
    <w:rsid w:val="00866377"/>
    <w:rsid w:val="00866378"/>
    <w:rsid w:val="00866DB5"/>
    <w:rsid w:val="00866DBE"/>
    <w:rsid w:val="00867073"/>
    <w:rsid w:val="00867084"/>
    <w:rsid w:val="0086717A"/>
    <w:rsid w:val="008674C1"/>
    <w:rsid w:val="008674EA"/>
    <w:rsid w:val="008674ED"/>
    <w:rsid w:val="00867AA6"/>
    <w:rsid w:val="00867B13"/>
    <w:rsid w:val="00867CAB"/>
    <w:rsid w:val="00867DD7"/>
    <w:rsid w:val="00867F40"/>
    <w:rsid w:val="00870289"/>
    <w:rsid w:val="0087052B"/>
    <w:rsid w:val="00870545"/>
    <w:rsid w:val="00870E1B"/>
    <w:rsid w:val="00870E84"/>
    <w:rsid w:val="00871560"/>
    <w:rsid w:val="00871D58"/>
    <w:rsid w:val="0087251D"/>
    <w:rsid w:val="008725F5"/>
    <w:rsid w:val="0087278C"/>
    <w:rsid w:val="008727A5"/>
    <w:rsid w:val="008728F1"/>
    <w:rsid w:val="008729F2"/>
    <w:rsid w:val="00872C49"/>
    <w:rsid w:val="00872F96"/>
    <w:rsid w:val="008732A0"/>
    <w:rsid w:val="008732B5"/>
    <w:rsid w:val="00873654"/>
    <w:rsid w:val="0087370C"/>
    <w:rsid w:val="00873732"/>
    <w:rsid w:val="008737D3"/>
    <w:rsid w:val="008737FD"/>
    <w:rsid w:val="00873B90"/>
    <w:rsid w:val="00873EBB"/>
    <w:rsid w:val="00874414"/>
    <w:rsid w:val="0087476E"/>
    <w:rsid w:val="00874928"/>
    <w:rsid w:val="00874DBB"/>
    <w:rsid w:val="00874DF2"/>
    <w:rsid w:val="008751EA"/>
    <w:rsid w:val="0087593D"/>
    <w:rsid w:val="00875971"/>
    <w:rsid w:val="00875B74"/>
    <w:rsid w:val="00875BEB"/>
    <w:rsid w:val="00875E1B"/>
    <w:rsid w:val="008760F3"/>
    <w:rsid w:val="0087661D"/>
    <w:rsid w:val="00876622"/>
    <w:rsid w:val="00876A4F"/>
    <w:rsid w:val="00876A8C"/>
    <w:rsid w:val="00876ECB"/>
    <w:rsid w:val="00876F38"/>
    <w:rsid w:val="00877305"/>
    <w:rsid w:val="0087770F"/>
    <w:rsid w:val="00877B1C"/>
    <w:rsid w:val="00877DCE"/>
    <w:rsid w:val="00880078"/>
    <w:rsid w:val="008800E6"/>
    <w:rsid w:val="00880101"/>
    <w:rsid w:val="008802DE"/>
    <w:rsid w:val="008803E4"/>
    <w:rsid w:val="00880426"/>
    <w:rsid w:val="00880486"/>
    <w:rsid w:val="008807A4"/>
    <w:rsid w:val="008807B9"/>
    <w:rsid w:val="0088086B"/>
    <w:rsid w:val="00880E6A"/>
    <w:rsid w:val="00880FD2"/>
    <w:rsid w:val="00881A2B"/>
    <w:rsid w:val="00881B85"/>
    <w:rsid w:val="00882535"/>
    <w:rsid w:val="00882666"/>
    <w:rsid w:val="00882A6F"/>
    <w:rsid w:val="00882BF0"/>
    <w:rsid w:val="00882E92"/>
    <w:rsid w:val="00883764"/>
    <w:rsid w:val="00883A6D"/>
    <w:rsid w:val="00883B1B"/>
    <w:rsid w:val="00883C48"/>
    <w:rsid w:val="00883DD1"/>
    <w:rsid w:val="008845A2"/>
    <w:rsid w:val="008849DA"/>
    <w:rsid w:val="00885093"/>
    <w:rsid w:val="008852D5"/>
    <w:rsid w:val="00885BE8"/>
    <w:rsid w:val="00886108"/>
    <w:rsid w:val="0088622C"/>
    <w:rsid w:val="00886324"/>
    <w:rsid w:val="008871CD"/>
    <w:rsid w:val="008871DF"/>
    <w:rsid w:val="0088722D"/>
    <w:rsid w:val="008872AC"/>
    <w:rsid w:val="00887435"/>
    <w:rsid w:val="00887A0F"/>
    <w:rsid w:val="00887A6E"/>
    <w:rsid w:val="00887DAE"/>
    <w:rsid w:val="008901F3"/>
    <w:rsid w:val="0089058B"/>
    <w:rsid w:val="008905AE"/>
    <w:rsid w:val="00890DF2"/>
    <w:rsid w:val="00890F4D"/>
    <w:rsid w:val="00891100"/>
    <w:rsid w:val="00891135"/>
    <w:rsid w:val="00891710"/>
    <w:rsid w:val="008917FE"/>
    <w:rsid w:val="00891966"/>
    <w:rsid w:val="00891A9A"/>
    <w:rsid w:val="00891D11"/>
    <w:rsid w:val="008926CF"/>
    <w:rsid w:val="008928D4"/>
    <w:rsid w:val="0089316F"/>
    <w:rsid w:val="0089337B"/>
    <w:rsid w:val="008938ED"/>
    <w:rsid w:val="00893AB4"/>
    <w:rsid w:val="00893CA2"/>
    <w:rsid w:val="00894434"/>
    <w:rsid w:val="00894603"/>
    <w:rsid w:val="00894870"/>
    <w:rsid w:val="0089489F"/>
    <w:rsid w:val="00894CCC"/>
    <w:rsid w:val="00894DF5"/>
    <w:rsid w:val="0089546E"/>
    <w:rsid w:val="00895587"/>
    <w:rsid w:val="00895954"/>
    <w:rsid w:val="00895D44"/>
    <w:rsid w:val="00896104"/>
    <w:rsid w:val="00896430"/>
    <w:rsid w:val="00896670"/>
    <w:rsid w:val="008968E2"/>
    <w:rsid w:val="00896B4A"/>
    <w:rsid w:val="00896E5B"/>
    <w:rsid w:val="00896F2D"/>
    <w:rsid w:val="00897051"/>
    <w:rsid w:val="00897506"/>
    <w:rsid w:val="008977D5"/>
    <w:rsid w:val="00897A04"/>
    <w:rsid w:val="00897B60"/>
    <w:rsid w:val="00897C4E"/>
    <w:rsid w:val="008A01F4"/>
    <w:rsid w:val="008A0213"/>
    <w:rsid w:val="008A051C"/>
    <w:rsid w:val="008A0621"/>
    <w:rsid w:val="008A0A73"/>
    <w:rsid w:val="008A0A7B"/>
    <w:rsid w:val="008A113C"/>
    <w:rsid w:val="008A1221"/>
    <w:rsid w:val="008A19FF"/>
    <w:rsid w:val="008A1ABC"/>
    <w:rsid w:val="008A1F0C"/>
    <w:rsid w:val="008A1F5D"/>
    <w:rsid w:val="008A208F"/>
    <w:rsid w:val="008A2335"/>
    <w:rsid w:val="008A23DA"/>
    <w:rsid w:val="008A2748"/>
    <w:rsid w:val="008A27FD"/>
    <w:rsid w:val="008A29D5"/>
    <w:rsid w:val="008A2B95"/>
    <w:rsid w:val="008A2EBA"/>
    <w:rsid w:val="008A30C6"/>
    <w:rsid w:val="008A3174"/>
    <w:rsid w:val="008A31EE"/>
    <w:rsid w:val="008A3221"/>
    <w:rsid w:val="008A339F"/>
    <w:rsid w:val="008A3BC5"/>
    <w:rsid w:val="008A3EBD"/>
    <w:rsid w:val="008A401A"/>
    <w:rsid w:val="008A4171"/>
    <w:rsid w:val="008A431C"/>
    <w:rsid w:val="008A440B"/>
    <w:rsid w:val="008A46B7"/>
    <w:rsid w:val="008A4A5C"/>
    <w:rsid w:val="008A4D22"/>
    <w:rsid w:val="008A4D55"/>
    <w:rsid w:val="008A4FB4"/>
    <w:rsid w:val="008A50FA"/>
    <w:rsid w:val="008A5275"/>
    <w:rsid w:val="008A5576"/>
    <w:rsid w:val="008A5890"/>
    <w:rsid w:val="008A589C"/>
    <w:rsid w:val="008A5CD5"/>
    <w:rsid w:val="008A5DFE"/>
    <w:rsid w:val="008A5E11"/>
    <w:rsid w:val="008A5F3C"/>
    <w:rsid w:val="008A6200"/>
    <w:rsid w:val="008A623F"/>
    <w:rsid w:val="008A629F"/>
    <w:rsid w:val="008A62BA"/>
    <w:rsid w:val="008A64ED"/>
    <w:rsid w:val="008A6757"/>
    <w:rsid w:val="008A682F"/>
    <w:rsid w:val="008A6B7E"/>
    <w:rsid w:val="008A6DB2"/>
    <w:rsid w:val="008A6F48"/>
    <w:rsid w:val="008A7073"/>
    <w:rsid w:val="008A70E2"/>
    <w:rsid w:val="008A7749"/>
    <w:rsid w:val="008A7C73"/>
    <w:rsid w:val="008A7C77"/>
    <w:rsid w:val="008A7F64"/>
    <w:rsid w:val="008A7F72"/>
    <w:rsid w:val="008B0430"/>
    <w:rsid w:val="008B05D6"/>
    <w:rsid w:val="008B0698"/>
    <w:rsid w:val="008B095A"/>
    <w:rsid w:val="008B0AFA"/>
    <w:rsid w:val="008B0B11"/>
    <w:rsid w:val="008B0BC5"/>
    <w:rsid w:val="008B0D14"/>
    <w:rsid w:val="008B0D54"/>
    <w:rsid w:val="008B0F90"/>
    <w:rsid w:val="008B11B6"/>
    <w:rsid w:val="008B1475"/>
    <w:rsid w:val="008B14EA"/>
    <w:rsid w:val="008B162E"/>
    <w:rsid w:val="008B1686"/>
    <w:rsid w:val="008B21C6"/>
    <w:rsid w:val="008B2290"/>
    <w:rsid w:val="008B236F"/>
    <w:rsid w:val="008B2BFC"/>
    <w:rsid w:val="008B2C59"/>
    <w:rsid w:val="008B3150"/>
    <w:rsid w:val="008B31E7"/>
    <w:rsid w:val="008B3277"/>
    <w:rsid w:val="008B3466"/>
    <w:rsid w:val="008B3871"/>
    <w:rsid w:val="008B3A56"/>
    <w:rsid w:val="008B404E"/>
    <w:rsid w:val="008B41EC"/>
    <w:rsid w:val="008B481E"/>
    <w:rsid w:val="008B481F"/>
    <w:rsid w:val="008B4892"/>
    <w:rsid w:val="008B48E5"/>
    <w:rsid w:val="008B4A32"/>
    <w:rsid w:val="008B4AC7"/>
    <w:rsid w:val="008B4AD7"/>
    <w:rsid w:val="008B4AF8"/>
    <w:rsid w:val="008B4BDE"/>
    <w:rsid w:val="008B4C8C"/>
    <w:rsid w:val="008B5279"/>
    <w:rsid w:val="008B5B27"/>
    <w:rsid w:val="008B5BCB"/>
    <w:rsid w:val="008B5BFF"/>
    <w:rsid w:val="008B5CA7"/>
    <w:rsid w:val="008B5CBD"/>
    <w:rsid w:val="008B5CF8"/>
    <w:rsid w:val="008B66E5"/>
    <w:rsid w:val="008B6FBD"/>
    <w:rsid w:val="008B7185"/>
    <w:rsid w:val="008B7324"/>
    <w:rsid w:val="008B7601"/>
    <w:rsid w:val="008B76A7"/>
    <w:rsid w:val="008B7798"/>
    <w:rsid w:val="008B7A56"/>
    <w:rsid w:val="008B7B88"/>
    <w:rsid w:val="008C0069"/>
    <w:rsid w:val="008C0618"/>
    <w:rsid w:val="008C088C"/>
    <w:rsid w:val="008C09BD"/>
    <w:rsid w:val="008C0E5D"/>
    <w:rsid w:val="008C120D"/>
    <w:rsid w:val="008C16D9"/>
    <w:rsid w:val="008C1712"/>
    <w:rsid w:val="008C1C0F"/>
    <w:rsid w:val="008C1CB2"/>
    <w:rsid w:val="008C1D6F"/>
    <w:rsid w:val="008C2041"/>
    <w:rsid w:val="008C246C"/>
    <w:rsid w:val="008C2EA5"/>
    <w:rsid w:val="008C2EA7"/>
    <w:rsid w:val="008C2EF5"/>
    <w:rsid w:val="008C2FB9"/>
    <w:rsid w:val="008C32E8"/>
    <w:rsid w:val="008C33DD"/>
    <w:rsid w:val="008C3595"/>
    <w:rsid w:val="008C3DF8"/>
    <w:rsid w:val="008C40B1"/>
    <w:rsid w:val="008C413F"/>
    <w:rsid w:val="008C4412"/>
    <w:rsid w:val="008C454E"/>
    <w:rsid w:val="008C45DC"/>
    <w:rsid w:val="008C4A3D"/>
    <w:rsid w:val="008C5339"/>
    <w:rsid w:val="008C5437"/>
    <w:rsid w:val="008C5620"/>
    <w:rsid w:val="008C5692"/>
    <w:rsid w:val="008C57B4"/>
    <w:rsid w:val="008C6157"/>
    <w:rsid w:val="008C6695"/>
    <w:rsid w:val="008C6B2D"/>
    <w:rsid w:val="008C6C6F"/>
    <w:rsid w:val="008C6D84"/>
    <w:rsid w:val="008C6FBB"/>
    <w:rsid w:val="008C7232"/>
    <w:rsid w:val="008C7C4F"/>
    <w:rsid w:val="008C7D19"/>
    <w:rsid w:val="008D0269"/>
    <w:rsid w:val="008D0284"/>
    <w:rsid w:val="008D05AC"/>
    <w:rsid w:val="008D06B8"/>
    <w:rsid w:val="008D072A"/>
    <w:rsid w:val="008D077B"/>
    <w:rsid w:val="008D0814"/>
    <w:rsid w:val="008D0854"/>
    <w:rsid w:val="008D0932"/>
    <w:rsid w:val="008D095E"/>
    <w:rsid w:val="008D0C67"/>
    <w:rsid w:val="008D13E6"/>
    <w:rsid w:val="008D1437"/>
    <w:rsid w:val="008D16C0"/>
    <w:rsid w:val="008D17D3"/>
    <w:rsid w:val="008D1A7C"/>
    <w:rsid w:val="008D1D57"/>
    <w:rsid w:val="008D1F18"/>
    <w:rsid w:val="008D23BC"/>
    <w:rsid w:val="008D2426"/>
    <w:rsid w:val="008D26A0"/>
    <w:rsid w:val="008D2758"/>
    <w:rsid w:val="008D27A1"/>
    <w:rsid w:val="008D290F"/>
    <w:rsid w:val="008D2A25"/>
    <w:rsid w:val="008D2CD7"/>
    <w:rsid w:val="008D2D50"/>
    <w:rsid w:val="008D32AE"/>
    <w:rsid w:val="008D3324"/>
    <w:rsid w:val="008D3570"/>
    <w:rsid w:val="008D3634"/>
    <w:rsid w:val="008D3778"/>
    <w:rsid w:val="008D37AA"/>
    <w:rsid w:val="008D3A71"/>
    <w:rsid w:val="008D45EA"/>
    <w:rsid w:val="008D4639"/>
    <w:rsid w:val="008D482B"/>
    <w:rsid w:val="008D4E4F"/>
    <w:rsid w:val="008D4E86"/>
    <w:rsid w:val="008D5166"/>
    <w:rsid w:val="008D523F"/>
    <w:rsid w:val="008D55F0"/>
    <w:rsid w:val="008D58B4"/>
    <w:rsid w:val="008D5940"/>
    <w:rsid w:val="008D5CAA"/>
    <w:rsid w:val="008D5CBA"/>
    <w:rsid w:val="008D5CDB"/>
    <w:rsid w:val="008D5D3A"/>
    <w:rsid w:val="008D5ED5"/>
    <w:rsid w:val="008D62B2"/>
    <w:rsid w:val="008D6D26"/>
    <w:rsid w:val="008D6F46"/>
    <w:rsid w:val="008D6F54"/>
    <w:rsid w:val="008D7B84"/>
    <w:rsid w:val="008E0189"/>
    <w:rsid w:val="008E01B1"/>
    <w:rsid w:val="008E0312"/>
    <w:rsid w:val="008E0DAE"/>
    <w:rsid w:val="008E1064"/>
    <w:rsid w:val="008E10EA"/>
    <w:rsid w:val="008E146A"/>
    <w:rsid w:val="008E14D9"/>
    <w:rsid w:val="008E158C"/>
    <w:rsid w:val="008E1FF7"/>
    <w:rsid w:val="008E20AF"/>
    <w:rsid w:val="008E2345"/>
    <w:rsid w:val="008E237E"/>
    <w:rsid w:val="008E27DC"/>
    <w:rsid w:val="008E281C"/>
    <w:rsid w:val="008E2874"/>
    <w:rsid w:val="008E2BDF"/>
    <w:rsid w:val="008E2C8A"/>
    <w:rsid w:val="008E2E61"/>
    <w:rsid w:val="008E304B"/>
    <w:rsid w:val="008E3AE3"/>
    <w:rsid w:val="008E43C1"/>
    <w:rsid w:val="008E4AA7"/>
    <w:rsid w:val="008E4BAF"/>
    <w:rsid w:val="008E4C91"/>
    <w:rsid w:val="008E5166"/>
    <w:rsid w:val="008E51D1"/>
    <w:rsid w:val="008E539F"/>
    <w:rsid w:val="008E562C"/>
    <w:rsid w:val="008E5A11"/>
    <w:rsid w:val="008E5E91"/>
    <w:rsid w:val="008E63F8"/>
    <w:rsid w:val="008E645C"/>
    <w:rsid w:val="008E6562"/>
    <w:rsid w:val="008E6612"/>
    <w:rsid w:val="008E6950"/>
    <w:rsid w:val="008E6C3B"/>
    <w:rsid w:val="008E6E64"/>
    <w:rsid w:val="008E7185"/>
    <w:rsid w:val="008E7575"/>
    <w:rsid w:val="008E7696"/>
    <w:rsid w:val="008E7A53"/>
    <w:rsid w:val="008E7A5D"/>
    <w:rsid w:val="008E7C22"/>
    <w:rsid w:val="008E7D3D"/>
    <w:rsid w:val="008E7EFA"/>
    <w:rsid w:val="008F01B4"/>
    <w:rsid w:val="008F02C9"/>
    <w:rsid w:val="008F053D"/>
    <w:rsid w:val="008F0550"/>
    <w:rsid w:val="008F0807"/>
    <w:rsid w:val="008F0822"/>
    <w:rsid w:val="008F123F"/>
    <w:rsid w:val="008F1501"/>
    <w:rsid w:val="008F1576"/>
    <w:rsid w:val="008F1B9F"/>
    <w:rsid w:val="008F1E96"/>
    <w:rsid w:val="008F24AC"/>
    <w:rsid w:val="008F2B94"/>
    <w:rsid w:val="008F2C60"/>
    <w:rsid w:val="008F35AA"/>
    <w:rsid w:val="008F3D8D"/>
    <w:rsid w:val="008F3FBC"/>
    <w:rsid w:val="008F4286"/>
    <w:rsid w:val="008F462C"/>
    <w:rsid w:val="008F4757"/>
    <w:rsid w:val="008F4DC3"/>
    <w:rsid w:val="008F4DF3"/>
    <w:rsid w:val="008F4EC5"/>
    <w:rsid w:val="008F4FBB"/>
    <w:rsid w:val="008F501D"/>
    <w:rsid w:val="008F53BF"/>
    <w:rsid w:val="008F55E4"/>
    <w:rsid w:val="008F5827"/>
    <w:rsid w:val="008F6023"/>
    <w:rsid w:val="008F6145"/>
    <w:rsid w:val="008F61C4"/>
    <w:rsid w:val="008F6763"/>
    <w:rsid w:val="008F6DBC"/>
    <w:rsid w:val="008F7276"/>
    <w:rsid w:val="008F763A"/>
    <w:rsid w:val="008F772D"/>
    <w:rsid w:val="008F77C3"/>
    <w:rsid w:val="008F79BD"/>
    <w:rsid w:val="008F7A15"/>
    <w:rsid w:val="008F7B2D"/>
    <w:rsid w:val="008F7BDE"/>
    <w:rsid w:val="008F7CC0"/>
    <w:rsid w:val="008F7D80"/>
    <w:rsid w:val="008F7E78"/>
    <w:rsid w:val="008F7FF2"/>
    <w:rsid w:val="009000C0"/>
    <w:rsid w:val="0090034B"/>
    <w:rsid w:val="009004E7"/>
    <w:rsid w:val="0090067A"/>
    <w:rsid w:val="0090074F"/>
    <w:rsid w:val="00900828"/>
    <w:rsid w:val="009009ED"/>
    <w:rsid w:val="00900D96"/>
    <w:rsid w:val="00901076"/>
    <w:rsid w:val="0090120B"/>
    <w:rsid w:val="009013E8"/>
    <w:rsid w:val="00901466"/>
    <w:rsid w:val="0090161D"/>
    <w:rsid w:val="0090165D"/>
    <w:rsid w:val="00901AED"/>
    <w:rsid w:val="00902004"/>
    <w:rsid w:val="00902204"/>
    <w:rsid w:val="0090220D"/>
    <w:rsid w:val="00902969"/>
    <w:rsid w:val="00902E09"/>
    <w:rsid w:val="00902E97"/>
    <w:rsid w:val="009032B1"/>
    <w:rsid w:val="00904135"/>
    <w:rsid w:val="00904671"/>
    <w:rsid w:val="009048DE"/>
    <w:rsid w:val="00904F14"/>
    <w:rsid w:val="00905362"/>
    <w:rsid w:val="0090547F"/>
    <w:rsid w:val="00905C9B"/>
    <w:rsid w:val="00906122"/>
    <w:rsid w:val="009062A6"/>
    <w:rsid w:val="009063A6"/>
    <w:rsid w:val="00906464"/>
    <w:rsid w:val="009065EA"/>
    <w:rsid w:val="009070A2"/>
    <w:rsid w:val="009070FD"/>
    <w:rsid w:val="00907295"/>
    <w:rsid w:val="009075A2"/>
    <w:rsid w:val="00907A6B"/>
    <w:rsid w:val="00907B4E"/>
    <w:rsid w:val="00907BAA"/>
    <w:rsid w:val="00907D3C"/>
    <w:rsid w:val="00910138"/>
    <w:rsid w:val="00910A41"/>
    <w:rsid w:val="00910C2C"/>
    <w:rsid w:val="009114E8"/>
    <w:rsid w:val="009114F1"/>
    <w:rsid w:val="00911522"/>
    <w:rsid w:val="00911569"/>
    <w:rsid w:val="0091168D"/>
    <w:rsid w:val="00911903"/>
    <w:rsid w:val="00911915"/>
    <w:rsid w:val="00911DE4"/>
    <w:rsid w:val="00911E2B"/>
    <w:rsid w:val="0091200A"/>
    <w:rsid w:val="00912116"/>
    <w:rsid w:val="00912B1F"/>
    <w:rsid w:val="00912B32"/>
    <w:rsid w:val="00912C6B"/>
    <w:rsid w:val="00912CE8"/>
    <w:rsid w:val="0091303D"/>
    <w:rsid w:val="00913153"/>
    <w:rsid w:val="009132B7"/>
    <w:rsid w:val="009134A7"/>
    <w:rsid w:val="009135B1"/>
    <w:rsid w:val="0091361E"/>
    <w:rsid w:val="009138C5"/>
    <w:rsid w:val="00913C0F"/>
    <w:rsid w:val="00913D8D"/>
    <w:rsid w:val="00913DAB"/>
    <w:rsid w:val="0091411E"/>
    <w:rsid w:val="0091437D"/>
    <w:rsid w:val="009145D4"/>
    <w:rsid w:val="009146F4"/>
    <w:rsid w:val="00914793"/>
    <w:rsid w:val="00914B32"/>
    <w:rsid w:val="00914C25"/>
    <w:rsid w:val="00914EEC"/>
    <w:rsid w:val="0091575E"/>
    <w:rsid w:val="00915978"/>
    <w:rsid w:val="00915995"/>
    <w:rsid w:val="00915F08"/>
    <w:rsid w:val="009161A1"/>
    <w:rsid w:val="009162C7"/>
    <w:rsid w:val="009163E6"/>
    <w:rsid w:val="0091648E"/>
    <w:rsid w:val="00916854"/>
    <w:rsid w:val="00916AF8"/>
    <w:rsid w:val="00916E03"/>
    <w:rsid w:val="00916E66"/>
    <w:rsid w:val="0091732E"/>
    <w:rsid w:val="00917579"/>
    <w:rsid w:val="00917583"/>
    <w:rsid w:val="0091778A"/>
    <w:rsid w:val="009179CF"/>
    <w:rsid w:val="00917B45"/>
    <w:rsid w:val="00917B71"/>
    <w:rsid w:val="00917E17"/>
    <w:rsid w:val="009200ED"/>
    <w:rsid w:val="0092016E"/>
    <w:rsid w:val="009205D3"/>
    <w:rsid w:val="009209B9"/>
    <w:rsid w:val="00920D4D"/>
    <w:rsid w:val="00920FBD"/>
    <w:rsid w:val="00921060"/>
    <w:rsid w:val="009210AD"/>
    <w:rsid w:val="009211B3"/>
    <w:rsid w:val="0092121B"/>
    <w:rsid w:val="00921732"/>
    <w:rsid w:val="00921B4F"/>
    <w:rsid w:val="009224A3"/>
    <w:rsid w:val="009224CB"/>
    <w:rsid w:val="009229F7"/>
    <w:rsid w:val="00922E8A"/>
    <w:rsid w:val="009235C5"/>
    <w:rsid w:val="00923705"/>
    <w:rsid w:val="00923842"/>
    <w:rsid w:val="00923D31"/>
    <w:rsid w:val="009240E8"/>
    <w:rsid w:val="009241E6"/>
    <w:rsid w:val="00924289"/>
    <w:rsid w:val="009244DE"/>
    <w:rsid w:val="00924593"/>
    <w:rsid w:val="009247C8"/>
    <w:rsid w:val="009247EC"/>
    <w:rsid w:val="00924A57"/>
    <w:rsid w:val="00924FED"/>
    <w:rsid w:val="00925007"/>
    <w:rsid w:val="0092511F"/>
    <w:rsid w:val="0092551D"/>
    <w:rsid w:val="009259E1"/>
    <w:rsid w:val="00925DE2"/>
    <w:rsid w:val="00925DF6"/>
    <w:rsid w:val="00925EE0"/>
    <w:rsid w:val="00926280"/>
    <w:rsid w:val="00926381"/>
    <w:rsid w:val="009264D9"/>
    <w:rsid w:val="009268E7"/>
    <w:rsid w:val="009269BF"/>
    <w:rsid w:val="00926AA0"/>
    <w:rsid w:val="009270DF"/>
    <w:rsid w:val="00927128"/>
    <w:rsid w:val="0092743B"/>
    <w:rsid w:val="009274B3"/>
    <w:rsid w:val="00927984"/>
    <w:rsid w:val="00927992"/>
    <w:rsid w:val="009279B2"/>
    <w:rsid w:val="00927C3F"/>
    <w:rsid w:val="00927F91"/>
    <w:rsid w:val="00927F97"/>
    <w:rsid w:val="00927FD1"/>
    <w:rsid w:val="00930897"/>
    <w:rsid w:val="00930912"/>
    <w:rsid w:val="00930A5A"/>
    <w:rsid w:val="00930AED"/>
    <w:rsid w:val="00931254"/>
    <w:rsid w:val="0093173E"/>
    <w:rsid w:val="00931902"/>
    <w:rsid w:val="00931AB5"/>
    <w:rsid w:val="00931B13"/>
    <w:rsid w:val="00931BE4"/>
    <w:rsid w:val="0093211B"/>
    <w:rsid w:val="009321B2"/>
    <w:rsid w:val="0093241C"/>
    <w:rsid w:val="009324A0"/>
    <w:rsid w:val="00932C2E"/>
    <w:rsid w:val="00932F05"/>
    <w:rsid w:val="00933520"/>
    <w:rsid w:val="00933574"/>
    <w:rsid w:val="00933780"/>
    <w:rsid w:val="0093381E"/>
    <w:rsid w:val="00933847"/>
    <w:rsid w:val="00933C25"/>
    <w:rsid w:val="00934624"/>
    <w:rsid w:val="00934785"/>
    <w:rsid w:val="00934848"/>
    <w:rsid w:val="00934F68"/>
    <w:rsid w:val="00934FCE"/>
    <w:rsid w:val="00935110"/>
    <w:rsid w:val="00935808"/>
    <w:rsid w:val="00935A2E"/>
    <w:rsid w:val="00935B7B"/>
    <w:rsid w:val="00935C19"/>
    <w:rsid w:val="00935D76"/>
    <w:rsid w:val="00936048"/>
    <w:rsid w:val="00936953"/>
    <w:rsid w:val="0093699A"/>
    <w:rsid w:val="00936CD3"/>
    <w:rsid w:val="00936E49"/>
    <w:rsid w:val="00936E73"/>
    <w:rsid w:val="00936F12"/>
    <w:rsid w:val="00936F8D"/>
    <w:rsid w:val="0093749A"/>
    <w:rsid w:val="009374AB"/>
    <w:rsid w:val="009374C4"/>
    <w:rsid w:val="00937572"/>
    <w:rsid w:val="009376CF"/>
    <w:rsid w:val="00937980"/>
    <w:rsid w:val="00937986"/>
    <w:rsid w:val="0094024C"/>
    <w:rsid w:val="00940298"/>
    <w:rsid w:val="0094049F"/>
    <w:rsid w:val="00940690"/>
    <w:rsid w:val="00940747"/>
    <w:rsid w:val="009409C8"/>
    <w:rsid w:val="00940F79"/>
    <w:rsid w:val="00940FE9"/>
    <w:rsid w:val="0094135D"/>
    <w:rsid w:val="009414C2"/>
    <w:rsid w:val="009415A2"/>
    <w:rsid w:val="009418DA"/>
    <w:rsid w:val="009418EF"/>
    <w:rsid w:val="00941A28"/>
    <w:rsid w:val="00941DAD"/>
    <w:rsid w:val="00941F93"/>
    <w:rsid w:val="00941F94"/>
    <w:rsid w:val="00941FAC"/>
    <w:rsid w:val="0094209B"/>
    <w:rsid w:val="0094226E"/>
    <w:rsid w:val="00942915"/>
    <w:rsid w:val="0094345E"/>
    <w:rsid w:val="009434FD"/>
    <w:rsid w:val="00943CF9"/>
    <w:rsid w:val="00943F00"/>
    <w:rsid w:val="00944015"/>
    <w:rsid w:val="0094449C"/>
    <w:rsid w:val="009444C3"/>
    <w:rsid w:val="009446B2"/>
    <w:rsid w:val="00944770"/>
    <w:rsid w:val="009448F6"/>
    <w:rsid w:val="00944C7F"/>
    <w:rsid w:val="0094549E"/>
    <w:rsid w:val="00945518"/>
    <w:rsid w:val="009459AB"/>
    <w:rsid w:val="00946341"/>
    <w:rsid w:val="009467C4"/>
    <w:rsid w:val="00946AE6"/>
    <w:rsid w:val="00946C62"/>
    <w:rsid w:val="00946C8B"/>
    <w:rsid w:val="00946EBE"/>
    <w:rsid w:val="00946F7F"/>
    <w:rsid w:val="0094722F"/>
    <w:rsid w:val="009473C9"/>
    <w:rsid w:val="009478B0"/>
    <w:rsid w:val="009479EA"/>
    <w:rsid w:val="009504A3"/>
    <w:rsid w:val="009508CA"/>
    <w:rsid w:val="00950A15"/>
    <w:rsid w:val="0095104E"/>
    <w:rsid w:val="0095107A"/>
    <w:rsid w:val="0095140B"/>
    <w:rsid w:val="0095155F"/>
    <w:rsid w:val="009515BB"/>
    <w:rsid w:val="00951676"/>
    <w:rsid w:val="00952020"/>
    <w:rsid w:val="009521C7"/>
    <w:rsid w:val="00952B4E"/>
    <w:rsid w:val="00952FF2"/>
    <w:rsid w:val="0095305F"/>
    <w:rsid w:val="00953658"/>
    <w:rsid w:val="0095366D"/>
    <w:rsid w:val="00953835"/>
    <w:rsid w:val="00953ADD"/>
    <w:rsid w:val="00953ECE"/>
    <w:rsid w:val="00953F40"/>
    <w:rsid w:val="00954187"/>
    <w:rsid w:val="009543A1"/>
    <w:rsid w:val="00954747"/>
    <w:rsid w:val="00954935"/>
    <w:rsid w:val="00954A36"/>
    <w:rsid w:val="00954A3A"/>
    <w:rsid w:val="00954B4D"/>
    <w:rsid w:val="00956820"/>
    <w:rsid w:val="0095695A"/>
    <w:rsid w:val="00956C07"/>
    <w:rsid w:val="0095713D"/>
    <w:rsid w:val="0095716F"/>
    <w:rsid w:val="00957179"/>
    <w:rsid w:val="009573DB"/>
    <w:rsid w:val="00957C38"/>
    <w:rsid w:val="00957F22"/>
    <w:rsid w:val="009602F8"/>
    <w:rsid w:val="00960751"/>
    <w:rsid w:val="009607E0"/>
    <w:rsid w:val="00960BB4"/>
    <w:rsid w:val="00960CA0"/>
    <w:rsid w:val="00960DF3"/>
    <w:rsid w:val="009611F4"/>
    <w:rsid w:val="00961291"/>
    <w:rsid w:val="00961417"/>
    <w:rsid w:val="009614D2"/>
    <w:rsid w:val="00961581"/>
    <w:rsid w:val="00961582"/>
    <w:rsid w:val="0096166F"/>
    <w:rsid w:val="0096172B"/>
    <w:rsid w:val="0096176A"/>
    <w:rsid w:val="00961794"/>
    <w:rsid w:val="00961A51"/>
    <w:rsid w:val="00961C37"/>
    <w:rsid w:val="00961EB1"/>
    <w:rsid w:val="00961FEC"/>
    <w:rsid w:val="009622A4"/>
    <w:rsid w:val="009622E7"/>
    <w:rsid w:val="009626B5"/>
    <w:rsid w:val="00962C75"/>
    <w:rsid w:val="00962E7A"/>
    <w:rsid w:val="00963008"/>
    <w:rsid w:val="00963965"/>
    <w:rsid w:val="00963B07"/>
    <w:rsid w:val="00964063"/>
    <w:rsid w:val="0096452A"/>
    <w:rsid w:val="009646FB"/>
    <w:rsid w:val="009648E9"/>
    <w:rsid w:val="0096518A"/>
    <w:rsid w:val="0096522C"/>
    <w:rsid w:val="00965492"/>
    <w:rsid w:val="00965768"/>
    <w:rsid w:val="0096581A"/>
    <w:rsid w:val="00965A46"/>
    <w:rsid w:val="00965E30"/>
    <w:rsid w:val="00966055"/>
    <w:rsid w:val="009661BB"/>
    <w:rsid w:val="00966286"/>
    <w:rsid w:val="009663D2"/>
    <w:rsid w:val="00966483"/>
    <w:rsid w:val="009665FC"/>
    <w:rsid w:val="009668AD"/>
    <w:rsid w:val="00966B2F"/>
    <w:rsid w:val="00966CDA"/>
    <w:rsid w:val="00967120"/>
    <w:rsid w:val="009672DC"/>
    <w:rsid w:val="00967469"/>
    <w:rsid w:val="0096775C"/>
    <w:rsid w:val="00967894"/>
    <w:rsid w:val="009678DF"/>
    <w:rsid w:val="00967C48"/>
    <w:rsid w:val="0097024D"/>
    <w:rsid w:val="009702DF"/>
    <w:rsid w:val="009703BD"/>
    <w:rsid w:val="009708E9"/>
    <w:rsid w:val="00970934"/>
    <w:rsid w:val="009709ED"/>
    <w:rsid w:val="00970AAF"/>
    <w:rsid w:val="00971002"/>
    <w:rsid w:val="0097102E"/>
    <w:rsid w:val="0097107F"/>
    <w:rsid w:val="00971265"/>
    <w:rsid w:val="009712BE"/>
    <w:rsid w:val="009713B8"/>
    <w:rsid w:val="009713FF"/>
    <w:rsid w:val="009714B5"/>
    <w:rsid w:val="00971522"/>
    <w:rsid w:val="00971A37"/>
    <w:rsid w:val="00971AB6"/>
    <w:rsid w:val="0097212F"/>
    <w:rsid w:val="00972336"/>
    <w:rsid w:val="00972454"/>
    <w:rsid w:val="009725C6"/>
    <w:rsid w:val="00972670"/>
    <w:rsid w:val="00972AA1"/>
    <w:rsid w:val="00972CCC"/>
    <w:rsid w:val="009731DF"/>
    <w:rsid w:val="0097340C"/>
    <w:rsid w:val="0097380F"/>
    <w:rsid w:val="00973A7E"/>
    <w:rsid w:val="00973E52"/>
    <w:rsid w:val="00973F10"/>
    <w:rsid w:val="00973F73"/>
    <w:rsid w:val="00974154"/>
    <w:rsid w:val="00974831"/>
    <w:rsid w:val="0097485A"/>
    <w:rsid w:val="00974D6F"/>
    <w:rsid w:val="00974E8B"/>
    <w:rsid w:val="009751E1"/>
    <w:rsid w:val="0097520C"/>
    <w:rsid w:val="00975217"/>
    <w:rsid w:val="0097533A"/>
    <w:rsid w:val="009753A4"/>
    <w:rsid w:val="0097555D"/>
    <w:rsid w:val="0097559E"/>
    <w:rsid w:val="00975765"/>
    <w:rsid w:val="00975A76"/>
    <w:rsid w:val="00975CEF"/>
    <w:rsid w:val="00976137"/>
    <w:rsid w:val="0097619B"/>
    <w:rsid w:val="00976586"/>
    <w:rsid w:val="00976B33"/>
    <w:rsid w:val="00976CF5"/>
    <w:rsid w:val="00976D11"/>
    <w:rsid w:val="00976DB4"/>
    <w:rsid w:val="00976E51"/>
    <w:rsid w:val="00977083"/>
    <w:rsid w:val="00977191"/>
    <w:rsid w:val="0097733E"/>
    <w:rsid w:val="009775D6"/>
    <w:rsid w:val="00977930"/>
    <w:rsid w:val="00977B36"/>
    <w:rsid w:val="00977C18"/>
    <w:rsid w:val="00977F42"/>
    <w:rsid w:val="00980374"/>
    <w:rsid w:val="00980650"/>
    <w:rsid w:val="00980A10"/>
    <w:rsid w:val="00980B0B"/>
    <w:rsid w:val="00980C2A"/>
    <w:rsid w:val="00980CF0"/>
    <w:rsid w:val="00981221"/>
    <w:rsid w:val="00981418"/>
    <w:rsid w:val="009818FC"/>
    <w:rsid w:val="00982341"/>
    <w:rsid w:val="0098249E"/>
    <w:rsid w:val="00982825"/>
    <w:rsid w:val="0098289B"/>
    <w:rsid w:val="00982939"/>
    <w:rsid w:val="00982BBC"/>
    <w:rsid w:val="00982CD5"/>
    <w:rsid w:val="009835E6"/>
    <w:rsid w:val="009836B8"/>
    <w:rsid w:val="009837C8"/>
    <w:rsid w:val="00983818"/>
    <w:rsid w:val="00983A75"/>
    <w:rsid w:val="009852DB"/>
    <w:rsid w:val="0098545E"/>
    <w:rsid w:val="00985647"/>
    <w:rsid w:val="00985A46"/>
    <w:rsid w:val="00985B5F"/>
    <w:rsid w:val="00985D56"/>
    <w:rsid w:val="00986252"/>
    <w:rsid w:val="0098629D"/>
    <w:rsid w:val="0098667A"/>
    <w:rsid w:val="009866FB"/>
    <w:rsid w:val="0098676E"/>
    <w:rsid w:val="0098697A"/>
    <w:rsid w:val="00986C2A"/>
    <w:rsid w:val="00986EBC"/>
    <w:rsid w:val="00987014"/>
    <w:rsid w:val="0098771B"/>
    <w:rsid w:val="00987F0C"/>
    <w:rsid w:val="009900F3"/>
    <w:rsid w:val="009901BC"/>
    <w:rsid w:val="00990259"/>
    <w:rsid w:val="00990827"/>
    <w:rsid w:val="00990C65"/>
    <w:rsid w:val="00990D14"/>
    <w:rsid w:val="00990E3F"/>
    <w:rsid w:val="00991004"/>
    <w:rsid w:val="00991183"/>
    <w:rsid w:val="009914B8"/>
    <w:rsid w:val="00991872"/>
    <w:rsid w:val="009919F0"/>
    <w:rsid w:val="00991CF0"/>
    <w:rsid w:val="009922AF"/>
    <w:rsid w:val="00992DD4"/>
    <w:rsid w:val="00992EA8"/>
    <w:rsid w:val="00992F44"/>
    <w:rsid w:val="00993851"/>
    <w:rsid w:val="0099395A"/>
    <w:rsid w:val="009939B3"/>
    <w:rsid w:val="00993A77"/>
    <w:rsid w:val="00994150"/>
    <w:rsid w:val="00994367"/>
    <w:rsid w:val="0099468C"/>
    <w:rsid w:val="00995598"/>
    <w:rsid w:val="00995A05"/>
    <w:rsid w:val="00995A0E"/>
    <w:rsid w:val="00995D2A"/>
    <w:rsid w:val="00995EFF"/>
    <w:rsid w:val="00996005"/>
    <w:rsid w:val="009963D6"/>
    <w:rsid w:val="009965AD"/>
    <w:rsid w:val="0099676B"/>
    <w:rsid w:val="00996F9F"/>
    <w:rsid w:val="00997127"/>
    <w:rsid w:val="0099724F"/>
    <w:rsid w:val="009973AF"/>
    <w:rsid w:val="009974A1"/>
    <w:rsid w:val="009975B7"/>
    <w:rsid w:val="00997C68"/>
    <w:rsid w:val="009A00BF"/>
    <w:rsid w:val="009A0379"/>
    <w:rsid w:val="009A072C"/>
    <w:rsid w:val="009A0B2E"/>
    <w:rsid w:val="009A0DEF"/>
    <w:rsid w:val="009A0E41"/>
    <w:rsid w:val="009A0E71"/>
    <w:rsid w:val="009A1263"/>
    <w:rsid w:val="009A12B6"/>
    <w:rsid w:val="009A1521"/>
    <w:rsid w:val="009A154E"/>
    <w:rsid w:val="009A15D9"/>
    <w:rsid w:val="009A17F1"/>
    <w:rsid w:val="009A1B34"/>
    <w:rsid w:val="009A1B4D"/>
    <w:rsid w:val="009A1B9D"/>
    <w:rsid w:val="009A1C40"/>
    <w:rsid w:val="009A1E23"/>
    <w:rsid w:val="009A2234"/>
    <w:rsid w:val="009A23BA"/>
    <w:rsid w:val="009A27AA"/>
    <w:rsid w:val="009A27DC"/>
    <w:rsid w:val="009A27EA"/>
    <w:rsid w:val="009A293E"/>
    <w:rsid w:val="009A344C"/>
    <w:rsid w:val="009A347E"/>
    <w:rsid w:val="009A3493"/>
    <w:rsid w:val="009A3762"/>
    <w:rsid w:val="009A379E"/>
    <w:rsid w:val="009A3843"/>
    <w:rsid w:val="009A3AD0"/>
    <w:rsid w:val="009A3BE2"/>
    <w:rsid w:val="009A3FB0"/>
    <w:rsid w:val="009A482E"/>
    <w:rsid w:val="009A4A36"/>
    <w:rsid w:val="009A4E4B"/>
    <w:rsid w:val="009A4E61"/>
    <w:rsid w:val="009A4EE5"/>
    <w:rsid w:val="009A50C7"/>
    <w:rsid w:val="009A51A6"/>
    <w:rsid w:val="009A5240"/>
    <w:rsid w:val="009A597B"/>
    <w:rsid w:val="009A5D01"/>
    <w:rsid w:val="009A61EE"/>
    <w:rsid w:val="009A63BF"/>
    <w:rsid w:val="009A651D"/>
    <w:rsid w:val="009A6C9E"/>
    <w:rsid w:val="009A6CC2"/>
    <w:rsid w:val="009A6DBF"/>
    <w:rsid w:val="009A765C"/>
    <w:rsid w:val="009A7C5F"/>
    <w:rsid w:val="009B0013"/>
    <w:rsid w:val="009B007F"/>
    <w:rsid w:val="009B043C"/>
    <w:rsid w:val="009B07F2"/>
    <w:rsid w:val="009B0AFB"/>
    <w:rsid w:val="009B0C26"/>
    <w:rsid w:val="009B0C63"/>
    <w:rsid w:val="009B0E96"/>
    <w:rsid w:val="009B0F83"/>
    <w:rsid w:val="009B1041"/>
    <w:rsid w:val="009B1094"/>
    <w:rsid w:val="009B121F"/>
    <w:rsid w:val="009B163D"/>
    <w:rsid w:val="009B17B6"/>
    <w:rsid w:val="009B18CC"/>
    <w:rsid w:val="009B1B41"/>
    <w:rsid w:val="009B1B73"/>
    <w:rsid w:val="009B1E28"/>
    <w:rsid w:val="009B2568"/>
    <w:rsid w:val="009B2BEE"/>
    <w:rsid w:val="009B2C55"/>
    <w:rsid w:val="009B2DF7"/>
    <w:rsid w:val="009B2F75"/>
    <w:rsid w:val="009B2FA0"/>
    <w:rsid w:val="009B2FDB"/>
    <w:rsid w:val="009B3282"/>
    <w:rsid w:val="009B330D"/>
    <w:rsid w:val="009B33F1"/>
    <w:rsid w:val="009B35D1"/>
    <w:rsid w:val="009B3652"/>
    <w:rsid w:val="009B36AF"/>
    <w:rsid w:val="009B3A9D"/>
    <w:rsid w:val="009B3C81"/>
    <w:rsid w:val="009B3F8F"/>
    <w:rsid w:val="009B3FF9"/>
    <w:rsid w:val="009B41A8"/>
    <w:rsid w:val="009B44F4"/>
    <w:rsid w:val="009B45EC"/>
    <w:rsid w:val="009B4A40"/>
    <w:rsid w:val="009B4A61"/>
    <w:rsid w:val="009B4C2C"/>
    <w:rsid w:val="009B4C7A"/>
    <w:rsid w:val="009B4D0E"/>
    <w:rsid w:val="009B4D93"/>
    <w:rsid w:val="009B4E7A"/>
    <w:rsid w:val="009B4FD5"/>
    <w:rsid w:val="009B51C3"/>
    <w:rsid w:val="009B535D"/>
    <w:rsid w:val="009B53AD"/>
    <w:rsid w:val="009B542B"/>
    <w:rsid w:val="009B5646"/>
    <w:rsid w:val="009B56FB"/>
    <w:rsid w:val="009B5C5E"/>
    <w:rsid w:val="009B6408"/>
    <w:rsid w:val="009B6546"/>
    <w:rsid w:val="009B6664"/>
    <w:rsid w:val="009B6866"/>
    <w:rsid w:val="009B6908"/>
    <w:rsid w:val="009B696C"/>
    <w:rsid w:val="009B69A0"/>
    <w:rsid w:val="009B6D2A"/>
    <w:rsid w:val="009B7172"/>
    <w:rsid w:val="009B72AA"/>
    <w:rsid w:val="009B7954"/>
    <w:rsid w:val="009B799C"/>
    <w:rsid w:val="009B7C77"/>
    <w:rsid w:val="009B7DE2"/>
    <w:rsid w:val="009B7DF0"/>
    <w:rsid w:val="009B7EAF"/>
    <w:rsid w:val="009C0524"/>
    <w:rsid w:val="009C08BC"/>
    <w:rsid w:val="009C0CE5"/>
    <w:rsid w:val="009C1411"/>
    <w:rsid w:val="009C15FA"/>
    <w:rsid w:val="009C16A6"/>
    <w:rsid w:val="009C1782"/>
    <w:rsid w:val="009C1ADE"/>
    <w:rsid w:val="009C1B08"/>
    <w:rsid w:val="009C1B4C"/>
    <w:rsid w:val="009C1C97"/>
    <w:rsid w:val="009C1D09"/>
    <w:rsid w:val="009C1DEF"/>
    <w:rsid w:val="009C233C"/>
    <w:rsid w:val="009C278B"/>
    <w:rsid w:val="009C29C2"/>
    <w:rsid w:val="009C2AB6"/>
    <w:rsid w:val="009C2AFA"/>
    <w:rsid w:val="009C2D30"/>
    <w:rsid w:val="009C2E27"/>
    <w:rsid w:val="009C3061"/>
    <w:rsid w:val="009C3117"/>
    <w:rsid w:val="009C348E"/>
    <w:rsid w:val="009C3612"/>
    <w:rsid w:val="009C3F19"/>
    <w:rsid w:val="009C3F57"/>
    <w:rsid w:val="009C43CD"/>
    <w:rsid w:val="009C49B6"/>
    <w:rsid w:val="009C49DC"/>
    <w:rsid w:val="009C4E44"/>
    <w:rsid w:val="009C51F7"/>
    <w:rsid w:val="009C5300"/>
    <w:rsid w:val="009C55A8"/>
    <w:rsid w:val="009C5638"/>
    <w:rsid w:val="009C5663"/>
    <w:rsid w:val="009C5688"/>
    <w:rsid w:val="009C56AB"/>
    <w:rsid w:val="009C5DAA"/>
    <w:rsid w:val="009C5E2E"/>
    <w:rsid w:val="009C6004"/>
    <w:rsid w:val="009C6128"/>
    <w:rsid w:val="009C6134"/>
    <w:rsid w:val="009C6163"/>
    <w:rsid w:val="009C62BB"/>
    <w:rsid w:val="009C63C8"/>
    <w:rsid w:val="009C651C"/>
    <w:rsid w:val="009C679E"/>
    <w:rsid w:val="009C686C"/>
    <w:rsid w:val="009C6E8B"/>
    <w:rsid w:val="009C70ED"/>
    <w:rsid w:val="009C711C"/>
    <w:rsid w:val="009C7273"/>
    <w:rsid w:val="009C79B3"/>
    <w:rsid w:val="009C79E0"/>
    <w:rsid w:val="009C7AB1"/>
    <w:rsid w:val="009C7ABF"/>
    <w:rsid w:val="009C7AE7"/>
    <w:rsid w:val="009C7CB0"/>
    <w:rsid w:val="009C7CCF"/>
    <w:rsid w:val="009D0491"/>
    <w:rsid w:val="009D04ED"/>
    <w:rsid w:val="009D080B"/>
    <w:rsid w:val="009D1033"/>
    <w:rsid w:val="009D1B1C"/>
    <w:rsid w:val="009D21C9"/>
    <w:rsid w:val="009D242D"/>
    <w:rsid w:val="009D284F"/>
    <w:rsid w:val="009D28DC"/>
    <w:rsid w:val="009D2C3D"/>
    <w:rsid w:val="009D313F"/>
    <w:rsid w:val="009D37D5"/>
    <w:rsid w:val="009D39B6"/>
    <w:rsid w:val="009D3BBE"/>
    <w:rsid w:val="009D470D"/>
    <w:rsid w:val="009D4732"/>
    <w:rsid w:val="009D4CE4"/>
    <w:rsid w:val="009D4EAF"/>
    <w:rsid w:val="009D55CF"/>
    <w:rsid w:val="009D58E5"/>
    <w:rsid w:val="009D5A5B"/>
    <w:rsid w:val="009D5AC5"/>
    <w:rsid w:val="009D5C05"/>
    <w:rsid w:val="009D5C89"/>
    <w:rsid w:val="009D5E35"/>
    <w:rsid w:val="009D5FCF"/>
    <w:rsid w:val="009D601B"/>
    <w:rsid w:val="009D60D8"/>
    <w:rsid w:val="009D60F7"/>
    <w:rsid w:val="009D621B"/>
    <w:rsid w:val="009D66B1"/>
    <w:rsid w:val="009D66DE"/>
    <w:rsid w:val="009D678D"/>
    <w:rsid w:val="009D692D"/>
    <w:rsid w:val="009D697A"/>
    <w:rsid w:val="009D6B60"/>
    <w:rsid w:val="009D6DEE"/>
    <w:rsid w:val="009D75B7"/>
    <w:rsid w:val="009D78CE"/>
    <w:rsid w:val="009D792B"/>
    <w:rsid w:val="009D7C51"/>
    <w:rsid w:val="009D7E39"/>
    <w:rsid w:val="009E0192"/>
    <w:rsid w:val="009E060F"/>
    <w:rsid w:val="009E07E0"/>
    <w:rsid w:val="009E0C4E"/>
    <w:rsid w:val="009E1077"/>
    <w:rsid w:val="009E13E4"/>
    <w:rsid w:val="009E14DC"/>
    <w:rsid w:val="009E199C"/>
    <w:rsid w:val="009E1A80"/>
    <w:rsid w:val="009E1B81"/>
    <w:rsid w:val="009E1FD2"/>
    <w:rsid w:val="009E2197"/>
    <w:rsid w:val="009E227A"/>
    <w:rsid w:val="009E2424"/>
    <w:rsid w:val="009E29F7"/>
    <w:rsid w:val="009E2C7F"/>
    <w:rsid w:val="009E2D98"/>
    <w:rsid w:val="009E30FA"/>
    <w:rsid w:val="009E3285"/>
    <w:rsid w:val="009E3696"/>
    <w:rsid w:val="009E3B13"/>
    <w:rsid w:val="009E4363"/>
    <w:rsid w:val="009E4A9C"/>
    <w:rsid w:val="009E4DAA"/>
    <w:rsid w:val="009E5281"/>
    <w:rsid w:val="009E5522"/>
    <w:rsid w:val="009E5A3D"/>
    <w:rsid w:val="009E5BE6"/>
    <w:rsid w:val="009E5E82"/>
    <w:rsid w:val="009E60EE"/>
    <w:rsid w:val="009E61EB"/>
    <w:rsid w:val="009E634C"/>
    <w:rsid w:val="009E63D6"/>
    <w:rsid w:val="009E68BC"/>
    <w:rsid w:val="009E68E8"/>
    <w:rsid w:val="009E6B66"/>
    <w:rsid w:val="009E714C"/>
    <w:rsid w:val="009E750A"/>
    <w:rsid w:val="009E7749"/>
    <w:rsid w:val="009E7D3A"/>
    <w:rsid w:val="009E7F66"/>
    <w:rsid w:val="009F00AF"/>
    <w:rsid w:val="009F0119"/>
    <w:rsid w:val="009F0277"/>
    <w:rsid w:val="009F031D"/>
    <w:rsid w:val="009F0338"/>
    <w:rsid w:val="009F0688"/>
    <w:rsid w:val="009F081C"/>
    <w:rsid w:val="009F082A"/>
    <w:rsid w:val="009F0B54"/>
    <w:rsid w:val="009F0F49"/>
    <w:rsid w:val="009F10FA"/>
    <w:rsid w:val="009F148C"/>
    <w:rsid w:val="009F1521"/>
    <w:rsid w:val="009F16BB"/>
    <w:rsid w:val="009F183A"/>
    <w:rsid w:val="009F1EF7"/>
    <w:rsid w:val="009F231E"/>
    <w:rsid w:val="009F26BD"/>
    <w:rsid w:val="009F2854"/>
    <w:rsid w:val="009F288C"/>
    <w:rsid w:val="009F2A9A"/>
    <w:rsid w:val="009F3099"/>
    <w:rsid w:val="009F31C0"/>
    <w:rsid w:val="009F3488"/>
    <w:rsid w:val="009F35D0"/>
    <w:rsid w:val="009F3941"/>
    <w:rsid w:val="009F39F0"/>
    <w:rsid w:val="009F3BAB"/>
    <w:rsid w:val="009F3DEF"/>
    <w:rsid w:val="009F3EEB"/>
    <w:rsid w:val="009F3F83"/>
    <w:rsid w:val="009F40E7"/>
    <w:rsid w:val="009F431B"/>
    <w:rsid w:val="009F45B8"/>
    <w:rsid w:val="009F4688"/>
    <w:rsid w:val="009F4A3A"/>
    <w:rsid w:val="009F4A63"/>
    <w:rsid w:val="009F4E58"/>
    <w:rsid w:val="009F599F"/>
    <w:rsid w:val="009F5C56"/>
    <w:rsid w:val="009F5CD4"/>
    <w:rsid w:val="009F5E2B"/>
    <w:rsid w:val="009F5E88"/>
    <w:rsid w:val="009F5F96"/>
    <w:rsid w:val="009F5FF8"/>
    <w:rsid w:val="009F5FF9"/>
    <w:rsid w:val="009F6001"/>
    <w:rsid w:val="009F63D4"/>
    <w:rsid w:val="009F670A"/>
    <w:rsid w:val="009F680A"/>
    <w:rsid w:val="009F6843"/>
    <w:rsid w:val="009F69C5"/>
    <w:rsid w:val="009F6A83"/>
    <w:rsid w:val="009F73A1"/>
    <w:rsid w:val="009F76E7"/>
    <w:rsid w:val="009F7C83"/>
    <w:rsid w:val="009F7CE1"/>
    <w:rsid w:val="009F7ECE"/>
    <w:rsid w:val="00A00150"/>
    <w:rsid w:val="00A0048D"/>
    <w:rsid w:val="00A006A9"/>
    <w:rsid w:val="00A00996"/>
    <w:rsid w:val="00A00AEC"/>
    <w:rsid w:val="00A01078"/>
    <w:rsid w:val="00A01371"/>
    <w:rsid w:val="00A018FB"/>
    <w:rsid w:val="00A0196C"/>
    <w:rsid w:val="00A01CDF"/>
    <w:rsid w:val="00A0237A"/>
    <w:rsid w:val="00A023AF"/>
    <w:rsid w:val="00A026A5"/>
    <w:rsid w:val="00A027B7"/>
    <w:rsid w:val="00A02891"/>
    <w:rsid w:val="00A028AD"/>
    <w:rsid w:val="00A0295C"/>
    <w:rsid w:val="00A02CBD"/>
    <w:rsid w:val="00A02D76"/>
    <w:rsid w:val="00A02E3C"/>
    <w:rsid w:val="00A0315E"/>
    <w:rsid w:val="00A031FF"/>
    <w:rsid w:val="00A0332B"/>
    <w:rsid w:val="00A03470"/>
    <w:rsid w:val="00A034BD"/>
    <w:rsid w:val="00A0350A"/>
    <w:rsid w:val="00A036CF"/>
    <w:rsid w:val="00A038CB"/>
    <w:rsid w:val="00A039C9"/>
    <w:rsid w:val="00A04099"/>
    <w:rsid w:val="00A041A0"/>
    <w:rsid w:val="00A04340"/>
    <w:rsid w:val="00A04898"/>
    <w:rsid w:val="00A04E66"/>
    <w:rsid w:val="00A05411"/>
    <w:rsid w:val="00A055D6"/>
    <w:rsid w:val="00A05922"/>
    <w:rsid w:val="00A05AA9"/>
    <w:rsid w:val="00A05BE2"/>
    <w:rsid w:val="00A05CDC"/>
    <w:rsid w:val="00A06624"/>
    <w:rsid w:val="00A06694"/>
    <w:rsid w:val="00A0673F"/>
    <w:rsid w:val="00A067FA"/>
    <w:rsid w:val="00A06925"/>
    <w:rsid w:val="00A06EC1"/>
    <w:rsid w:val="00A0760E"/>
    <w:rsid w:val="00A0793B"/>
    <w:rsid w:val="00A07C23"/>
    <w:rsid w:val="00A10504"/>
    <w:rsid w:val="00A10AA0"/>
    <w:rsid w:val="00A11219"/>
    <w:rsid w:val="00A11459"/>
    <w:rsid w:val="00A114CA"/>
    <w:rsid w:val="00A115F5"/>
    <w:rsid w:val="00A1178D"/>
    <w:rsid w:val="00A11D41"/>
    <w:rsid w:val="00A11D8E"/>
    <w:rsid w:val="00A11DC0"/>
    <w:rsid w:val="00A12300"/>
    <w:rsid w:val="00A124C3"/>
    <w:rsid w:val="00A1277E"/>
    <w:rsid w:val="00A127B7"/>
    <w:rsid w:val="00A127F7"/>
    <w:rsid w:val="00A12876"/>
    <w:rsid w:val="00A1297B"/>
    <w:rsid w:val="00A12A13"/>
    <w:rsid w:val="00A12DD1"/>
    <w:rsid w:val="00A12E4B"/>
    <w:rsid w:val="00A13342"/>
    <w:rsid w:val="00A13387"/>
    <w:rsid w:val="00A1353D"/>
    <w:rsid w:val="00A135FC"/>
    <w:rsid w:val="00A13F81"/>
    <w:rsid w:val="00A1409D"/>
    <w:rsid w:val="00A142CA"/>
    <w:rsid w:val="00A14443"/>
    <w:rsid w:val="00A14B4E"/>
    <w:rsid w:val="00A14C20"/>
    <w:rsid w:val="00A14EA0"/>
    <w:rsid w:val="00A14F76"/>
    <w:rsid w:val="00A14F94"/>
    <w:rsid w:val="00A1584E"/>
    <w:rsid w:val="00A15E8D"/>
    <w:rsid w:val="00A15FDE"/>
    <w:rsid w:val="00A1632D"/>
    <w:rsid w:val="00A165EF"/>
    <w:rsid w:val="00A16746"/>
    <w:rsid w:val="00A16784"/>
    <w:rsid w:val="00A16977"/>
    <w:rsid w:val="00A16AF9"/>
    <w:rsid w:val="00A16B75"/>
    <w:rsid w:val="00A16C98"/>
    <w:rsid w:val="00A16F84"/>
    <w:rsid w:val="00A16F97"/>
    <w:rsid w:val="00A16FF4"/>
    <w:rsid w:val="00A17167"/>
    <w:rsid w:val="00A171E5"/>
    <w:rsid w:val="00A1758A"/>
    <w:rsid w:val="00A175AB"/>
    <w:rsid w:val="00A17957"/>
    <w:rsid w:val="00A17E87"/>
    <w:rsid w:val="00A200E1"/>
    <w:rsid w:val="00A203EF"/>
    <w:rsid w:val="00A20512"/>
    <w:rsid w:val="00A20518"/>
    <w:rsid w:val="00A20ABD"/>
    <w:rsid w:val="00A20C11"/>
    <w:rsid w:val="00A20D24"/>
    <w:rsid w:val="00A20E8F"/>
    <w:rsid w:val="00A20F31"/>
    <w:rsid w:val="00A20FF4"/>
    <w:rsid w:val="00A21C2E"/>
    <w:rsid w:val="00A21F2E"/>
    <w:rsid w:val="00A22134"/>
    <w:rsid w:val="00A2222E"/>
    <w:rsid w:val="00A2263B"/>
    <w:rsid w:val="00A2273F"/>
    <w:rsid w:val="00A22ABA"/>
    <w:rsid w:val="00A22D08"/>
    <w:rsid w:val="00A22F84"/>
    <w:rsid w:val="00A23089"/>
    <w:rsid w:val="00A23330"/>
    <w:rsid w:val="00A2371B"/>
    <w:rsid w:val="00A23A2D"/>
    <w:rsid w:val="00A23E5A"/>
    <w:rsid w:val="00A2411F"/>
    <w:rsid w:val="00A241B9"/>
    <w:rsid w:val="00A2421F"/>
    <w:rsid w:val="00A24350"/>
    <w:rsid w:val="00A2474A"/>
    <w:rsid w:val="00A2485F"/>
    <w:rsid w:val="00A24B1E"/>
    <w:rsid w:val="00A24CA2"/>
    <w:rsid w:val="00A25108"/>
    <w:rsid w:val="00A25167"/>
    <w:rsid w:val="00A2545E"/>
    <w:rsid w:val="00A255E0"/>
    <w:rsid w:val="00A255FF"/>
    <w:rsid w:val="00A25B82"/>
    <w:rsid w:val="00A25D42"/>
    <w:rsid w:val="00A25D4E"/>
    <w:rsid w:val="00A26828"/>
    <w:rsid w:val="00A26C3D"/>
    <w:rsid w:val="00A2707F"/>
    <w:rsid w:val="00A270CD"/>
    <w:rsid w:val="00A272BD"/>
    <w:rsid w:val="00A27465"/>
    <w:rsid w:val="00A276A9"/>
    <w:rsid w:val="00A27711"/>
    <w:rsid w:val="00A2774F"/>
    <w:rsid w:val="00A2778F"/>
    <w:rsid w:val="00A27CB6"/>
    <w:rsid w:val="00A27F5C"/>
    <w:rsid w:val="00A301EA"/>
    <w:rsid w:val="00A304A4"/>
    <w:rsid w:val="00A30744"/>
    <w:rsid w:val="00A308BD"/>
    <w:rsid w:val="00A30C32"/>
    <w:rsid w:val="00A30DFE"/>
    <w:rsid w:val="00A30EA0"/>
    <w:rsid w:val="00A310ED"/>
    <w:rsid w:val="00A314AB"/>
    <w:rsid w:val="00A31BEC"/>
    <w:rsid w:val="00A31E95"/>
    <w:rsid w:val="00A32447"/>
    <w:rsid w:val="00A325E0"/>
    <w:rsid w:val="00A32A57"/>
    <w:rsid w:val="00A32A97"/>
    <w:rsid w:val="00A32B00"/>
    <w:rsid w:val="00A32D12"/>
    <w:rsid w:val="00A32EDD"/>
    <w:rsid w:val="00A32EFB"/>
    <w:rsid w:val="00A3350A"/>
    <w:rsid w:val="00A3351A"/>
    <w:rsid w:val="00A33627"/>
    <w:rsid w:val="00A339B2"/>
    <w:rsid w:val="00A345FF"/>
    <w:rsid w:val="00A34B08"/>
    <w:rsid w:val="00A34B1F"/>
    <w:rsid w:val="00A34D05"/>
    <w:rsid w:val="00A34D99"/>
    <w:rsid w:val="00A3501F"/>
    <w:rsid w:val="00A35188"/>
    <w:rsid w:val="00A354E2"/>
    <w:rsid w:val="00A35827"/>
    <w:rsid w:val="00A35831"/>
    <w:rsid w:val="00A36689"/>
    <w:rsid w:val="00A36985"/>
    <w:rsid w:val="00A36BCB"/>
    <w:rsid w:val="00A36C73"/>
    <w:rsid w:val="00A36E5C"/>
    <w:rsid w:val="00A3760B"/>
    <w:rsid w:val="00A3777B"/>
    <w:rsid w:val="00A37AD9"/>
    <w:rsid w:val="00A37DDE"/>
    <w:rsid w:val="00A400B8"/>
    <w:rsid w:val="00A400D9"/>
    <w:rsid w:val="00A4027E"/>
    <w:rsid w:val="00A40B7E"/>
    <w:rsid w:val="00A40F97"/>
    <w:rsid w:val="00A40FF5"/>
    <w:rsid w:val="00A4138D"/>
    <w:rsid w:val="00A41725"/>
    <w:rsid w:val="00A41D4B"/>
    <w:rsid w:val="00A4208B"/>
    <w:rsid w:val="00A420D0"/>
    <w:rsid w:val="00A4217C"/>
    <w:rsid w:val="00A425A7"/>
    <w:rsid w:val="00A42D31"/>
    <w:rsid w:val="00A43100"/>
    <w:rsid w:val="00A4318F"/>
    <w:rsid w:val="00A4328A"/>
    <w:rsid w:val="00A4335D"/>
    <w:rsid w:val="00A433AE"/>
    <w:rsid w:val="00A43534"/>
    <w:rsid w:val="00A4355B"/>
    <w:rsid w:val="00A43706"/>
    <w:rsid w:val="00A43792"/>
    <w:rsid w:val="00A43811"/>
    <w:rsid w:val="00A43988"/>
    <w:rsid w:val="00A43A0D"/>
    <w:rsid w:val="00A43C4F"/>
    <w:rsid w:val="00A44372"/>
    <w:rsid w:val="00A44676"/>
    <w:rsid w:val="00A44AD4"/>
    <w:rsid w:val="00A44C06"/>
    <w:rsid w:val="00A44CEC"/>
    <w:rsid w:val="00A44EFB"/>
    <w:rsid w:val="00A451EA"/>
    <w:rsid w:val="00A45268"/>
    <w:rsid w:val="00A459AA"/>
    <w:rsid w:val="00A45A68"/>
    <w:rsid w:val="00A4651E"/>
    <w:rsid w:val="00A46F3B"/>
    <w:rsid w:val="00A4737D"/>
    <w:rsid w:val="00A47557"/>
    <w:rsid w:val="00A47596"/>
    <w:rsid w:val="00A478A4"/>
    <w:rsid w:val="00A47B9F"/>
    <w:rsid w:val="00A47BE1"/>
    <w:rsid w:val="00A47E97"/>
    <w:rsid w:val="00A47FBF"/>
    <w:rsid w:val="00A506FA"/>
    <w:rsid w:val="00A50926"/>
    <w:rsid w:val="00A51238"/>
    <w:rsid w:val="00A512F3"/>
    <w:rsid w:val="00A51D20"/>
    <w:rsid w:val="00A520CB"/>
    <w:rsid w:val="00A52198"/>
    <w:rsid w:val="00A52291"/>
    <w:rsid w:val="00A5284D"/>
    <w:rsid w:val="00A528E6"/>
    <w:rsid w:val="00A52EEE"/>
    <w:rsid w:val="00A52F70"/>
    <w:rsid w:val="00A5335B"/>
    <w:rsid w:val="00A53448"/>
    <w:rsid w:val="00A5353E"/>
    <w:rsid w:val="00A53A0B"/>
    <w:rsid w:val="00A54141"/>
    <w:rsid w:val="00A54186"/>
    <w:rsid w:val="00A54642"/>
    <w:rsid w:val="00A54705"/>
    <w:rsid w:val="00A54C5A"/>
    <w:rsid w:val="00A54D1C"/>
    <w:rsid w:val="00A54D3D"/>
    <w:rsid w:val="00A55664"/>
    <w:rsid w:val="00A55B73"/>
    <w:rsid w:val="00A55CC2"/>
    <w:rsid w:val="00A56277"/>
    <w:rsid w:val="00A564FD"/>
    <w:rsid w:val="00A56609"/>
    <w:rsid w:val="00A566D6"/>
    <w:rsid w:val="00A567AA"/>
    <w:rsid w:val="00A56863"/>
    <w:rsid w:val="00A56AD9"/>
    <w:rsid w:val="00A56E87"/>
    <w:rsid w:val="00A56FC0"/>
    <w:rsid w:val="00A57710"/>
    <w:rsid w:val="00A57ACE"/>
    <w:rsid w:val="00A57C97"/>
    <w:rsid w:val="00A60649"/>
    <w:rsid w:val="00A60982"/>
    <w:rsid w:val="00A60987"/>
    <w:rsid w:val="00A60B58"/>
    <w:rsid w:val="00A60DFB"/>
    <w:rsid w:val="00A60FB4"/>
    <w:rsid w:val="00A61145"/>
    <w:rsid w:val="00A6138F"/>
    <w:rsid w:val="00A613D4"/>
    <w:rsid w:val="00A619B2"/>
    <w:rsid w:val="00A61C16"/>
    <w:rsid w:val="00A62138"/>
    <w:rsid w:val="00A6239B"/>
    <w:rsid w:val="00A62DC0"/>
    <w:rsid w:val="00A63100"/>
    <w:rsid w:val="00A631D3"/>
    <w:rsid w:val="00A638C8"/>
    <w:rsid w:val="00A63A52"/>
    <w:rsid w:val="00A63EDD"/>
    <w:rsid w:val="00A64726"/>
    <w:rsid w:val="00A64A31"/>
    <w:rsid w:val="00A64FA2"/>
    <w:rsid w:val="00A654EE"/>
    <w:rsid w:val="00A65674"/>
    <w:rsid w:val="00A65B70"/>
    <w:rsid w:val="00A65D06"/>
    <w:rsid w:val="00A65D4C"/>
    <w:rsid w:val="00A65DB7"/>
    <w:rsid w:val="00A65E3B"/>
    <w:rsid w:val="00A6620A"/>
    <w:rsid w:val="00A66219"/>
    <w:rsid w:val="00A66271"/>
    <w:rsid w:val="00A66284"/>
    <w:rsid w:val="00A665A0"/>
    <w:rsid w:val="00A66ADC"/>
    <w:rsid w:val="00A66CCC"/>
    <w:rsid w:val="00A66DD9"/>
    <w:rsid w:val="00A67166"/>
    <w:rsid w:val="00A67250"/>
    <w:rsid w:val="00A673A3"/>
    <w:rsid w:val="00A67CC8"/>
    <w:rsid w:val="00A67D0F"/>
    <w:rsid w:val="00A67EB4"/>
    <w:rsid w:val="00A67F8C"/>
    <w:rsid w:val="00A7061A"/>
    <w:rsid w:val="00A706B5"/>
    <w:rsid w:val="00A7092F"/>
    <w:rsid w:val="00A70D83"/>
    <w:rsid w:val="00A710E7"/>
    <w:rsid w:val="00A712DD"/>
    <w:rsid w:val="00A71987"/>
    <w:rsid w:val="00A71B86"/>
    <w:rsid w:val="00A71EDE"/>
    <w:rsid w:val="00A7217F"/>
    <w:rsid w:val="00A7246E"/>
    <w:rsid w:val="00A72511"/>
    <w:rsid w:val="00A72670"/>
    <w:rsid w:val="00A72924"/>
    <w:rsid w:val="00A732B1"/>
    <w:rsid w:val="00A73C9D"/>
    <w:rsid w:val="00A747B6"/>
    <w:rsid w:val="00A74B92"/>
    <w:rsid w:val="00A74DBB"/>
    <w:rsid w:val="00A74DC4"/>
    <w:rsid w:val="00A74DD8"/>
    <w:rsid w:val="00A75B58"/>
    <w:rsid w:val="00A75CF8"/>
    <w:rsid w:val="00A75FF1"/>
    <w:rsid w:val="00A76124"/>
    <w:rsid w:val="00A76283"/>
    <w:rsid w:val="00A764BE"/>
    <w:rsid w:val="00A76637"/>
    <w:rsid w:val="00A7686D"/>
    <w:rsid w:val="00A76876"/>
    <w:rsid w:val="00A76B2D"/>
    <w:rsid w:val="00A76C75"/>
    <w:rsid w:val="00A76F60"/>
    <w:rsid w:val="00A7706F"/>
    <w:rsid w:val="00A7732F"/>
    <w:rsid w:val="00A775E5"/>
    <w:rsid w:val="00A77642"/>
    <w:rsid w:val="00A77C66"/>
    <w:rsid w:val="00A77D2C"/>
    <w:rsid w:val="00A800CD"/>
    <w:rsid w:val="00A803AD"/>
    <w:rsid w:val="00A803B8"/>
    <w:rsid w:val="00A805EE"/>
    <w:rsid w:val="00A80689"/>
    <w:rsid w:val="00A80A16"/>
    <w:rsid w:val="00A80AC4"/>
    <w:rsid w:val="00A80C0E"/>
    <w:rsid w:val="00A81528"/>
    <w:rsid w:val="00A8169F"/>
    <w:rsid w:val="00A817AA"/>
    <w:rsid w:val="00A817C9"/>
    <w:rsid w:val="00A817EF"/>
    <w:rsid w:val="00A818E8"/>
    <w:rsid w:val="00A81D12"/>
    <w:rsid w:val="00A8211E"/>
    <w:rsid w:val="00A8229F"/>
    <w:rsid w:val="00A825A7"/>
    <w:rsid w:val="00A82618"/>
    <w:rsid w:val="00A82774"/>
    <w:rsid w:val="00A827F3"/>
    <w:rsid w:val="00A82BF1"/>
    <w:rsid w:val="00A82D0D"/>
    <w:rsid w:val="00A82E7D"/>
    <w:rsid w:val="00A82F6C"/>
    <w:rsid w:val="00A82FB5"/>
    <w:rsid w:val="00A830D7"/>
    <w:rsid w:val="00A831C6"/>
    <w:rsid w:val="00A8383B"/>
    <w:rsid w:val="00A83A44"/>
    <w:rsid w:val="00A83BF1"/>
    <w:rsid w:val="00A83F18"/>
    <w:rsid w:val="00A83F73"/>
    <w:rsid w:val="00A83FE3"/>
    <w:rsid w:val="00A84A5A"/>
    <w:rsid w:val="00A84BC3"/>
    <w:rsid w:val="00A84F9E"/>
    <w:rsid w:val="00A8500A"/>
    <w:rsid w:val="00A8516A"/>
    <w:rsid w:val="00A85228"/>
    <w:rsid w:val="00A85864"/>
    <w:rsid w:val="00A85E3F"/>
    <w:rsid w:val="00A86300"/>
    <w:rsid w:val="00A867F5"/>
    <w:rsid w:val="00A868A8"/>
    <w:rsid w:val="00A86A29"/>
    <w:rsid w:val="00A86A71"/>
    <w:rsid w:val="00A86C11"/>
    <w:rsid w:val="00A87150"/>
    <w:rsid w:val="00A87490"/>
    <w:rsid w:val="00A8799B"/>
    <w:rsid w:val="00A879E8"/>
    <w:rsid w:val="00A87CF2"/>
    <w:rsid w:val="00A87D23"/>
    <w:rsid w:val="00A87D24"/>
    <w:rsid w:val="00A87E87"/>
    <w:rsid w:val="00A900E7"/>
    <w:rsid w:val="00A90272"/>
    <w:rsid w:val="00A9031E"/>
    <w:rsid w:val="00A904F7"/>
    <w:rsid w:val="00A90728"/>
    <w:rsid w:val="00A90779"/>
    <w:rsid w:val="00A908CB"/>
    <w:rsid w:val="00A90A20"/>
    <w:rsid w:val="00A90C39"/>
    <w:rsid w:val="00A90D71"/>
    <w:rsid w:val="00A911FD"/>
    <w:rsid w:val="00A91965"/>
    <w:rsid w:val="00A91B37"/>
    <w:rsid w:val="00A91FBA"/>
    <w:rsid w:val="00A920E6"/>
    <w:rsid w:val="00A92383"/>
    <w:rsid w:val="00A923CB"/>
    <w:rsid w:val="00A924F5"/>
    <w:rsid w:val="00A925A5"/>
    <w:rsid w:val="00A92DBB"/>
    <w:rsid w:val="00A92E57"/>
    <w:rsid w:val="00A92F5C"/>
    <w:rsid w:val="00A933BE"/>
    <w:rsid w:val="00A936FB"/>
    <w:rsid w:val="00A93712"/>
    <w:rsid w:val="00A9371B"/>
    <w:rsid w:val="00A937CF"/>
    <w:rsid w:val="00A93C63"/>
    <w:rsid w:val="00A94162"/>
    <w:rsid w:val="00A942D8"/>
    <w:rsid w:val="00A94B48"/>
    <w:rsid w:val="00A94FBC"/>
    <w:rsid w:val="00A94FCC"/>
    <w:rsid w:val="00A95460"/>
    <w:rsid w:val="00A954A5"/>
    <w:rsid w:val="00A95BD1"/>
    <w:rsid w:val="00A95FEA"/>
    <w:rsid w:val="00A9607B"/>
    <w:rsid w:val="00A964A9"/>
    <w:rsid w:val="00A966F0"/>
    <w:rsid w:val="00A96E14"/>
    <w:rsid w:val="00A96E4C"/>
    <w:rsid w:val="00A9756C"/>
    <w:rsid w:val="00A97C5F"/>
    <w:rsid w:val="00A97FEC"/>
    <w:rsid w:val="00AA01F2"/>
    <w:rsid w:val="00AA0317"/>
    <w:rsid w:val="00AA040B"/>
    <w:rsid w:val="00AA04F9"/>
    <w:rsid w:val="00AA0BF4"/>
    <w:rsid w:val="00AA0D6D"/>
    <w:rsid w:val="00AA0E44"/>
    <w:rsid w:val="00AA1140"/>
    <w:rsid w:val="00AA11AE"/>
    <w:rsid w:val="00AA15CF"/>
    <w:rsid w:val="00AA185D"/>
    <w:rsid w:val="00AA18E3"/>
    <w:rsid w:val="00AA1BBF"/>
    <w:rsid w:val="00AA1DE6"/>
    <w:rsid w:val="00AA1DFC"/>
    <w:rsid w:val="00AA212B"/>
    <w:rsid w:val="00AA2593"/>
    <w:rsid w:val="00AA266E"/>
    <w:rsid w:val="00AA2AF4"/>
    <w:rsid w:val="00AA2B03"/>
    <w:rsid w:val="00AA2CC2"/>
    <w:rsid w:val="00AA2D2C"/>
    <w:rsid w:val="00AA3059"/>
    <w:rsid w:val="00AA31B8"/>
    <w:rsid w:val="00AA32DD"/>
    <w:rsid w:val="00AA3433"/>
    <w:rsid w:val="00AA3450"/>
    <w:rsid w:val="00AA36E0"/>
    <w:rsid w:val="00AA3B86"/>
    <w:rsid w:val="00AA3CA3"/>
    <w:rsid w:val="00AA3E45"/>
    <w:rsid w:val="00AA437D"/>
    <w:rsid w:val="00AA4427"/>
    <w:rsid w:val="00AA4519"/>
    <w:rsid w:val="00AA4787"/>
    <w:rsid w:val="00AA4CF9"/>
    <w:rsid w:val="00AA5268"/>
    <w:rsid w:val="00AA530E"/>
    <w:rsid w:val="00AA583E"/>
    <w:rsid w:val="00AA5E8E"/>
    <w:rsid w:val="00AA613D"/>
    <w:rsid w:val="00AA62D9"/>
    <w:rsid w:val="00AA6493"/>
    <w:rsid w:val="00AA6831"/>
    <w:rsid w:val="00AA6C35"/>
    <w:rsid w:val="00AA6D1C"/>
    <w:rsid w:val="00AA6D86"/>
    <w:rsid w:val="00AA7798"/>
    <w:rsid w:val="00AA779C"/>
    <w:rsid w:val="00AA77F2"/>
    <w:rsid w:val="00AA7C6D"/>
    <w:rsid w:val="00AA7CF2"/>
    <w:rsid w:val="00AB0561"/>
    <w:rsid w:val="00AB06B5"/>
    <w:rsid w:val="00AB0A27"/>
    <w:rsid w:val="00AB10D1"/>
    <w:rsid w:val="00AB1110"/>
    <w:rsid w:val="00AB1137"/>
    <w:rsid w:val="00AB181F"/>
    <w:rsid w:val="00AB199C"/>
    <w:rsid w:val="00AB1B3E"/>
    <w:rsid w:val="00AB204F"/>
    <w:rsid w:val="00AB2060"/>
    <w:rsid w:val="00AB20D0"/>
    <w:rsid w:val="00AB2273"/>
    <w:rsid w:val="00AB2489"/>
    <w:rsid w:val="00AB2496"/>
    <w:rsid w:val="00AB2506"/>
    <w:rsid w:val="00AB2A1F"/>
    <w:rsid w:val="00AB2CB9"/>
    <w:rsid w:val="00AB34DC"/>
    <w:rsid w:val="00AB3848"/>
    <w:rsid w:val="00AB3AB1"/>
    <w:rsid w:val="00AB3BB0"/>
    <w:rsid w:val="00AB3BC2"/>
    <w:rsid w:val="00AB3C33"/>
    <w:rsid w:val="00AB3EBD"/>
    <w:rsid w:val="00AB3F6F"/>
    <w:rsid w:val="00AB3FC2"/>
    <w:rsid w:val="00AB4001"/>
    <w:rsid w:val="00AB4211"/>
    <w:rsid w:val="00AB43FE"/>
    <w:rsid w:val="00AB4409"/>
    <w:rsid w:val="00AB4626"/>
    <w:rsid w:val="00AB5012"/>
    <w:rsid w:val="00AB51B4"/>
    <w:rsid w:val="00AB5B42"/>
    <w:rsid w:val="00AB621C"/>
    <w:rsid w:val="00AB62B7"/>
    <w:rsid w:val="00AB6416"/>
    <w:rsid w:val="00AB641F"/>
    <w:rsid w:val="00AB685D"/>
    <w:rsid w:val="00AB6A58"/>
    <w:rsid w:val="00AB6CDC"/>
    <w:rsid w:val="00AB6D15"/>
    <w:rsid w:val="00AB7087"/>
    <w:rsid w:val="00AB7088"/>
    <w:rsid w:val="00AB71A8"/>
    <w:rsid w:val="00AB71D0"/>
    <w:rsid w:val="00AB73AE"/>
    <w:rsid w:val="00AB73C1"/>
    <w:rsid w:val="00AB7683"/>
    <w:rsid w:val="00AB78E7"/>
    <w:rsid w:val="00AB79A5"/>
    <w:rsid w:val="00AB7D34"/>
    <w:rsid w:val="00AC0202"/>
    <w:rsid w:val="00AC0668"/>
    <w:rsid w:val="00AC0715"/>
    <w:rsid w:val="00AC0CBE"/>
    <w:rsid w:val="00AC0DE3"/>
    <w:rsid w:val="00AC11C8"/>
    <w:rsid w:val="00AC129A"/>
    <w:rsid w:val="00AC1308"/>
    <w:rsid w:val="00AC1329"/>
    <w:rsid w:val="00AC1388"/>
    <w:rsid w:val="00AC1895"/>
    <w:rsid w:val="00AC1B84"/>
    <w:rsid w:val="00AC1BAD"/>
    <w:rsid w:val="00AC1DAC"/>
    <w:rsid w:val="00AC1E2B"/>
    <w:rsid w:val="00AC1F8A"/>
    <w:rsid w:val="00AC20D8"/>
    <w:rsid w:val="00AC22EA"/>
    <w:rsid w:val="00AC24A0"/>
    <w:rsid w:val="00AC2562"/>
    <w:rsid w:val="00AC29A6"/>
    <w:rsid w:val="00AC2F71"/>
    <w:rsid w:val="00AC3201"/>
    <w:rsid w:val="00AC32D4"/>
    <w:rsid w:val="00AC33CB"/>
    <w:rsid w:val="00AC353F"/>
    <w:rsid w:val="00AC35DE"/>
    <w:rsid w:val="00AC3614"/>
    <w:rsid w:val="00AC3D04"/>
    <w:rsid w:val="00AC4203"/>
    <w:rsid w:val="00AC427A"/>
    <w:rsid w:val="00AC446F"/>
    <w:rsid w:val="00AC455A"/>
    <w:rsid w:val="00AC496E"/>
    <w:rsid w:val="00AC49AB"/>
    <w:rsid w:val="00AC4D55"/>
    <w:rsid w:val="00AC5B13"/>
    <w:rsid w:val="00AC5B3B"/>
    <w:rsid w:val="00AC5CA0"/>
    <w:rsid w:val="00AC6203"/>
    <w:rsid w:val="00AC6250"/>
    <w:rsid w:val="00AC626A"/>
    <w:rsid w:val="00AC6296"/>
    <w:rsid w:val="00AC683C"/>
    <w:rsid w:val="00AC6875"/>
    <w:rsid w:val="00AC7256"/>
    <w:rsid w:val="00AC74E3"/>
    <w:rsid w:val="00AC7A8A"/>
    <w:rsid w:val="00AC7E70"/>
    <w:rsid w:val="00AD00FE"/>
    <w:rsid w:val="00AD010C"/>
    <w:rsid w:val="00AD0145"/>
    <w:rsid w:val="00AD07F8"/>
    <w:rsid w:val="00AD0924"/>
    <w:rsid w:val="00AD0B43"/>
    <w:rsid w:val="00AD0D2B"/>
    <w:rsid w:val="00AD132C"/>
    <w:rsid w:val="00AD159F"/>
    <w:rsid w:val="00AD1CEA"/>
    <w:rsid w:val="00AD1F18"/>
    <w:rsid w:val="00AD1F1D"/>
    <w:rsid w:val="00AD23EB"/>
    <w:rsid w:val="00AD23F7"/>
    <w:rsid w:val="00AD2429"/>
    <w:rsid w:val="00AD24C9"/>
    <w:rsid w:val="00AD27FB"/>
    <w:rsid w:val="00AD2A12"/>
    <w:rsid w:val="00AD3044"/>
    <w:rsid w:val="00AD317B"/>
    <w:rsid w:val="00AD31E6"/>
    <w:rsid w:val="00AD324F"/>
    <w:rsid w:val="00AD3394"/>
    <w:rsid w:val="00AD3491"/>
    <w:rsid w:val="00AD35F2"/>
    <w:rsid w:val="00AD37F6"/>
    <w:rsid w:val="00AD3AAE"/>
    <w:rsid w:val="00AD3CB0"/>
    <w:rsid w:val="00AD3CEB"/>
    <w:rsid w:val="00AD42F3"/>
    <w:rsid w:val="00AD44D6"/>
    <w:rsid w:val="00AD48E2"/>
    <w:rsid w:val="00AD4989"/>
    <w:rsid w:val="00AD50D2"/>
    <w:rsid w:val="00AD5394"/>
    <w:rsid w:val="00AD565F"/>
    <w:rsid w:val="00AD5C13"/>
    <w:rsid w:val="00AD602B"/>
    <w:rsid w:val="00AD64B7"/>
    <w:rsid w:val="00AD6552"/>
    <w:rsid w:val="00AD6644"/>
    <w:rsid w:val="00AD6CE9"/>
    <w:rsid w:val="00AD6EE1"/>
    <w:rsid w:val="00AD70BC"/>
    <w:rsid w:val="00AD7122"/>
    <w:rsid w:val="00AD76FB"/>
    <w:rsid w:val="00AD77F6"/>
    <w:rsid w:val="00AD7AB6"/>
    <w:rsid w:val="00AD7C5B"/>
    <w:rsid w:val="00AD7DF3"/>
    <w:rsid w:val="00AE008E"/>
    <w:rsid w:val="00AE00CA"/>
    <w:rsid w:val="00AE0194"/>
    <w:rsid w:val="00AE03B9"/>
    <w:rsid w:val="00AE0427"/>
    <w:rsid w:val="00AE06F0"/>
    <w:rsid w:val="00AE097B"/>
    <w:rsid w:val="00AE09E5"/>
    <w:rsid w:val="00AE0AC1"/>
    <w:rsid w:val="00AE0AE3"/>
    <w:rsid w:val="00AE0D8B"/>
    <w:rsid w:val="00AE106B"/>
    <w:rsid w:val="00AE15A5"/>
    <w:rsid w:val="00AE16EA"/>
    <w:rsid w:val="00AE182B"/>
    <w:rsid w:val="00AE1B80"/>
    <w:rsid w:val="00AE1E39"/>
    <w:rsid w:val="00AE20CA"/>
    <w:rsid w:val="00AE2A96"/>
    <w:rsid w:val="00AE2B36"/>
    <w:rsid w:val="00AE2EEE"/>
    <w:rsid w:val="00AE2F1D"/>
    <w:rsid w:val="00AE2F47"/>
    <w:rsid w:val="00AE309E"/>
    <w:rsid w:val="00AE328C"/>
    <w:rsid w:val="00AE3357"/>
    <w:rsid w:val="00AE385E"/>
    <w:rsid w:val="00AE38B0"/>
    <w:rsid w:val="00AE3C8C"/>
    <w:rsid w:val="00AE3DBA"/>
    <w:rsid w:val="00AE4182"/>
    <w:rsid w:val="00AE4451"/>
    <w:rsid w:val="00AE45CB"/>
    <w:rsid w:val="00AE487F"/>
    <w:rsid w:val="00AE4960"/>
    <w:rsid w:val="00AE4CFB"/>
    <w:rsid w:val="00AE504A"/>
    <w:rsid w:val="00AE50F5"/>
    <w:rsid w:val="00AE52E8"/>
    <w:rsid w:val="00AE539A"/>
    <w:rsid w:val="00AE556D"/>
    <w:rsid w:val="00AE575A"/>
    <w:rsid w:val="00AE595A"/>
    <w:rsid w:val="00AE59EA"/>
    <w:rsid w:val="00AE5B33"/>
    <w:rsid w:val="00AE5B95"/>
    <w:rsid w:val="00AE5F65"/>
    <w:rsid w:val="00AE6086"/>
    <w:rsid w:val="00AE6AC9"/>
    <w:rsid w:val="00AE6B04"/>
    <w:rsid w:val="00AE6C2B"/>
    <w:rsid w:val="00AE6DCE"/>
    <w:rsid w:val="00AE710F"/>
    <w:rsid w:val="00AE7114"/>
    <w:rsid w:val="00AE7311"/>
    <w:rsid w:val="00AE73BE"/>
    <w:rsid w:val="00AE7670"/>
    <w:rsid w:val="00AF0053"/>
    <w:rsid w:val="00AF00D4"/>
    <w:rsid w:val="00AF0240"/>
    <w:rsid w:val="00AF0675"/>
    <w:rsid w:val="00AF0950"/>
    <w:rsid w:val="00AF0A3B"/>
    <w:rsid w:val="00AF0CB8"/>
    <w:rsid w:val="00AF0FE4"/>
    <w:rsid w:val="00AF1205"/>
    <w:rsid w:val="00AF1364"/>
    <w:rsid w:val="00AF13CA"/>
    <w:rsid w:val="00AF1879"/>
    <w:rsid w:val="00AF1A1F"/>
    <w:rsid w:val="00AF1DEB"/>
    <w:rsid w:val="00AF1EE7"/>
    <w:rsid w:val="00AF2055"/>
    <w:rsid w:val="00AF2191"/>
    <w:rsid w:val="00AF25B0"/>
    <w:rsid w:val="00AF2936"/>
    <w:rsid w:val="00AF29BD"/>
    <w:rsid w:val="00AF2AC2"/>
    <w:rsid w:val="00AF2C35"/>
    <w:rsid w:val="00AF2C41"/>
    <w:rsid w:val="00AF2D84"/>
    <w:rsid w:val="00AF2F2C"/>
    <w:rsid w:val="00AF3591"/>
    <w:rsid w:val="00AF375B"/>
    <w:rsid w:val="00AF3876"/>
    <w:rsid w:val="00AF3BC6"/>
    <w:rsid w:val="00AF3C5A"/>
    <w:rsid w:val="00AF4269"/>
    <w:rsid w:val="00AF4382"/>
    <w:rsid w:val="00AF442F"/>
    <w:rsid w:val="00AF44D9"/>
    <w:rsid w:val="00AF45D5"/>
    <w:rsid w:val="00AF5224"/>
    <w:rsid w:val="00AF548D"/>
    <w:rsid w:val="00AF54A4"/>
    <w:rsid w:val="00AF56F2"/>
    <w:rsid w:val="00AF5736"/>
    <w:rsid w:val="00AF5800"/>
    <w:rsid w:val="00AF5D1B"/>
    <w:rsid w:val="00AF6BB5"/>
    <w:rsid w:val="00AF7754"/>
    <w:rsid w:val="00AF7AAE"/>
    <w:rsid w:val="00AF7AC5"/>
    <w:rsid w:val="00AF7B3D"/>
    <w:rsid w:val="00AF7BA8"/>
    <w:rsid w:val="00AF7DA1"/>
    <w:rsid w:val="00B0080F"/>
    <w:rsid w:val="00B0082C"/>
    <w:rsid w:val="00B00A82"/>
    <w:rsid w:val="00B00BFB"/>
    <w:rsid w:val="00B012EF"/>
    <w:rsid w:val="00B016AE"/>
    <w:rsid w:val="00B01767"/>
    <w:rsid w:val="00B01C9C"/>
    <w:rsid w:val="00B01E0B"/>
    <w:rsid w:val="00B01FEE"/>
    <w:rsid w:val="00B02113"/>
    <w:rsid w:val="00B02729"/>
    <w:rsid w:val="00B028BF"/>
    <w:rsid w:val="00B02A2E"/>
    <w:rsid w:val="00B02C82"/>
    <w:rsid w:val="00B02C89"/>
    <w:rsid w:val="00B02C91"/>
    <w:rsid w:val="00B02F58"/>
    <w:rsid w:val="00B03086"/>
    <w:rsid w:val="00B03389"/>
    <w:rsid w:val="00B03C4D"/>
    <w:rsid w:val="00B03DFD"/>
    <w:rsid w:val="00B03FC9"/>
    <w:rsid w:val="00B04053"/>
    <w:rsid w:val="00B0423B"/>
    <w:rsid w:val="00B045BE"/>
    <w:rsid w:val="00B04AC2"/>
    <w:rsid w:val="00B04F69"/>
    <w:rsid w:val="00B053C6"/>
    <w:rsid w:val="00B056F3"/>
    <w:rsid w:val="00B05803"/>
    <w:rsid w:val="00B058EF"/>
    <w:rsid w:val="00B05A60"/>
    <w:rsid w:val="00B05B8D"/>
    <w:rsid w:val="00B05CEF"/>
    <w:rsid w:val="00B06557"/>
    <w:rsid w:val="00B06661"/>
    <w:rsid w:val="00B069BF"/>
    <w:rsid w:val="00B06A98"/>
    <w:rsid w:val="00B06B34"/>
    <w:rsid w:val="00B06D99"/>
    <w:rsid w:val="00B0728E"/>
    <w:rsid w:val="00B07436"/>
    <w:rsid w:val="00B077E6"/>
    <w:rsid w:val="00B0783B"/>
    <w:rsid w:val="00B0783C"/>
    <w:rsid w:val="00B10748"/>
    <w:rsid w:val="00B1096D"/>
    <w:rsid w:val="00B10DCB"/>
    <w:rsid w:val="00B10EF6"/>
    <w:rsid w:val="00B1108E"/>
    <w:rsid w:val="00B11181"/>
    <w:rsid w:val="00B11351"/>
    <w:rsid w:val="00B1170F"/>
    <w:rsid w:val="00B11843"/>
    <w:rsid w:val="00B11857"/>
    <w:rsid w:val="00B11DB1"/>
    <w:rsid w:val="00B12015"/>
    <w:rsid w:val="00B1219F"/>
    <w:rsid w:val="00B126C6"/>
    <w:rsid w:val="00B12F08"/>
    <w:rsid w:val="00B13006"/>
    <w:rsid w:val="00B130E5"/>
    <w:rsid w:val="00B1345B"/>
    <w:rsid w:val="00B13A51"/>
    <w:rsid w:val="00B13B5D"/>
    <w:rsid w:val="00B13B84"/>
    <w:rsid w:val="00B14043"/>
    <w:rsid w:val="00B140FE"/>
    <w:rsid w:val="00B14383"/>
    <w:rsid w:val="00B144D2"/>
    <w:rsid w:val="00B1478E"/>
    <w:rsid w:val="00B149BE"/>
    <w:rsid w:val="00B14BA0"/>
    <w:rsid w:val="00B14D09"/>
    <w:rsid w:val="00B14DDC"/>
    <w:rsid w:val="00B14E1D"/>
    <w:rsid w:val="00B15076"/>
    <w:rsid w:val="00B151CE"/>
    <w:rsid w:val="00B15240"/>
    <w:rsid w:val="00B15863"/>
    <w:rsid w:val="00B15A59"/>
    <w:rsid w:val="00B15CB1"/>
    <w:rsid w:val="00B163F0"/>
    <w:rsid w:val="00B165FA"/>
    <w:rsid w:val="00B1662F"/>
    <w:rsid w:val="00B16B49"/>
    <w:rsid w:val="00B16C86"/>
    <w:rsid w:val="00B16D9F"/>
    <w:rsid w:val="00B172D3"/>
    <w:rsid w:val="00B175E7"/>
    <w:rsid w:val="00B2026C"/>
    <w:rsid w:val="00B20F5C"/>
    <w:rsid w:val="00B21103"/>
    <w:rsid w:val="00B211B7"/>
    <w:rsid w:val="00B21295"/>
    <w:rsid w:val="00B21298"/>
    <w:rsid w:val="00B213E9"/>
    <w:rsid w:val="00B2191C"/>
    <w:rsid w:val="00B21A3F"/>
    <w:rsid w:val="00B21D1A"/>
    <w:rsid w:val="00B2206C"/>
    <w:rsid w:val="00B22117"/>
    <w:rsid w:val="00B2217A"/>
    <w:rsid w:val="00B221C2"/>
    <w:rsid w:val="00B22511"/>
    <w:rsid w:val="00B22680"/>
    <w:rsid w:val="00B2279E"/>
    <w:rsid w:val="00B22F35"/>
    <w:rsid w:val="00B230DB"/>
    <w:rsid w:val="00B23228"/>
    <w:rsid w:val="00B232E2"/>
    <w:rsid w:val="00B2330B"/>
    <w:rsid w:val="00B235CC"/>
    <w:rsid w:val="00B23843"/>
    <w:rsid w:val="00B238A2"/>
    <w:rsid w:val="00B239F7"/>
    <w:rsid w:val="00B23D6F"/>
    <w:rsid w:val="00B23E1E"/>
    <w:rsid w:val="00B23EFD"/>
    <w:rsid w:val="00B23FDF"/>
    <w:rsid w:val="00B24004"/>
    <w:rsid w:val="00B240D5"/>
    <w:rsid w:val="00B24270"/>
    <w:rsid w:val="00B2440D"/>
    <w:rsid w:val="00B24ADF"/>
    <w:rsid w:val="00B24C16"/>
    <w:rsid w:val="00B252AE"/>
    <w:rsid w:val="00B252E6"/>
    <w:rsid w:val="00B2582B"/>
    <w:rsid w:val="00B25851"/>
    <w:rsid w:val="00B25AE4"/>
    <w:rsid w:val="00B25C56"/>
    <w:rsid w:val="00B26455"/>
    <w:rsid w:val="00B265FF"/>
    <w:rsid w:val="00B26B13"/>
    <w:rsid w:val="00B26B90"/>
    <w:rsid w:val="00B26C39"/>
    <w:rsid w:val="00B26CE9"/>
    <w:rsid w:val="00B27083"/>
    <w:rsid w:val="00B272F3"/>
    <w:rsid w:val="00B27378"/>
    <w:rsid w:val="00B275C3"/>
    <w:rsid w:val="00B27DD8"/>
    <w:rsid w:val="00B27F56"/>
    <w:rsid w:val="00B30371"/>
    <w:rsid w:val="00B3071F"/>
    <w:rsid w:val="00B30802"/>
    <w:rsid w:val="00B30A62"/>
    <w:rsid w:val="00B30A95"/>
    <w:rsid w:val="00B30E12"/>
    <w:rsid w:val="00B30E2B"/>
    <w:rsid w:val="00B3103F"/>
    <w:rsid w:val="00B31134"/>
    <w:rsid w:val="00B31187"/>
    <w:rsid w:val="00B31435"/>
    <w:rsid w:val="00B3154D"/>
    <w:rsid w:val="00B315EA"/>
    <w:rsid w:val="00B31821"/>
    <w:rsid w:val="00B31E55"/>
    <w:rsid w:val="00B31E6D"/>
    <w:rsid w:val="00B324A7"/>
    <w:rsid w:val="00B325B3"/>
    <w:rsid w:val="00B32988"/>
    <w:rsid w:val="00B32A99"/>
    <w:rsid w:val="00B32C6F"/>
    <w:rsid w:val="00B32D0D"/>
    <w:rsid w:val="00B32E6E"/>
    <w:rsid w:val="00B32FE4"/>
    <w:rsid w:val="00B33313"/>
    <w:rsid w:val="00B33396"/>
    <w:rsid w:val="00B33450"/>
    <w:rsid w:val="00B33556"/>
    <w:rsid w:val="00B33557"/>
    <w:rsid w:val="00B337D4"/>
    <w:rsid w:val="00B33858"/>
    <w:rsid w:val="00B33F3F"/>
    <w:rsid w:val="00B342BE"/>
    <w:rsid w:val="00B34460"/>
    <w:rsid w:val="00B34497"/>
    <w:rsid w:val="00B347D1"/>
    <w:rsid w:val="00B34CCB"/>
    <w:rsid w:val="00B34D76"/>
    <w:rsid w:val="00B35090"/>
    <w:rsid w:val="00B350ED"/>
    <w:rsid w:val="00B353F3"/>
    <w:rsid w:val="00B35A3E"/>
    <w:rsid w:val="00B35BE8"/>
    <w:rsid w:val="00B35DEB"/>
    <w:rsid w:val="00B35E2E"/>
    <w:rsid w:val="00B35EA5"/>
    <w:rsid w:val="00B35EFB"/>
    <w:rsid w:val="00B3601A"/>
    <w:rsid w:val="00B36071"/>
    <w:rsid w:val="00B367FA"/>
    <w:rsid w:val="00B36848"/>
    <w:rsid w:val="00B36E12"/>
    <w:rsid w:val="00B3711B"/>
    <w:rsid w:val="00B3769E"/>
    <w:rsid w:val="00B377B3"/>
    <w:rsid w:val="00B4006B"/>
    <w:rsid w:val="00B400F9"/>
    <w:rsid w:val="00B40574"/>
    <w:rsid w:val="00B40773"/>
    <w:rsid w:val="00B409D7"/>
    <w:rsid w:val="00B40BA2"/>
    <w:rsid w:val="00B411EC"/>
    <w:rsid w:val="00B413A5"/>
    <w:rsid w:val="00B4146B"/>
    <w:rsid w:val="00B417CC"/>
    <w:rsid w:val="00B41E34"/>
    <w:rsid w:val="00B4216B"/>
    <w:rsid w:val="00B42380"/>
    <w:rsid w:val="00B425CA"/>
    <w:rsid w:val="00B42817"/>
    <w:rsid w:val="00B42966"/>
    <w:rsid w:val="00B42BEA"/>
    <w:rsid w:val="00B42CAC"/>
    <w:rsid w:val="00B430E6"/>
    <w:rsid w:val="00B432BD"/>
    <w:rsid w:val="00B437E6"/>
    <w:rsid w:val="00B43D9B"/>
    <w:rsid w:val="00B43F10"/>
    <w:rsid w:val="00B44155"/>
    <w:rsid w:val="00B444B8"/>
    <w:rsid w:val="00B44B74"/>
    <w:rsid w:val="00B44F18"/>
    <w:rsid w:val="00B44F3E"/>
    <w:rsid w:val="00B4507E"/>
    <w:rsid w:val="00B45144"/>
    <w:rsid w:val="00B45398"/>
    <w:rsid w:val="00B4556D"/>
    <w:rsid w:val="00B45C26"/>
    <w:rsid w:val="00B46598"/>
    <w:rsid w:val="00B466DE"/>
    <w:rsid w:val="00B46A63"/>
    <w:rsid w:val="00B46CBE"/>
    <w:rsid w:val="00B46DF0"/>
    <w:rsid w:val="00B46F54"/>
    <w:rsid w:val="00B4708A"/>
    <w:rsid w:val="00B474CD"/>
    <w:rsid w:val="00B477B5"/>
    <w:rsid w:val="00B47FD8"/>
    <w:rsid w:val="00B500C4"/>
    <w:rsid w:val="00B5047F"/>
    <w:rsid w:val="00B506F9"/>
    <w:rsid w:val="00B50C07"/>
    <w:rsid w:val="00B511E9"/>
    <w:rsid w:val="00B51444"/>
    <w:rsid w:val="00B5167A"/>
    <w:rsid w:val="00B51C20"/>
    <w:rsid w:val="00B51E56"/>
    <w:rsid w:val="00B5229F"/>
    <w:rsid w:val="00B5244D"/>
    <w:rsid w:val="00B524C5"/>
    <w:rsid w:val="00B5279B"/>
    <w:rsid w:val="00B52A1F"/>
    <w:rsid w:val="00B52B57"/>
    <w:rsid w:val="00B52D32"/>
    <w:rsid w:val="00B530A4"/>
    <w:rsid w:val="00B531BF"/>
    <w:rsid w:val="00B532A3"/>
    <w:rsid w:val="00B533C1"/>
    <w:rsid w:val="00B534FA"/>
    <w:rsid w:val="00B53893"/>
    <w:rsid w:val="00B5394B"/>
    <w:rsid w:val="00B53EFB"/>
    <w:rsid w:val="00B540DF"/>
    <w:rsid w:val="00B542B0"/>
    <w:rsid w:val="00B54786"/>
    <w:rsid w:val="00B54B35"/>
    <w:rsid w:val="00B54B36"/>
    <w:rsid w:val="00B54EF2"/>
    <w:rsid w:val="00B5504A"/>
    <w:rsid w:val="00B552C2"/>
    <w:rsid w:val="00B553A1"/>
    <w:rsid w:val="00B55444"/>
    <w:rsid w:val="00B556E1"/>
    <w:rsid w:val="00B55C3F"/>
    <w:rsid w:val="00B564DB"/>
    <w:rsid w:val="00B56C16"/>
    <w:rsid w:val="00B5718F"/>
    <w:rsid w:val="00B57339"/>
    <w:rsid w:val="00B573AC"/>
    <w:rsid w:val="00B57683"/>
    <w:rsid w:val="00B5771A"/>
    <w:rsid w:val="00B6010E"/>
    <w:rsid w:val="00B601A9"/>
    <w:rsid w:val="00B6096B"/>
    <w:rsid w:val="00B60ABE"/>
    <w:rsid w:val="00B60E95"/>
    <w:rsid w:val="00B61315"/>
    <w:rsid w:val="00B6146C"/>
    <w:rsid w:val="00B61516"/>
    <w:rsid w:val="00B61732"/>
    <w:rsid w:val="00B61738"/>
    <w:rsid w:val="00B62092"/>
    <w:rsid w:val="00B62127"/>
    <w:rsid w:val="00B62487"/>
    <w:rsid w:val="00B62531"/>
    <w:rsid w:val="00B62961"/>
    <w:rsid w:val="00B62AEB"/>
    <w:rsid w:val="00B62C25"/>
    <w:rsid w:val="00B632AA"/>
    <w:rsid w:val="00B6348D"/>
    <w:rsid w:val="00B63620"/>
    <w:rsid w:val="00B638B9"/>
    <w:rsid w:val="00B639C1"/>
    <w:rsid w:val="00B639DE"/>
    <w:rsid w:val="00B63B1C"/>
    <w:rsid w:val="00B63C54"/>
    <w:rsid w:val="00B63CE0"/>
    <w:rsid w:val="00B64054"/>
    <w:rsid w:val="00B64232"/>
    <w:rsid w:val="00B64734"/>
    <w:rsid w:val="00B648C4"/>
    <w:rsid w:val="00B64915"/>
    <w:rsid w:val="00B64C9E"/>
    <w:rsid w:val="00B64CCD"/>
    <w:rsid w:val="00B654A7"/>
    <w:rsid w:val="00B659BF"/>
    <w:rsid w:val="00B65B37"/>
    <w:rsid w:val="00B65BB6"/>
    <w:rsid w:val="00B65C09"/>
    <w:rsid w:val="00B65C8C"/>
    <w:rsid w:val="00B65C8E"/>
    <w:rsid w:val="00B65D70"/>
    <w:rsid w:val="00B65E11"/>
    <w:rsid w:val="00B6612E"/>
    <w:rsid w:val="00B6657D"/>
    <w:rsid w:val="00B66AC4"/>
    <w:rsid w:val="00B67160"/>
    <w:rsid w:val="00B674E6"/>
    <w:rsid w:val="00B67E9E"/>
    <w:rsid w:val="00B70133"/>
    <w:rsid w:val="00B70244"/>
    <w:rsid w:val="00B7077E"/>
    <w:rsid w:val="00B70B70"/>
    <w:rsid w:val="00B70B73"/>
    <w:rsid w:val="00B71749"/>
    <w:rsid w:val="00B71A32"/>
    <w:rsid w:val="00B72056"/>
    <w:rsid w:val="00B72288"/>
    <w:rsid w:val="00B72DF9"/>
    <w:rsid w:val="00B73778"/>
    <w:rsid w:val="00B73BE4"/>
    <w:rsid w:val="00B73D6B"/>
    <w:rsid w:val="00B73D7F"/>
    <w:rsid w:val="00B73F12"/>
    <w:rsid w:val="00B73F29"/>
    <w:rsid w:val="00B74024"/>
    <w:rsid w:val="00B7405E"/>
    <w:rsid w:val="00B741B1"/>
    <w:rsid w:val="00B74485"/>
    <w:rsid w:val="00B744BD"/>
    <w:rsid w:val="00B7482F"/>
    <w:rsid w:val="00B7491F"/>
    <w:rsid w:val="00B7509F"/>
    <w:rsid w:val="00B7511E"/>
    <w:rsid w:val="00B75842"/>
    <w:rsid w:val="00B75F75"/>
    <w:rsid w:val="00B76117"/>
    <w:rsid w:val="00B769C3"/>
    <w:rsid w:val="00B76A07"/>
    <w:rsid w:val="00B76CF0"/>
    <w:rsid w:val="00B76F66"/>
    <w:rsid w:val="00B76FE4"/>
    <w:rsid w:val="00B772B2"/>
    <w:rsid w:val="00B77928"/>
    <w:rsid w:val="00B77E76"/>
    <w:rsid w:val="00B77EC4"/>
    <w:rsid w:val="00B77FFA"/>
    <w:rsid w:val="00B8092E"/>
    <w:rsid w:val="00B80A36"/>
    <w:rsid w:val="00B80DA2"/>
    <w:rsid w:val="00B8154C"/>
    <w:rsid w:val="00B81703"/>
    <w:rsid w:val="00B8170C"/>
    <w:rsid w:val="00B8175C"/>
    <w:rsid w:val="00B81926"/>
    <w:rsid w:val="00B819CB"/>
    <w:rsid w:val="00B819D4"/>
    <w:rsid w:val="00B81D47"/>
    <w:rsid w:val="00B820E9"/>
    <w:rsid w:val="00B822CC"/>
    <w:rsid w:val="00B823BB"/>
    <w:rsid w:val="00B8258B"/>
    <w:rsid w:val="00B826C8"/>
    <w:rsid w:val="00B830B3"/>
    <w:rsid w:val="00B833F2"/>
    <w:rsid w:val="00B836EC"/>
    <w:rsid w:val="00B83777"/>
    <w:rsid w:val="00B83936"/>
    <w:rsid w:val="00B83C48"/>
    <w:rsid w:val="00B83EA1"/>
    <w:rsid w:val="00B8410A"/>
    <w:rsid w:val="00B841EF"/>
    <w:rsid w:val="00B8446A"/>
    <w:rsid w:val="00B84BBE"/>
    <w:rsid w:val="00B84BFA"/>
    <w:rsid w:val="00B84C89"/>
    <w:rsid w:val="00B84D94"/>
    <w:rsid w:val="00B84DDD"/>
    <w:rsid w:val="00B85167"/>
    <w:rsid w:val="00B851B1"/>
    <w:rsid w:val="00B85210"/>
    <w:rsid w:val="00B855B7"/>
    <w:rsid w:val="00B856AB"/>
    <w:rsid w:val="00B856B4"/>
    <w:rsid w:val="00B8574B"/>
    <w:rsid w:val="00B857F4"/>
    <w:rsid w:val="00B85D08"/>
    <w:rsid w:val="00B86024"/>
    <w:rsid w:val="00B86900"/>
    <w:rsid w:val="00B86B85"/>
    <w:rsid w:val="00B86B9A"/>
    <w:rsid w:val="00B86D4F"/>
    <w:rsid w:val="00B86FD4"/>
    <w:rsid w:val="00B871B4"/>
    <w:rsid w:val="00B871CB"/>
    <w:rsid w:val="00B87552"/>
    <w:rsid w:val="00B87764"/>
    <w:rsid w:val="00B87988"/>
    <w:rsid w:val="00B87DBA"/>
    <w:rsid w:val="00B90CDA"/>
    <w:rsid w:val="00B90E6D"/>
    <w:rsid w:val="00B91127"/>
    <w:rsid w:val="00B91243"/>
    <w:rsid w:val="00B91398"/>
    <w:rsid w:val="00B916F9"/>
    <w:rsid w:val="00B918C9"/>
    <w:rsid w:val="00B91B53"/>
    <w:rsid w:val="00B91C58"/>
    <w:rsid w:val="00B91EB1"/>
    <w:rsid w:val="00B9206E"/>
    <w:rsid w:val="00B922A3"/>
    <w:rsid w:val="00B923DA"/>
    <w:rsid w:val="00B9246A"/>
    <w:rsid w:val="00B9261D"/>
    <w:rsid w:val="00B92963"/>
    <w:rsid w:val="00B92ADC"/>
    <w:rsid w:val="00B92E30"/>
    <w:rsid w:val="00B92E51"/>
    <w:rsid w:val="00B92EBD"/>
    <w:rsid w:val="00B92F4C"/>
    <w:rsid w:val="00B92FB7"/>
    <w:rsid w:val="00B92FC4"/>
    <w:rsid w:val="00B9301F"/>
    <w:rsid w:val="00B93116"/>
    <w:rsid w:val="00B93472"/>
    <w:rsid w:val="00B93523"/>
    <w:rsid w:val="00B93885"/>
    <w:rsid w:val="00B93993"/>
    <w:rsid w:val="00B93A15"/>
    <w:rsid w:val="00B9424E"/>
    <w:rsid w:val="00B9441D"/>
    <w:rsid w:val="00B944E1"/>
    <w:rsid w:val="00B94605"/>
    <w:rsid w:val="00B94668"/>
    <w:rsid w:val="00B948B7"/>
    <w:rsid w:val="00B94B2F"/>
    <w:rsid w:val="00B94C69"/>
    <w:rsid w:val="00B9504D"/>
    <w:rsid w:val="00B956E4"/>
    <w:rsid w:val="00B957BB"/>
    <w:rsid w:val="00B95859"/>
    <w:rsid w:val="00B95A87"/>
    <w:rsid w:val="00B95CFB"/>
    <w:rsid w:val="00B95D00"/>
    <w:rsid w:val="00B95E37"/>
    <w:rsid w:val="00B95FDA"/>
    <w:rsid w:val="00B96089"/>
    <w:rsid w:val="00B9612D"/>
    <w:rsid w:val="00B9635A"/>
    <w:rsid w:val="00B9638D"/>
    <w:rsid w:val="00B964C0"/>
    <w:rsid w:val="00B967F9"/>
    <w:rsid w:val="00B96EC3"/>
    <w:rsid w:val="00B96EF3"/>
    <w:rsid w:val="00B96F80"/>
    <w:rsid w:val="00B97AD1"/>
    <w:rsid w:val="00B97D2F"/>
    <w:rsid w:val="00B97D60"/>
    <w:rsid w:val="00B97E73"/>
    <w:rsid w:val="00B97EBE"/>
    <w:rsid w:val="00BA0007"/>
    <w:rsid w:val="00BA0BB1"/>
    <w:rsid w:val="00BA0FA4"/>
    <w:rsid w:val="00BA1012"/>
    <w:rsid w:val="00BA11B4"/>
    <w:rsid w:val="00BA1215"/>
    <w:rsid w:val="00BA1401"/>
    <w:rsid w:val="00BA1487"/>
    <w:rsid w:val="00BA1A51"/>
    <w:rsid w:val="00BA1A59"/>
    <w:rsid w:val="00BA1FDC"/>
    <w:rsid w:val="00BA2748"/>
    <w:rsid w:val="00BA2C47"/>
    <w:rsid w:val="00BA2CFF"/>
    <w:rsid w:val="00BA3107"/>
    <w:rsid w:val="00BA3204"/>
    <w:rsid w:val="00BA34C4"/>
    <w:rsid w:val="00BA39A7"/>
    <w:rsid w:val="00BA3A7E"/>
    <w:rsid w:val="00BA3C96"/>
    <w:rsid w:val="00BA3FCD"/>
    <w:rsid w:val="00BA42FC"/>
    <w:rsid w:val="00BA4339"/>
    <w:rsid w:val="00BA4535"/>
    <w:rsid w:val="00BA470A"/>
    <w:rsid w:val="00BA49BB"/>
    <w:rsid w:val="00BA509F"/>
    <w:rsid w:val="00BA5312"/>
    <w:rsid w:val="00BA5728"/>
    <w:rsid w:val="00BA5A9E"/>
    <w:rsid w:val="00BA6B35"/>
    <w:rsid w:val="00BA7682"/>
    <w:rsid w:val="00BA79A2"/>
    <w:rsid w:val="00BA7BF2"/>
    <w:rsid w:val="00BA7D3C"/>
    <w:rsid w:val="00BB0185"/>
    <w:rsid w:val="00BB024B"/>
    <w:rsid w:val="00BB02E5"/>
    <w:rsid w:val="00BB02F6"/>
    <w:rsid w:val="00BB0451"/>
    <w:rsid w:val="00BB0568"/>
    <w:rsid w:val="00BB0BBA"/>
    <w:rsid w:val="00BB0CCD"/>
    <w:rsid w:val="00BB0E21"/>
    <w:rsid w:val="00BB0E3F"/>
    <w:rsid w:val="00BB0F6B"/>
    <w:rsid w:val="00BB1086"/>
    <w:rsid w:val="00BB109A"/>
    <w:rsid w:val="00BB1135"/>
    <w:rsid w:val="00BB14FF"/>
    <w:rsid w:val="00BB17D6"/>
    <w:rsid w:val="00BB18BA"/>
    <w:rsid w:val="00BB1907"/>
    <w:rsid w:val="00BB20BE"/>
    <w:rsid w:val="00BB28D1"/>
    <w:rsid w:val="00BB29A4"/>
    <w:rsid w:val="00BB2BC6"/>
    <w:rsid w:val="00BB3217"/>
    <w:rsid w:val="00BB3329"/>
    <w:rsid w:val="00BB3603"/>
    <w:rsid w:val="00BB362D"/>
    <w:rsid w:val="00BB3729"/>
    <w:rsid w:val="00BB38D5"/>
    <w:rsid w:val="00BB3D62"/>
    <w:rsid w:val="00BB3D6D"/>
    <w:rsid w:val="00BB41A6"/>
    <w:rsid w:val="00BB41B5"/>
    <w:rsid w:val="00BB489E"/>
    <w:rsid w:val="00BB496E"/>
    <w:rsid w:val="00BB4A59"/>
    <w:rsid w:val="00BB4A8C"/>
    <w:rsid w:val="00BB5043"/>
    <w:rsid w:val="00BB5207"/>
    <w:rsid w:val="00BB5434"/>
    <w:rsid w:val="00BB5751"/>
    <w:rsid w:val="00BB5ADC"/>
    <w:rsid w:val="00BB6580"/>
    <w:rsid w:val="00BB65A9"/>
    <w:rsid w:val="00BB6A07"/>
    <w:rsid w:val="00BB6DA4"/>
    <w:rsid w:val="00BB6DC5"/>
    <w:rsid w:val="00BB7753"/>
    <w:rsid w:val="00BB7771"/>
    <w:rsid w:val="00BB7833"/>
    <w:rsid w:val="00BB7B74"/>
    <w:rsid w:val="00BC028F"/>
    <w:rsid w:val="00BC039F"/>
    <w:rsid w:val="00BC06C8"/>
    <w:rsid w:val="00BC06EF"/>
    <w:rsid w:val="00BC08D4"/>
    <w:rsid w:val="00BC0925"/>
    <w:rsid w:val="00BC0EA8"/>
    <w:rsid w:val="00BC1013"/>
    <w:rsid w:val="00BC11D2"/>
    <w:rsid w:val="00BC1512"/>
    <w:rsid w:val="00BC1AA5"/>
    <w:rsid w:val="00BC2078"/>
    <w:rsid w:val="00BC2126"/>
    <w:rsid w:val="00BC2284"/>
    <w:rsid w:val="00BC24F2"/>
    <w:rsid w:val="00BC2C13"/>
    <w:rsid w:val="00BC2CEF"/>
    <w:rsid w:val="00BC2DF7"/>
    <w:rsid w:val="00BC2E17"/>
    <w:rsid w:val="00BC2F7E"/>
    <w:rsid w:val="00BC3016"/>
    <w:rsid w:val="00BC3104"/>
    <w:rsid w:val="00BC3136"/>
    <w:rsid w:val="00BC31C0"/>
    <w:rsid w:val="00BC3405"/>
    <w:rsid w:val="00BC3462"/>
    <w:rsid w:val="00BC34B7"/>
    <w:rsid w:val="00BC3709"/>
    <w:rsid w:val="00BC3CD4"/>
    <w:rsid w:val="00BC3CDD"/>
    <w:rsid w:val="00BC3D2A"/>
    <w:rsid w:val="00BC3EE5"/>
    <w:rsid w:val="00BC3FE5"/>
    <w:rsid w:val="00BC400A"/>
    <w:rsid w:val="00BC41E7"/>
    <w:rsid w:val="00BC44A7"/>
    <w:rsid w:val="00BC450B"/>
    <w:rsid w:val="00BC45FE"/>
    <w:rsid w:val="00BC4B03"/>
    <w:rsid w:val="00BC4E09"/>
    <w:rsid w:val="00BC54DB"/>
    <w:rsid w:val="00BC5FB5"/>
    <w:rsid w:val="00BC5FFD"/>
    <w:rsid w:val="00BC60E2"/>
    <w:rsid w:val="00BC61A6"/>
    <w:rsid w:val="00BC6CB9"/>
    <w:rsid w:val="00BC6FFD"/>
    <w:rsid w:val="00BC706A"/>
    <w:rsid w:val="00BC710C"/>
    <w:rsid w:val="00BC719C"/>
    <w:rsid w:val="00BC741F"/>
    <w:rsid w:val="00BC75B4"/>
    <w:rsid w:val="00BC76F4"/>
    <w:rsid w:val="00BC78A7"/>
    <w:rsid w:val="00BC798F"/>
    <w:rsid w:val="00BC7A8B"/>
    <w:rsid w:val="00BC7B3E"/>
    <w:rsid w:val="00BC7B4D"/>
    <w:rsid w:val="00BC7C06"/>
    <w:rsid w:val="00BC7D17"/>
    <w:rsid w:val="00BD084F"/>
    <w:rsid w:val="00BD0A20"/>
    <w:rsid w:val="00BD0DA6"/>
    <w:rsid w:val="00BD1022"/>
    <w:rsid w:val="00BD1132"/>
    <w:rsid w:val="00BD135A"/>
    <w:rsid w:val="00BD1E53"/>
    <w:rsid w:val="00BD241D"/>
    <w:rsid w:val="00BD25C6"/>
    <w:rsid w:val="00BD2A17"/>
    <w:rsid w:val="00BD2FF2"/>
    <w:rsid w:val="00BD302B"/>
    <w:rsid w:val="00BD367A"/>
    <w:rsid w:val="00BD369C"/>
    <w:rsid w:val="00BD37D1"/>
    <w:rsid w:val="00BD3A1F"/>
    <w:rsid w:val="00BD3CD5"/>
    <w:rsid w:val="00BD402C"/>
    <w:rsid w:val="00BD4C45"/>
    <w:rsid w:val="00BD4D67"/>
    <w:rsid w:val="00BD4E96"/>
    <w:rsid w:val="00BD50DF"/>
    <w:rsid w:val="00BD573C"/>
    <w:rsid w:val="00BD576D"/>
    <w:rsid w:val="00BD58F5"/>
    <w:rsid w:val="00BD5B33"/>
    <w:rsid w:val="00BD62A0"/>
    <w:rsid w:val="00BD62BF"/>
    <w:rsid w:val="00BD6427"/>
    <w:rsid w:val="00BD65B0"/>
    <w:rsid w:val="00BD6757"/>
    <w:rsid w:val="00BD67E8"/>
    <w:rsid w:val="00BD6C11"/>
    <w:rsid w:val="00BD6CD6"/>
    <w:rsid w:val="00BD6D00"/>
    <w:rsid w:val="00BD6D79"/>
    <w:rsid w:val="00BD7182"/>
    <w:rsid w:val="00BD725E"/>
    <w:rsid w:val="00BD7352"/>
    <w:rsid w:val="00BD7367"/>
    <w:rsid w:val="00BD77B5"/>
    <w:rsid w:val="00BD7CE1"/>
    <w:rsid w:val="00BD7DC4"/>
    <w:rsid w:val="00BE012E"/>
    <w:rsid w:val="00BE0444"/>
    <w:rsid w:val="00BE0A35"/>
    <w:rsid w:val="00BE0A82"/>
    <w:rsid w:val="00BE0C6A"/>
    <w:rsid w:val="00BE0FD1"/>
    <w:rsid w:val="00BE14B5"/>
    <w:rsid w:val="00BE1821"/>
    <w:rsid w:val="00BE1B1E"/>
    <w:rsid w:val="00BE1F53"/>
    <w:rsid w:val="00BE2226"/>
    <w:rsid w:val="00BE2271"/>
    <w:rsid w:val="00BE232E"/>
    <w:rsid w:val="00BE246B"/>
    <w:rsid w:val="00BE2549"/>
    <w:rsid w:val="00BE280C"/>
    <w:rsid w:val="00BE2BB1"/>
    <w:rsid w:val="00BE2CFE"/>
    <w:rsid w:val="00BE2D67"/>
    <w:rsid w:val="00BE2E34"/>
    <w:rsid w:val="00BE2FC5"/>
    <w:rsid w:val="00BE31B2"/>
    <w:rsid w:val="00BE3E0F"/>
    <w:rsid w:val="00BE3FCF"/>
    <w:rsid w:val="00BE47A2"/>
    <w:rsid w:val="00BE5493"/>
    <w:rsid w:val="00BE555E"/>
    <w:rsid w:val="00BE5970"/>
    <w:rsid w:val="00BE5B47"/>
    <w:rsid w:val="00BE5F0F"/>
    <w:rsid w:val="00BE6139"/>
    <w:rsid w:val="00BE6309"/>
    <w:rsid w:val="00BE649C"/>
    <w:rsid w:val="00BE6514"/>
    <w:rsid w:val="00BE6521"/>
    <w:rsid w:val="00BE67A1"/>
    <w:rsid w:val="00BE6830"/>
    <w:rsid w:val="00BE6928"/>
    <w:rsid w:val="00BE6B77"/>
    <w:rsid w:val="00BE6BCA"/>
    <w:rsid w:val="00BE723A"/>
    <w:rsid w:val="00BE7424"/>
    <w:rsid w:val="00BE765A"/>
    <w:rsid w:val="00BE76D8"/>
    <w:rsid w:val="00BE7AEF"/>
    <w:rsid w:val="00BE7B1F"/>
    <w:rsid w:val="00BE7CC6"/>
    <w:rsid w:val="00BE7F05"/>
    <w:rsid w:val="00BE7FCD"/>
    <w:rsid w:val="00BF0023"/>
    <w:rsid w:val="00BF02B5"/>
    <w:rsid w:val="00BF059C"/>
    <w:rsid w:val="00BF05F9"/>
    <w:rsid w:val="00BF0C85"/>
    <w:rsid w:val="00BF0F4A"/>
    <w:rsid w:val="00BF1254"/>
    <w:rsid w:val="00BF16B7"/>
    <w:rsid w:val="00BF16C3"/>
    <w:rsid w:val="00BF1A76"/>
    <w:rsid w:val="00BF1C4A"/>
    <w:rsid w:val="00BF1CF4"/>
    <w:rsid w:val="00BF1D14"/>
    <w:rsid w:val="00BF1D7F"/>
    <w:rsid w:val="00BF1FCD"/>
    <w:rsid w:val="00BF2120"/>
    <w:rsid w:val="00BF2659"/>
    <w:rsid w:val="00BF27BE"/>
    <w:rsid w:val="00BF2897"/>
    <w:rsid w:val="00BF2B90"/>
    <w:rsid w:val="00BF2BE4"/>
    <w:rsid w:val="00BF2BED"/>
    <w:rsid w:val="00BF2FBC"/>
    <w:rsid w:val="00BF2FFE"/>
    <w:rsid w:val="00BF3012"/>
    <w:rsid w:val="00BF3035"/>
    <w:rsid w:val="00BF3241"/>
    <w:rsid w:val="00BF3EDF"/>
    <w:rsid w:val="00BF4097"/>
    <w:rsid w:val="00BF40E6"/>
    <w:rsid w:val="00BF43CF"/>
    <w:rsid w:val="00BF44F1"/>
    <w:rsid w:val="00BF4512"/>
    <w:rsid w:val="00BF4582"/>
    <w:rsid w:val="00BF45FE"/>
    <w:rsid w:val="00BF4780"/>
    <w:rsid w:val="00BF4822"/>
    <w:rsid w:val="00BF4884"/>
    <w:rsid w:val="00BF4A5D"/>
    <w:rsid w:val="00BF4B46"/>
    <w:rsid w:val="00BF4BFD"/>
    <w:rsid w:val="00BF4EFC"/>
    <w:rsid w:val="00BF555C"/>
    <w:rsid w:val="00BF58FE"/>
    <w:rsid w:val="00BF5966"/>
    <w:rsid w:val="00BF5BAE"/>
    <w:rsid w:val="00BF5BED"/>
    <w:rsid w:val="00BF5D38"/>
    <w:rsid w:val="00BF63E6"/>
    <w:rsid w:val="00BF63E7"/>
    <w:rsid w:val="00BF6A91"/>
    <w:rsid w:val="00BF6B19"/>
    <w:rsid w:val="00BF6B20"/>
    <w:rsid w:val="00BF6D2B"/>
    <w:rsid w:val="00BF6E7C"/>
    <w:rsid w:val="00BF7372"/>
    <w:rsid w:val="00C000EB"/>
    <w:rsid w:val="00C000F7"/>
    <w:rsid w:val="00C001EE"/>
    <w:rsid w:val="00C00549"/>
    <w:rsid w:val="00C0075C"/>
    <w:rsid w:val="00C00C85"/>
    <w:rsid w:val="00C00E8E"/>
    <w:rsid w:val="00C00F52"/>
    <w:rsid w:val="00C01094"/>
    <w:rsid w:val="00C012DF"/>
    <w:rsid w:val="00C0134F"/>
    <w:rsid w:val="00C0152A"/>
    <w:rsid w:val="00C01D30"/>
    <w:rsid w:val="00C01F7B"/>
    <w:rsid w:val="00C02196"/>
    <w:rsid w:val="00C023EB"/>
    <w:rsid w:val="00C02D1D"/>
    <w:rsid w:val="00C03031"/>
    <w:rsid w:val="00C03B56"/>
    <w:rsid w:val="00C03D68"/>
    <w:rsid w:val="00C03DFD"/>
    <w:rsid w:val="00C03FFC"/>
    <w:rsid w:val="00C04503"/>
    <w:rsid w:val="00C04700"/>
    <w:rsid w:val="00C04BC1"/>
    <w:rsid w:val="00C05329"/>
    <w:rsid w:val="00C053E0"/>
    <w:rsid w:val="00C054D5"/>
    <w:rsid w:val="00C0553C"/>
    <w:rsid w:val="00C05976"/>
    <w:rsid w:val="00C0598A"/>
    <w:rsid w:val="00C05C75"/>
    <w:rsid w:val="00C05CC5"/>
    <w:rsid w:val="00C06287"/>
    <w:rsid w:val="00C06841"/>
    <w:rsid w:val="00C06B90"/>
    <w:rsid w:val="00C06C19"/>
    <w:rsid w:val="00C06DB6"/>
    <w:rsid w:val="00C06E06"/>
    <w:rsid w:val="00C07652"/>
    <w:rsid w:val="00C07A89"/>
    <w:rsid w:val="00C07CDE"/>
    <w:rsid w:val="00C07E9C"/>
    <w:rsid w:val="00C07F2E"/>
    <w:rsid w:val="00C10023"/>
    <w:rsid w:val="00C1011B"/>
    <w:rsid w:val="00C102B0"/>
    <w:rsid w:val="00C10587"/>
    <w:rsid w:val="00C10901"/>
    <w:rsid w:val="00C10EBD"/>
    <w:rsid w:val="00C10F9D"/>
    <w:rsid w:val="00C112B9"/>
    <w:rsid w:val="00C11469"/>
    <w:rsid w:val="00C11937"/>
    <w:rsid w:val="00C11E94"/>
    <w:rsid w:val="00C11EC1"/>
    <w:rsid w:val="00C120A9"/>
    <w:rsid w:val="00C12569"/>
    <w:rsid w:val="00C12638"/>
    <w:rsid w:val="00C1265D"/>
    <w:rsid w:val="00C126F6"/>
    <w:rsid w:val="00C129EA"/>
    <w:rsid w:val="00C12CCF"/>
    <w:rsid w:val="00C1304E"/>
    <w:rsid w:val="00C131FB"/>
    <w:rsid w:val="00C132AE"/>
    <w:rsid w:val="00C1343A"/>
    <w:rsid w:val="00C1381B"/>
    <w:rsid w:val="00C13F80"/>
    <w:rsid w:val="00C14196"/>
    <w:rsid w:val="00C1494A"/>
    <w:rsid w:val="00C14ADD"/>
    <w:rsid w:val="00C14B65"/>
    <w:rsid w:val="00C14D0D"/>
    <w:rsid w:val="00C14D17"/>
    <w:rsid w:val="00C1519A"/>
    <w:rsid w:val="00C155AE"/>
    <w:rsid w:val="00C155F1"/>
    <w:rsid w:val="00C15BCA"/>
    <w:rsid w:val="00C163DF"/>
    <w:rsid w:val="00C16599"/>
    <w:rsid w:val="00C16608"/>
    <w:rsid w:val="00C168B8"/>
    <w:rsid w:val="00C16C7A"/>
    <w:rsid w:val="00C16CF9"/>
    <w:rsid w:val="00C16DA5"/>
    <w:rsid w:val="00C16F80"/>
    <w:rsid w:val="00C17288"/>
    <w:rsid w:val="00C173F3"/>
    <w:rsid w:val="00C17732"/>
    <w:rsid w:val="00C17CAC"/>
    <w:rsid w:val="00C20028"/>
    <w:rsid w:val="00C20464"/>
    <w:rsid w:val="00C205AF"/>
    <w:rsid w:val="00C205FC"/>
    <w:rsid w:val="00C20667"/>
    <w:rsid w:val="00C206C2"/>
    <w:rsid w:val="00C20AF2"/>
    <w:rsid w:val="00C20D4B"/>
    <w:rsid w:val="00C20D61"/>
    <w:rsid w:val="00C20DA1"/>
    <w:rsid w:val="00C210D7"/>
    <w:rsid w:val="00C215CF"/>
    <w:rsid w:val="00C2185C"/>
    <w:rsid w:val="00C219B8"/>
    <w:rsid w:val="00C21F56"/>
    <w:rsid w:val="00C226E1"/>
    <w:rsid w:val="00C2272F"/>
    <w:rsid w:val="00C2288C"/>
    <w:rsid w:val="00C22968"/>
    <w:rsid w:val="00C22FF2"/>
    <w:rsid w:val="00C23076"/>
    <w:rsid w:val="00C231EE"/>
    <w:rsid w:val="00C23730"/>
    <w:rsid w:val="00C237FC"/>
    <w:rsid w:val="00C23A95"/>
    <w:rsid w:val="00C23BFB"/>
    <w:rsid w:val="00C23D8E"/>
    <w:rsid w:val="00C23DCB"/>
    <w:rsid w:val="00C23F01"/>
    <w:rsid w:val="00C23F02"/>
    <w:rsid w:val="00C240EF"/>
    <w:rsid w:val="00C24126"/>
    <w:rsid w:val="00C2427D"/>
    <w:rsid w:val="00C24DCB"/>
    <w:rsid w:val="00C2564F"/>
    <w:rsid w:val="00C26189"/>
    <w:rsid w:val="00C262F1"/>
    <w:rsid w:val="00C26382"/>
    <w:rsid w:val="00C26450"/>
    <w:rsid w:val="00C267DF"/>
    <w:rsid w:val="00C269F8"/>
    <w:rsid w:val="00C26BAA"/>
    <w:rsid w:val="00C2723E"/>
    <w:rsid w:val="00C2737F"/>
    <w:rsid w:val="00C274C3"/>
    <w:rsid w:val="00C275B6"/>
    <w:rsid w:val="00C27A2B"/>
    <w:rsid w:val="00C27DCC"/>
    <w:rsid w:val="00C27F73"/>
    <w:rsid w:val="00C300F4"/>
    <w:rsid w:val="00C305EC"/>
    <w:rsid w:val="00C309FD"/>
    <w:rsid w:val="00C30EEA"/>
    <w:rsid w:val="00C31237"/>
    <w:rsid w:val="00C3127B"/>
    <w:rsid w:val="00C31482"/>
    <w:rsid w:val="00C3170F"/>
    <w:rsid w:val="00C31834"/>
    <w:rsid w:val="00C318D5"/>
    <w:rsid w:val="00C31917"/>
    <w:rsid w:val="00C31AA7"/>
    <w:rsid w:val="00C31F57"/>
    <w:rsid w:val="00C32025"/>
    <w:rsid w:val="00C32080"/>
    <w:rsid w:val="00C32195"/>
    <w:rsid w:val="00C3230E"/>
    <w:rsid w:val="00C32409"/>
    <w:rsid w:val="00C3254C"/>
    <w:rsid w:val="00C3270C"/>
    <w:rsid w:val="00C32CC9"/>
    <w:rsid w:val="00C32E0F"/>
    <w:rsid w:val="00C330A9"/>
    <w:rsid w:val="00C330E8"/>
    <w:rsid w:val="00C3313B"/>
    <w:rsid w:val="00C33509"/>
    <w:rsid w:val="00C33850"/>
    <w:rsid w:val="00C33881"/>
    <w:rsid w:val="00C338ED"/>
    <w:rsid w:val="00C339ED"/>
    <w:rsid w:val="00C33A12"/>
    <w:rsid w:val="00C33CB5"/>
    <w:rsid w:val="00C33CCB"/>
    <w:rsid w:val="00C33E13"/>
    <w:rsid w:val="00C34131"/>
    <w:rsid w:val="00C34259"/>
    <w:rsid w:val="00C34260"/>
    <w:rsid w:val="00C3429A"/>
    <w:rsid w:val="00C344F1"/>
    <w:rsid w:val="00C3465E"/>
    <w:rsid w:val="00C34738"/>
    <w:rsid w:val="00C347EA"/>
    <w:rsid w:val="00C349EE"/>
    <w:rsid w:val="00C34CBA"/>
    <w:rsid w:val="00C34D69"/>
    <w:rsid w:val="00C35200"/>
    <w:rsid w:val="00C358C1"/>
    <w:rsid w:val="00C35E9A"/>
    <w:rsid w:val="00C36145"/>
    <w:rsid w:val="00C3624A"/>
    <w:rsid w:val="00C3675A"/>
    <w:rsid w:val="00C36944"/>
    <w:rsid w:val="00C369C1"/>
    <w:rsid w:val="00C36C28"/>
    <w:rsid w:val="00C36E53"/>
    <w:rsid w:val="00C36EC8"/>
    <w:rsid w:val="00C371BC"/>
    <w:rsid w:val="00C3756B"/>
    <w:rsid w:val="00C3774F"/>
    <w:rsid w:val="00C37863"/>
    <w:rsid w:val="00C37942"/>
    <w:rsid w:val="00C37971"/>
    <w:rsid w:val="00C37B2F"/>
    <w:rsid w:val="00C37D04"/>
    <w:rsid w:val="00C37D6A"/>
    <w:rsid w:val="00C40175"/>
    <w:rsid w:val="00C4025B"/>
    <w:rsid w:val="00C4082E"/>
    <w:rsid w:val="00C40F97"/>
    <w:rsid w:val="00C41650"/>
    <w:rsid w:val="00C41794"/>
    <w:rsid w:val="00C41828"/>
    <w:rsid w:val="00C41E0E"/>
    <w:rsid w:val="00C425DD"/>
    <w:rsid w:val="00C427AC"/>
    <w:rsid w:val="00C42B54"/>
    <w:rsid w:val="00C42C3D"/>
    <w:rsid w:val="00C42DC5"/>
    <w:rsid w:val="00C4309F"/>
    <w:rsid w:val="00C4368D"/>
    <w:rsid w:val="00C43872"/>
    <w:rsid w:val="00C438ED"/>
    <w:rsid w:val="00C43B7A"/>
    <w:rsid w:val="00C43E25"/>
    <w:rsid w:val="00C44042"/>
    <w:rsid w:val="00C44106"/>
    <w:rsid w:val="00C44215"/>
    <w:rsid w:val="00C442B3"/>
    <w:rsid w:val="00C442B4"/>
    <w:rsid w:val="00C4438B"/>
    <w:rsid w:val="00C44397"/>
    <w:rsid w:val="00C44852"/>
    <w:rsid w:val="00C44EDD"/>
    <w:rsid w:val="00C44EE7"/>
    <w:rsid w:val="00C45055"/>
    <w:rsid w:val="00C455DD"/>
    <w:rsid w:val="00C45C0D"/>
    <w:rsid w:val="00C45C78"/>
    <w:rsid w:val="00C4617F"/>
    <w:rsid w:val="00C46181"/>
    <w:rsid w:val="00C464EF"/>
    <w:rsid w:val="00C46516"/>
    <w:rsid w:val="00C46A10"/>
    <w:rsid w:val="00C46CDB"/>
    <w:rsid w:val="00C46DF2"/>
    <w:rsid w:val="00C47049"/>
    <w:rsid w:val="00C47052"/>
    <w:rsid w:val="00C472BB"/>
    <w:rsid w:val="00C47454"/>
    <w:rsid w:val="00C475FE"/>
    <w:rsid w:val="00C47EC9"/>
    <w:rsid w:val="00C47F65"/>
    <w:rsid w:val="00C47FFB"/>
    <w:rsid w:val="00C50154"/>
    <w:rsid w:val="00C50245"/>
    <w:rsid w:val="00C504BE"/>
    <w:rsid w:val="00C506D2"/>
    <w:rsid w:val="00C507CD"/>
    <w:rsid w:val="00C50BF2"/>
    <w:rsid w:val="00C50CE7"/>
    <w:rsid w:val="00C50DB3"/>
    <w:rsid w:val="00C51186"/>
    <w:rsid w:val="00C512E8"/>
    <w:rsid w:val="00C5143B"/>
    <w:rsid w:val="00C514F7"/>
    <w:rsid w:val="00C5165C"/>
    <w:rsid w:val="00C51CB1"/>
    <w:rsid w:val="00C5208B"/>
    <w:rsid w:val="00C523DE"/>
    <w:rsid w:val="00C5273D"/>
    <w:rsid w:val="00C52A07"/>
    <w:rsid w:val="00C52E27"/>
    <w:rsid w:val="00C530A2"/>
    <w:rsid w:val="00C53284"/>
    <w:rsid w:val="00C537F1"/>
    <w:rsid w:val="00C53864"/>
    <w:rsid w:val="00C53C32"/>
    <w:rsid w:val="00C54146"/>
    <w:rsid w:val="00C54320"/>
    <w:rsid w:val="00C54EA6"/>
    <w:rsid w:val="00C55279"/>
    <w:rsid w:val="00C5529F"/>
    <w:rsid w:val="00C55430"/>
    <w:rsid w:val="00C55480"/>
    <w:rsid w:val="00C5600C"/>
    <w:rsid w:val="00C5628C"/>
    <w:rsid w:val="00C563A6"/>
    <w:rsid w:val="00C56862"/>
    <w:rsid w:val="00C56B21"/>
    <w:rsid w:val="00C56B6C"/>
    <w:rsid w:val="00C56C93"/>
    <w:rsid w:val="00C56E03"/>
    <w:rsid w:val="00C56E88"/>
    <w:rsid w:val="00C5714C"/>
    <w:rsid w:val="00C57831"/>
    <w:rsid w:val="00C5795E"/>
    <w:rsid w:val="00C57BC0"/>
    <w:rsid w:val="00C57C3A"/>
    <w:rsid w:val="00C60107"/>
    <w:rsid w:val="00C603C4"/>
    <w:rsid w:val="00C6062B"/>
    <w:rsid w:val="00C608E3"/>
    <w:rsid w:val="00C60917"/>
    <w:rsid w:val="00C60AF9"/>
    <w:rsid w:val="00C60CC2"/>
    <w:rsid w:val="00C60D79"/>
    <w:rsid w:val="00C610CC"/>
    <w:rsid w:val="00C61280"/>
    <w:rsid w:val="00C615ED"/>
    <w:rsid w:val="00C6162C"/>
    <w:rsid w:val="00C61767"/>
    <w:rsid w:val="00C61924"/>
    <w:rsid w:val="00C619DB"/>
    <w:rsid w:val="00C61A36"/>
    <w:rsid w:val="00C61B89"/>
    <w:rsid w:val="00C61CA5"/>
    <w:rsid w:val="00C61E58"/>
    <w:rsid w:val="00C624D6"/>
    <w:rsid w:val="00C62505"/>
    <w:rsid w:val="00C62A8F"/>
    <w:rsid w:val="00C62D21"/>
    <w:rsid w:val="00C62F65"/>
    <w:rsid w:val="00C632F7"/>
    <w:rsid w:val="00C6332E"/>
    <w:rsid w:val="00C63435"/>
    <w:rsid w:val="00C634AA"/>
    <w:rsid w:val="00C638B1"/>
    <w:rsid w:val="00C63AC4"/>
    <w:rsid w:val="00C63BC9"/>
    <w:rsid w:val="00C6402C"/>
    <w:rsid w:val="00C643EA"/>
    <w:rsid w:val="00C646D0"/>
    <w:rsid w:val="00C6471C"/>
    <w:rsid w:val="00C64B9E"/>
    <w:rsid w:val="00C64CE1"/>
    <w:rsid w:val="00C64E04"/>
    <w:rsid w:val="00C658D6"/>
    <w:rsid w:val="00C65967"/>
    <w:rsid w:val="00C65C8E"/>
    <w:rsid w:val="00C65E2A"/>
    <w:rsid w:val="00C65ED1"/>
    <w:rsid w:val="00C66298"/>
    <w:rsid w:val="00C66769"/>
    <w:rsid w:val="00C66DA7"/>
    <w:rsid w:val="00C6702E"/>
    <w:rsid w:val="00C67064"/>
    <w:rsid w:val="00C67105"/>
    <w:rsid w:val="00C67178"/>
    <w:rsid w:val="00C674AE"/>
    <w:rsid w:val="00C67668"/>
    <w:rsid w:val="00C67BE7"/>
    <w:rsid w:val="00C67D9E"/>
    <w:rsid w:val="00C67E0D"/>
    <w:rsid w:val="00C702B0"/>
    <w:rsid w:val="00C70404"/>
    <w:rsid w:val="00C70951"/>
    <w:rsid w:val="00C70CC7"/>
    <w:rsid w:val="00C71255"/>
    <w:rsid w:val="00C71E37"/>
    <w:rsid w:val="00C71F32"/>
    <w:rsid w:val="00C71F4D"/>
    <w:rsid w:val="00C71F64"/>
    <w:rsid w:val="00C7237B"/>
    <w:rsid w:val="00C723AA"/>
    <w:rsid w:val="00C7250F"/>
    <w:rsid w:val="00C7421D"/>
    <w:rsid w:val="00C745E5"/>
    <w:rsid w:val="00C74744"/>
    <w:rsid w:val="00C7481F"/>
    <w:rsid w:val="00C74842"/>
    <w:rsid w:val="00C74A47"/>
    <w:rsid w:val="00C74A50"/>
    <w:rsid w:val="00C74BAC"/>
    <w:rsid w:val="00C74D5C"/>
    <w:rsid w:val="00C751BB"/>
    <w:rsid w:val="00C753E0"/>
    <w:rsid w:val="00C75465"/>
    <w:rsid w:val="00C75942"/>
    <w:rsid w:val="00C759E8"/>
    <w:rsid w:val="00C75D4C"/>
    <w:rsid w:val="00C75F6C"/>
    <w:rsid w:val="00C761A6"/>
    <w:rsid w:val="00C76561"/>
    <w:rsid w:val="00C766CE"/>
    <w:rsid w:val="00C76928"/>
    <w:rsid w:val="00C76BB4"/>
    <w:rsid w:val="00C76C69"/>
    <w:rsid w:val="00C76C91"/>
    <w:rsid w:val="00C76E5A"/>
    <w:rsid w:val="00C76F6B"/>
    <w:rsid w:val="00C77242"/>
    <w:rsid w:val="00C77271"/>
    <w:rsid w:val="00C77713"/>
    <w:rsid w:val="00C777D2"/>
    <w:rsid w:val="00C77ABA"/>
    <w:rsid w:val="00C77C1A"/>
    <w:rsid w:val="00C77DB0"/>
    <w:rsid w:val="00C8006D"/>
    <w:rsid w:val="00C80299"/>
    <w:rsid w:val="00C8067D"/>
    <w:rsid w:val="00C807EA"/>
    <w:rsid w:val="00C8083B"/>
    <w:rsid w:val="00C809CC"/>
    <w:rsid w:val="00C80AEB"/>
    <w:rsid w:val="00C80B19"/>
    <w:rsid w:val="00C80BE6"/>
    <w:rsid w:val="00C81011"/>
    <w:rsid w:val="00C8108B"/>
    <w:rsid w:val="00C81090"/>
    <w:rsid w:val="00C812F1"/>
    <w:rsid w:val="00C81435"/>
    <w:rsid w:val="00C814DA"/>
    <w:rsid w:val="00C81860"/>
    <w:rsid w:val="00C81D26"/>
    <w:rsid w:val="00C81DD2"/>
    <w:rsid w:val="00C82173"/>
    <w:rsid w:val="00C82294"/>
    <w:rsid w:val="00C82393"/>
    <w:rsid w:val="00C827EE"/>
    <w:rsid w:val="00C82AD3"/>
    <w:rsid w:val="00C82B7A"/>
    <w:rsid w:val="00C82DD3"/>
    <w:rsid w:val="00C83009"/>
    <w:rsid w:val="00C830A1"/>
    <w:rsid w:val="00C830AA"/>
    <w:rsid w:val="00C834E2"/>
    <w:rsid w:val="00C83666"/>
    <w:rsid w:val="00C8371B"/>
    <w:rsid w:val="00C83B2A"/>
    <w:rsid w:val="00C83C1B"/>
    <w:rsid w:val="00C83F7C"/>
    <w:rsid w:val="00C842B6"/>
    <w:rsid w:val="00C846FD"/>
    <w:rsid w:val="00C84796"/>
    <w:rsid w:val="00C848C2"/>
    <w:rsid w:val="00C84969"/>
    <w:rsid w:val="00C84C92"/>
    <w:rsid w:val="00C851D1"/>
    <w:rsid w:val="00C854B7"/>
    <w:rsid w:val="00C85BD1"/>
    <w:rsid w:val="00C85C16"/>
    <w:rsid w:val="00C85CF0"/>
    <w:rsid w:val="00C86193"/>
    <w:rsid w:val="00C861EA"/>
    <w:rsid w:val="00C8637E"/>
    <w:rsid w:val="00C86381"/>
    <w:rsid w:val="00C864FB"/>
    <w:rsid w:val="00C8677A"/>
    <w:rsid w:val="00C86C30"/>
    <w:rsid w:val="00C86D73"/>
    <w:rsid w:val="00C86DEB"/>
    <w:rsid w:val="00C86E99"/>
    <w:rsid w:val="00C86FFC"/>
    <w:rsid w:val="00C8713E"/>
    <w:rsid w:val="00C872A6"/>
    <w:rsid w:val="00C8734A"/>
    <w:rsid w:val="00C87437"/>
    <w:rsid w:val="00C877A8"/>
    <w:rsid w:val="00C87C78"/>
    <w:rsid w:val="00C87C91"/>
    <w:rsid w:val="00C87D02"/>
    <w:rsid w:val="00C90517"/>
    <w:rsid w:val="00C905CC"/>
    <w:rsid w:val="00C90654"/>
    <w:rsid w:val="00C9082F"/>
    <w:rsid w:val="00C90893"/>
    <w:rsid w:val="00C90D70"/>
    <w:rsid w:val="00C916B4"/>
    <w:rsid w:val="00C91A2A"/>
    <w:rsid w:val="00C91D83"/>
    <w:rsid w:val="00C9207B"/>
    <w:rsid w:val="00C92234"/>
    <w:rsid w:val="00C92268"/>
    <w:rsid w:val="00C9240C"/>
    <w:rsid w:val="00C9245A"/>
    <w:rsid w:val="00C9283B"/>
    <w:rsid w:val="00C92845"/>
    <w:rsid w:val="00C92884"/>
    <w:rsid w:val="00C92B86"/>
    <w:rsid w:val="00C92BB0"/>
    <w:rsid w:val="00C93393"/>
    <w:rsid w:val="00C9344C"/>
    <w:rsid w:val="00C93A0B"/>
    <w:rsid w:val="00C93BD6"/>
    <w:rsid w:val="00C940C9"/>
    <w:rsid w:val="00C9414A"/>
    <w:rsid w:val="00C94176"/>
    <w:rsid w:val="00C94CEF"/>
    <w:rsid w:val="00C94FB9"/>
    <w:rsid w:val="00C95432"/>
    <w:rsid w:val="00C959DA"/>
    <w:rsid w:val="00C95D41"/>
    <w:rsid w:val="00C9646C"/>
    <w:rsid w:val="00C9671D"/>
    <w:rsid w:val="00C96B15"/>
    <w:rsid w:val="00C96BC8"/>
    <w:rsid w:val="00C96D24"/>
    <w:rsid w:val="00C96E50"/>
    <w:rsid w:val="00C97356"/>
    <w:rsid w:val="00C9757C"/>
    <w:rsid w:val="00C97851"/>
    <w:rsid w:val="00C97D3D"/>
    <w:rsid w:val="00CA0147"/>
    <w:rsid w:val="00CA04E2"/>
    <w:rsid w:val="00CA059B"/>
    <w:rsid w:val="00CA1311"/>
    <w:rsid w:val="00CA1995"/>
    <w:rsid w:val="00CA1A50"/>
    <w:rsid w:val="00CA1B46"/>
    <w:rsid w:val="00CA1D9B"/>
    <w:rsid w:val="00CA1E67"/>
    <w:rsid w:val="00CA1ED2"/>
    <w:rsid w:val="00CA1FC4"/>
    <w:rsid w:val="00CA2060"/>
    <w:rsid w:val="00CA23E5"/>
    <w:rsid w:val="00CA26D1"/>
    <w:rsid w:val="00CA2967"/>
    <w:rsid w:val="00CA2A00"/>
    <w:rsid w:val="00CA2AD8"/>
    <w:rsid w:val="00CA2BBC"/>
    <w:rsid w:val="00CA2BF7"/>
    <w:rsid w:val="00CA2C3F"/>
    <w:rsid w:val="00CA2DA5"/>
    <w:rsid w:val="00CA2E18"/>
    <w:rsid w:val="00CA2EA9"/>
    <w:rsid w:val="00CA337D"/>
    <w:rsid w:val="00CA3570"/>
    <w:rsid w:val="00CA391D"/>
    <w:rsid w:val="00CA3D0E"/>
    <w:rsid w:val="00CA405E"/>
    <w:rsid w:val="00CA4061"/>
    <w:rsid w:val="00CA42D3"/>
    <w:rsid w:val="00CA44D1"/>
    <w:rsid w:val="00CA49FC"/>
    <w:rsid w:val="00CA4BBB"/>
    <w:rsid w:val="00CA4CB6"/>
    <w:rsid w:val="00CA521B"/>
    <w:rsid w:val="00CA557E"/>
    <w:rsid w:val="00CA568D"/>
    <w:rsid w:val="00CA579A"/>
    <w:rsid w:val="00CA579F"/>
    <w:rsid w:val="00CA5B88"/>
    <w:rsid w:val="00CA5D4E"/>
    <w:rsid w:val="00CA60EF"/>
    <w:rsid w:val="00CA61AB"/>
    <w:rsid w:val="00CA61BB"/>
    <w:rsid w:val="00CA649B"/>
    <w:rsid w:val="00CA6A46"/>
    <w:rsid w:val="00CA6BDF"/>
    <w:rsid w:val="00CA6F53"/>
    <w:rsid w:val="00CA71B7"/>
    <w:rsid w:val="00CA7216"/>
    <w:rsid w:val="00CA7AE6"/>
    <w:rsid w:val="00CA7AEF"/>
    <w:rsid w:val="00CA7B61"/>
    <w:rsid w:val="00CA7D89"/>
    <w:rsid w:val="00CB0ADD"/>
    <w:rsid w:val="00CB149F"/>
    <w:rsid w:val="00CB15BA"/>
    <w:rsid w:val="00CB15BB"/>
    <w:rsid w:val="00CB16AE"/>
    <w:rsid w:val="00CB1F0B"/>
    <w:rsid w:val="00CB1F16"/>
    <w:rsid w:val="00CB2072"/>
    <w:rsid w:val="00CB22F2"/>
    <w:rsid w:val="00CB22FE"/>
    <w:rsid w:val="00CB242C"/>
    <w:rsid w:val="00CB273F"/>
    <w:rsid w:val="00CB27BA"/>
    <w:rsid w:val="00CB2DFB"/>
    <w:rsid w:val="00CB2EDE"/>
    <w:rsid w:val="00CB2F7E"/>
    <w:rsid w:val="00CB3088"/>
    <w:rsid w:val="00CB30C7"/>
    <w:rsid w:val="00CB3316"/>
    <w:rsid w:val="00CB3483"/>
    <w:rsid w:val="00CB3489"/>
    <w:rsid w:val="00CB3652"/>
    <w:rsid w:val="00CB3820"/>
    <w:rsid w:val="00CB3A80"/>
    <w:rsid w:val="00CB3A8A"/>
    <w:rsid w:val="00CB3C84"/>
    <w:rsid w:val="00CB4031"/>
    <w:rsid w:val="00CB4839"/>
    <w:rsid w:val="00CB5566"/>
    <w:rsid w:val="00CB568D"/>
    <w:rsid w:val="00CB57AC"/>
    <w:rsid w:val="00CB59ED"/>
    <w:rsid w:val="00CB5B65"/>
    <w:rsid w:val="00CB5BA8"/>
    <w:rsid w:val="00CB5D62"/>
    <w:rsid w:val="00CB61F3"/>
    <w:rsid w:val="00CB6603"/>
    <w:rsid w:val="00CB7336"/>
    <w:rsid w:val="00CB77C8"/>
    <w:rsid w:val="00CB78B1"/>
    <w:rsid w:val="00CB7D1F"/>
    <w:rsid w:val="00CB7F7A"/>
    <w:rsid w:val="00CC0035"/>
    <w:rsid w:val="00CC0067"/>
    <w:rsid w:val="00CC01B7"/>
    <w:rsid w:val="00CC0433"/>
    <w:rsid w:val="00CC0646"/>
    <w:rsid w:val="00CC07C9"/>
    <w:rsid w:val="00CC080E"/>
    <w:rsid w:val="00CC0812"/>
    <w:rsid w:val="00CC0943"/>
    <w:rsid w:val="00CC0CF7"/>
    <w:rsid w:val="00CC106B"/>
    <w:rsid w:val="00CC10BF"/>
    <w:rsid w:val="00CC12F7"/>
    <w:rsid w:val="00CC1460"/>
    <w:rsid w:val="00CC14A2"/>
    <w:rsid w:val="00CC1E0C"/>
    <w:rsid w:val="00CC1FA2"/>
    <w:rsid w:val="00CC2272"/>
    <w:rsid w:val="00CC229A"/>
    <w:rsid w:val="00CC234E"/>
    <w:rsid w:val="00CC2949"/>
    <w:rsid w:val="00CC2BAD"/>
    <w:rsid w:val="00CC2D02"/>
    <w:rsid w:val="00CC3036"/>
    <w:rsid w:val="00CC3501"/>
    <w:rsid w:val="00CC3B2D"/>
    <w:rsid w:val="00CC3BAC"/>
    <w:rsid w:val="00CC3CAE"/>
    <w:rsid w:val="00CC4144"/>
    <w:rsid w:val="00CC42CF"/>
    <w:rsid w:val="00CC4495"/>
    <w:rsid w:val="00CC4558"/>
    <w:rsid w:val="00CC4606"/>
    <w:rsid w:val="00CC46D6"/>
    <w:rsid w:val="00CC4978"/>
    <w:rsid w:val="00CC4AC8"/>
    <w:rsid w:val="00CC4DFD"/>
    <w:rsid w:val="00CC4F5B"/>
    <w:rsid w:val="00CC4FCB"/>
    <w:rsid w:val="00CC4FF3"/>
    <w:rsid w:val="00CC50DC"/>
    <w:rsid w:val="00CC5217"/>
    <w:rsid w:val="00CC5260"/>
    <w:rsid w:val="00CC5443"/>
    <w:rsid w:val="00CC572B"/>
    <w:rsid w:val="00CC5940"/>
    <w:rsid w:val="00CC62DB"/>
    <w:rsid w:val="00CC63F0"/>
    <w:rsid w:val="00CC640F"/>
    <w:rsid w:val="00CC6B76"/>
    <w:rsid w:val="00CC6C9E"/>
    <w:rsid w:val="00CC6E4C"/>
    <w:rsid w:val="00CC711B"/>
    <w:rsid w:val="00CC7710"/>
    <w:rsid w:val="00CC7738"/>
    <w:rsid w:val="00CC777C"/>
    <w:rsid w:val="00CC79A4"/>
    <w:rsid w:val="00CC7AD6"/>
    <w:rsid w:val="00CC7E26"/>
    <w:rsid w:val="00CD005D"/>
    <w:rsid w:val="00CD036F"/>
    <w:rsid w:val="00CD03EB"/>
    <w:rsid w:val="00CD0663"/>
    <w:rsid w:val="00CD0968"/>
    <w:rsid w:val="00CD0B5F"/>
    <w:rsid w:val="00CD0BE9"/>
    <w:rsid w:val="00CD0C35"/>
    <w:rsid w:val="00CD0C48"/>
    <w:rsid w:val="00CD1468"/>
    <w:rsid w:val="00CD19C7"/>
    <w:rsid w:val="00CD1C4A"/>
    <w:rsid w:val="00CD1FAE"/>
    <w:rsid w:val="00CD217D"/>
    <w:rsid w:val="00CD24FE"/>
    <w:rsid w:val="00CD2990"/>
    <w:rsid w:val="00CD2AA2"/>
    <w:rsid w:val="00CD2CCE"/>
    <w:rsid w:val="00CD30B4"/>
    <w:rsid w:val="00CD380A"/>
    <w:rsid w:val="00CD3911"/>
    <w:rsid w:val="00CD3941"/>
    <w:rsid w:val="00CD3DAF"/>
    <w:rsid w:val="00CD4632"/>
    <w:rsid w:val="00CD48DF"/>
    <w:rsid w:val="00CD4E46"/>
    <w:rsid w:val="00CD538A"/>
    <w:rsid w:val="00CD5754"/>
    <w:rsid w:val="00CD599E"/>
    <w:rsid w:val="00CD5EC6"/>
    <w:rsid w:val="00CD6767"/>
    <w:rsid w:val="00CD6C23"/>
    <w:rsid w:val="00CD735F"/>
    <w:rsid w:val="00CD749D"/>
    <w:rsid w:val="00CE0014"/>
    <w:rsid w:val="00CE0213"/>
    <w:rsid w:val="00CE0A7C"/>
    <w:rsid w:val="00CE0C5C"/>
    <w:rsid w:val="00CE1090"/>
    <w:rsid w:val="00CE1189"/>
    <w:rsid w:val="00CE11B4"/>
    <w:rsid w:val="00CE1222"/>
    <w:rsid w:val="00CE13A7"/>
    <w:rsid w:val="00CE184D"/>
    <w:rsid w:val="00CE19D1"/>
    <w:rsid w:val="00CE1ADE"/>
    <w:rsid w:val="00CE1CAB"/>
    <w:rsid w:val="00CE1CC3"/>
    <w:rsid w:val="00CE1F58"/>
    <w:rsid w:val="00CE205C"/>
    <w:rsid w:val="00CE213B"/>
    <w:rsid w:val="00CE2632"/>
    <w:rsid w:val="00CE2F17"/>
    <w:rsid w:val="00CE3087"/>
    <w:rsid w:val="00CE30FA"/>
    <w:rsid w:val="00CE3741"/>
    <w:rsid w:val="00CE3C58"/>
    <w:rsid w:val="00CE3D50"/>
    <w:rsid w:val="00CE3E6D"/>
    <w:rsid w:val="00CE3F22"/>
    <w:rsid w:val="00CE3FB5"/>
    <w:rsid w:val="00CE400B"/>
    <w:rsid w:val="00CE46F6"/>
    <w:rsid w:val="00CE49AB"/>
    <w:rsid w:val="00CE4C75"/>
    <w:rsid w:val="00CE4E42"/>
    <w:rsid w:val="00CE50AD"/>
    <w:rsid w:val="00CE5262"/>
    <w:rsid w:val="00CE53C6"/>
    <w:rsid w:val="00CE57B9"/>
    <w:rsid w:val="00CE5834"/>
    <w:rsid w:val="00CE592C"/>
    <w:rsid w:val="00CE6186"/>
    <w:rsid w:val="00CE64F9"/>
    <w:rsid w:val="00CE6B1B"/>
    <w:rsid w:val="00CE6B77"/>
    <w:rsid w:val="00CE706F"/>
    <w:rsid w:val="00CE725F"/>
    <w:rsid w:val="00CE7827"/>
    <w:rsid w:val="00CE7A13"/>
    <w:rsid w:val="00CE7DF0"/>
    <w:rsid w:val="00CE7F99"/>
    <w:rsid w:val="00CF0113"/>
    <w:rsid w:val="00CF0179"/>
    <w:rsid w:val="00CF0650"/>
    <w:rsid w:val="00CF0A06"/>
    <w:rsid w:val="00CF0E05"/>
    <w:rsid w:val="00CF1017"/>
    <w:rsid w:val="00CF1100"/>
    <w:rsid w:val="00CF154F"/>
    <w:rsid w:val="00CF1773"/>
    <w:rsid w:val="00CF1B88"/>
    <w:rsid w:val="00CF1B8A"/>
    <w:rsid w:val="00CF1C55"/>
    <w:rsid w:val="00CF1E54"/>
    <w:rsid w:val="00CF20F9"/>
    <w:rsid w:val="00CF2521"/>
    <w:rsid w:val="00CF267B"/>
    <w:rsid w:val="00CF26B7"/>
    <w:rsid w:val="00CF2A3E"/>
    <w:rsid w:val="00CF2C9F"/>
    <w:rsid w:val="00CF31F8"/>
    <w:rsid w:val="00CF3271"/>
    <w:rsid w:val="00CF33EC"/>
    <w:rsid w:val="00CF36D6"/>
    <w:rsid w:val="00CF3C3D"/>
    <w:rsid w:val="00CF3FAC"/>
    <w:rsid w:val="00CF400A"/>
    <w:rsid w:val="00CF4395"/>
    <w:rsid w:val="00CF46FA"/>
    <w:rsid w:val="00CF48B0"/>
    <w:rsid w:val="00CF57C6"/>
    <w:rsid w:val="00CF59B2"/>
    <w:rsid w:val="00CF59E4"/>
    <w:rsid w:val="00CF5A38"/>
    <w:rsid w:val="00CF5DDF"/>
    <w:rsid w:val="00CF6128"/>
    <w:rsid w:val="00CF6797"/>
    <w:rsid w:val="00CF6B8E"/>
    <w:rsid w:val="00CF6F07"/>
    <w:rsid w:val="00CF700F"/>
    <w:rsid w:val="00CF76E1"/>
    <w:rsid w:val="00CF77D4"/>
    <w:rsid w:val="00CF7B50"/>
    <w:rsid w:val="00D0053E"/>
    <w:rsid w:val="00D00580"/>
    <w:rsid w:val="00D009CB"/>
    <w:rsid w:val="00D00B19"/>
    <w:rsid w:val="00D00CBB"/>
    <w:rsid w:val="00D00D30"/>
    <w:rsid w:val="00D00E68"/>
    <w:rsid w:val="00D00EE0"/>
    <w:rsid w:val="00D00EF9"/>
    <w:rsid w:val="00D011F5"/>
    <w:rsid w:val="00D01324"/>
    <w:rsid w:val="00D01483"/>
    <w:rsid w:val="00D015DA"/>
    <w:rsid w:val="00D01C36"/>
    <w:rsid w:val="00D01CAD"/>
    <w:rsid w:val="00D01FC6"/>
    <w:rsid w:val="00D021F3"/>
    <w:rsid w:val="00D02A29"/>
    <w:rsid w:val="00D02CDB"/>
    <w:rsid w:val="00D02DAE"/>
    <w:rsid w:val="00D02DC6"/>
    <w:rsid w:val="00D02FFC"/>
    <w:rsid w:val="00D03043"/>
    <w:rsid w:val="00D03A6A"/>
    <w:rsid w:val="00D03ADC"/>
    <w:rsid w:val="00D04290"/>
    <w:rsid w:val="00D04898"/>
    <w:rsid w:val="00D0530D"/>
    <w:rsid w:val="00D0555B"/>
    <w:rsid w:val="00D0563B"/>
    <w:rsid w:val="00D057A9"/>
    <w:rsid w:val="00D05AE6"/>
    <w:rsid w:val="00D05CE5"/>
    <w:rsid w:val="00D05DF9"/>
    <w:rsid w:val="00D06107"/>
    <w:rsid w:val="00D0618B"/>
    <w:rsid w:val="00D06645"/>
    <w:rsid w:val="00D06AC3"/>
    <w:rsid w:val="00D06B6F"/>
    <w:rsid w:val="00D07333"/>
    <w:rsid w:val="00D07758"/>
    <w:rsid w:val="00D07905"/>
    <w:rsid w:val="00D07B36"/>
    <w:rsid w:val="00D07B52"/>
    <w:rsid w:val="00D07C59"/>
    <w:rsid w:val="00D07FB7"/>
    <w:rsid w:val="00D107CE"/>
    <w:rsid w:val="00D1096C"/>
    <w:rsid w:val="00D10ADF"/>
    <w:rsid w:val="00D10B52"/>
    <w:rsid w:val="00D10EDE"/>
    <w:rsid w:val="00D10FBF"/>
    <w:rsid w:val="00D110B6"/>
    <w:rsid w:val="00D110FB"/>
    <w:rsid w:val="00D1122D"/>
    <w:rsid w:val="00D1146F"/>
    <w:rsid w:val="00D1172B"/>
    <w:rsid w:val="00D1173E"/>
    <w:rsid w:val="00D11B95"/>
    <w:rsid w:val="00D11F0D"/>
    <w:rsid w:val="00D11FAB"/>
    <w:rsid w:val="00D11FC4"/>
    <w:rsid w:val="00D12B62"/>
    <w:rsid w:val="00D12E73"/>
    <w:rsid w:val="00D12EDA"/>
    <w:rsid w:val="00D138F4"/>
    <w:rsid w:val="00D1399F"/>
    <w:rsid w:val="00D14180"/>
    <w:rsid w:val="00D141CF"/>
    <w:rsid w:val="00D14A8E"/>
    <w:rsid w:val="00D14C82"/>
    <w:rsid w:val="00D14D69"/>
    <w:rsid w:val="00D14F18"/>
    <w:rsid w:val="00D150DF"/>
    <w:rsid w:val="00D15806"/>
    <w:rsid w:val="00D1593D"/>
    <w:rsid w:val="00D159FE"/>
    <w:rsid w:val="00D15B6A"/>
    <w:rsid w:val="00D15C02"/>
    <w:rsid w:val="00D15C55"/>
    <w:rsid w:val="00D1603B"/>
    <w:rsid w:val="00D160F3"/>
    <w:rsid w:val="00D16113"/>
    <w:rsid w:val="00D16183"/>
    <w:rsid w:val="00D166AF"/>
    <w:rsid w:val="00D16EE4"/>
    <w:rsid w:val="00D172A4"/>
    <w:rsid w:val="00D1791E"/>
    <w:rsid w:val="00D17C14"/>
    <w:rsid w:val="00D2002D"/>
    <w:rsid w:val="00D200BC"/>
    <w:rsid w:val="00D207E2"/>
    <w:rsid w:val="00D20AA8"/>
    <w:rsid w:val="00D20B63"/>
    <w:rsid w:val="00D20C5B"/>
    <w:rsid w:val="00D20FAE"/>
    <w:rsid w:val="00D20FB3"/>
    <w:rsid w:val="00D21496"/>
    <w:rsid w:val="00D2149C"/>
    <w:rsid w:val="00D21595"/>
    <w:rsid w:val="00D2177D"/>
    <w:rsid w:val="00D21FFA"/>
    <w:rsid w:val="00D22038"/>
    <w:rsid w:val="00D2216F"/>
    <w:rsid w:val="00D224D1"/>
    <w:rsid w:val="00D227E4"/>
    <w:rsid w:val="00D22945"/>
    <w:rsid w:val="00D22B4C"/>
    <w:rsid w:val="00D22C00"/>
    <w:rsid w:val="00D22C8F"/>
    <w:rsid w:val="00D23128"/>
    <w:rsid w:val="00D235A0"/>
    <w:rsid w:val="00D236D8"/>
    <w:rsid w:val="00D23A39"/>
    <w:rsid w:val="00D23A4B"/>
    <w:rsid w:val="00D23D68"/>
    <w:rsid w:val="00D240AC"/>
    <w:rsid w:val="00D241E1"/>
    <w:rsid w:val="00D243DA"/>
    <w:rsid w:val="00D246E7"/>
    <w:rsid w:val="00D2507B"/>
    <w:rsid w:val="00D25290"/>
    <w:rsid w:val="00D25380"/>
    <w:rsid w:val="00D2546F"/>
    <w:rsid w:val="00D254C6"/>
    <w:rsid w:val="00D255FA"/>
    <w:rsid w:val="00D25695"/>
    <w:rsid w:val="00D25823"/>
    <w:rsid w:val="00D259FE"/>
    <w:rsid w:val="00D25AEE"/>
    <w:rsid w:val="00D25D39"/>
    <w:rsid w:val="00D260F5"/>
    <w:rsid w:val="00D2625A"/>
    <w:rsid w:val="00D2628C"/>
    <w:rsid w:val="00D262EC"/>
    <w:rsid w:val="00D263C6"/>
    <w:rsid w:val="00D26473"/>
    <w:rsid w:val="00D26E75"/>
    <w:rsid w:val="00D26FE6"/>
    <w:rsid w:val="00D27034"/>
    <w:rsid w:val="00D270E1"/>
    <w:rsid w:val="00D272CD"/>
    <w:rsid w:val="00D273B3"/>
    <w:rsid w:val="00D27418"/>
    <w:rsid w:val="00D27487"/>
    <w:rsid w:val="00D278FD"/>
    <w:rsid w:val="00D27A57"/>
    <w:rsid w:val="00D27AD6"/>
    <w:rsid w:val="00D27EEF"/>
    <w:rsid w:val="00D30242"/>
    <w:rsid w:val="00D302F8"/>
    <w:rsid w:val="00D303FD"/>
    <w:rsid w:val="00D3053A"/>
    <w:rsid w:val="00D306AE"/>
    <w:rsid w:val="00D30786"/>
    <w:rsid w:val="00D30B37"/>
    <w:rsid w:val="00D30DB8"/>
    <w:rsid w:val="00D30EF8"/>
    <w:rsid w:val="00D3113C"/>
    <w:rsid w:val="00D31218"/>
    <w:rsid w:val="00D31579"/>
    <w:rsid w:val="00D317B1"/>
    <w:rsid w:val="00D318B3"/>
    <w:rsid w:val="00D31A2A"/>
    <w:rsid w:val="00D31E7D"/>
    <w:rsid w:val="00D31EB8"/>
    <w:rsid w:val="00D31F0A"/>
    <w:rsid w:val="00D31F5A"/>
    <w:rsid w:val="00D325C5"/>
    <w:rsid w:val="00D32DD0"/>
    <w:rsid w:val="00D3317E"/>
    <w:rsid w:val="00D33510"/>
    <w:rsid w:val="00D33748"/>
    <w:rsid w:val="00D339E8"/>
    <w:rsid w:val="00D33AB3"/>
    <w:rsid w:val="00D33D98"/>
    <w:rsid w:val="00D33F60"/>
    <w:rsid w:val="00D341DD"/>
    <w:rsid w:val="00D34378"/>
    <w:rsid w:val="00D346D9"/>
    <w:rsid w:val="00D34CAB"/>
    <w:rsid w:val="00D34CC7"/>
    <w:rsid w:val="00D3505F"/>
    <w:rsid w:val="00D35060"/>
    <w:rsid w:val="00D3514A"/>
    <w:rsid w:val="00D35268"/>
    <w:rsid w:val="00D35275"/>
    <w:rsid w:val="00D354ED"/>
    <w:rsid w:val="00D35548"/>
    <w:rsid w:val="00D3576C"/>
    <w:rsid w:val="00D357CD"/>
    <w:rsid w:val="00D3596C"/>
    <w:rsid w:val="00D35AFF"/>
    <w:rsid w:val="00D35D41"/>
    <w:rsid w:val="00D35ED3"/>
    <w:rsid w:val="00D36216"/>
    <w:rsid w:val="00D3703F"/>
    <w:rsid w:val="00D377A3"/>
    <w:rsid w:val="00D378B4"/>
    <w:rsid w:val="00D37950"/>
    <w:rsid w:val="00D37C01"/>
    <w:rsid w:val="00D37D2F"/>
    <w:rsid w:val="00D37D7D"/>
    <w:rsid w:val="00D37F3A"/>
    <w:rsid w:val="00D37FA7"/>
    <w:rsid w:val="00D400F2"/>
    <w:rsid w:val="00D402A8"/>
    <w:rsid w:val="00D404C1"/>
    <w:rsid w:val="00D40573"/>
    <w:rsid w:val="00D40838"/>
    <w:rsid w:val="00D40DDF"/>
    <w:rsid w:val="00D40E2E"/>
    <w:rsid w:val="00D40E85"/>
    <w:rsid w:val="00D40EC9"/>
    <w:rsid w:val="00D410C6"/>
    <w:rsid w:val="00D41372"/>
    <w:rsid w:val="00D415FC"/>
    <w:rsid w:val="00D416D6"/>
    <w:rsid w:val="00D41962"/>
    <w:rsid w:val="00D41BD5"/>
    <w:rsid w:val="00D41FCD"/>
    <w:rsid w:val="00D4205A"/>
    <w:rsid w:val="00D420F8"/>
    <w:rsid w:val="00D425F7"/>
    <w:rsid w:val="00D42D11"/>
    <w:rsid w:val="00D42FE3"/>
    <w:rsid w:val="00D433F5"/>
    <w:rsid w:val="00D43566"/>
    <w:rsid w:val="00D4383D"/>
    <w:rsid w:val="00D4387F"/>
    <w:rsid w:val="00D438BC"/>
    <w:rsid w:val="00D438E2"/>
    <w:rsid w:val="00D4394F"/>
    <w:rsid w:val="00D44353"/>
    <w:rsid w:val="00D445D1"/>
    <w:rsid w:val="00D445FF"/>
    <w:rsid w:val="00D44733"/>
    <w:rsid w:val="00D44917"/>
    <w:rsid w:val="00D449A3"/>
    <w:rsid w:val="00D44BB6"/>
    <w:rsid w:val="00D44C39"/>
    <w:rsid w:val="00D44CED"/>
    <w:rsid w:val="00D44D80"/>
    <w:rsid w:val="00D44DA2"/>
    <w:rsid w:val="00D4522A"/>
    <w:rsid w:val="00D4577B"/>
    <w:rsid w:val="00D459CC"/>
    <w:rsid w:val="00D45E5B"/>
    <w:rsid w:val="00D46128"/>
    <w:rsid w:val="00D465A4"/>
    <w:rsid w:val="00D4689D"/>
    <w:rsid w:val="00D46BD2"/>
    <w:rsid w:val="00D46E16"/>
    <w:rsid w:val="00D46EF7"/>
    <w:rsid w:val="00D4772B"/>
    <w:rsid w:val="00D4781D"/>
    <w:rsid w:val="00D47CA2"/>
    <w:rsid w:val="00D500A4"/>
    <w:rsid w:val="00D50573"/>
    <w:rsid w:val="00D506C8"/>
    <w:rsid w:val="00D506E0"/>
    <w:rsid w:val="00D50787"/>
    <w:rsid w:val="00D512DB"/>
    <w:rsid w:val="00D51395"/>
    <w:rsid w:val="00D51543"/>
    <w:rsid w:val="00D518B6"/>
    <w:rsid w:val="00D51B89"/>
    <w:rsid w:val="00D51F11"/>
    <w:rsid w:val="00D520DC"/>
    <w:rsid w:val="00D524D9"/>
    <w:rsid w:val="00D52531"/>
    <w:rsid w:val="00D52B0C"/>
    <w:rsid w:val="00D52BE3"/>
    <w:rsid w:val="00D530B6"/>
    <w:rsid w:val="00D53780"/>
    <w:rsid w:val="00D53BA1"/>
    <w:rsid w:val="00D53DA6"/>
    <w:rsid w:val="00D53E84"/>
    <w:rsid w:val="00D5400B"/>
    <w:rsid w:val="00D54193"/>
    <w:rsid w:val="00D546EE"/>
    <w:rsid w:val="00D54B2A"/>
    <w:rsid w:val="00D54C94"/>
    <w:rsid w:val="00D54D6A"/>
    <w:rsid w:val="00D54DDC"/>
    <w:rsid w:val="00D54E15"/>
    <w:rsid w:val="00D551BA"/>
    <w:rsid w:val="00D552FD"/>
    <w:rsid w:val="00D55367"/>
    <w:rsid w:val="00D55571"/>
    <w:rsid w:val="00D55785"/>
    <w:rsid w:val="00D5585F"/>
    <w:rsid w:val="00D558DC"/>
    <w:rsid w:val="00D55B11"/>
    <w:rsid w:val="00D55B25"/>
    <w:rsid w:val="00D55D1C"/>
    <w:rsid w:val="00D55D7C"/>
    <w:rsid w:val="00D56128"/>
    <w:rsid w:val="00D5637F"/>
    <w:rsid w:val="00D56481"/>
    <w:rsid w:val="00D565D3"/>
    <w:rsid w:val="00D5686D"/>
    <w:rsid w:val="00D56998"/>
    <w:rsid w:val="00D56D6C"/>
    <w:rsid w:val="00D56EA2"/>
    <w:rsid w:val="00D56F94"/>
    <w:rsid w:val="00D57058"/>
    <w:rsid w:val="00D5746E"/>
    <w:rsid w:val="00D576F4"/>
    <w:rsid w:val="00D57D38"/>
    <w:rsid w:val="00D57F8B"/>
    <w:rsid w:val="00D6003A"/>
    <w:rsid w:val="00D60377"/>
    <w:rsid w:val="00D60568"/>
    <w:rsid w:val="00D60995"/>
    <w:rsid w:val="00D60B14"/>
    <w:rsid w:val="00D60BC7"/>
    <w:rsid w:val="00D61143"/>
    <w:rsid w:val="00D6127B"/>
    <w:rsid w:val="00D612E9"/>
    <w:rsid w:val="00D61789"/>
    <w:rsid w:val="00D61ECA"/>
    <w:rsid w:val="00D62181"/>
    <w:rsid w:val="00D621FB"/>
    <w:rsid w:val="00D62334"/>
    <w:rsid w:val="00D6272B"/>
    <w:rsid w:val="00D6285C"/>
    <w:rsid w:val="00D628DA"/>
    <w:rsid w:val="00D62B0E"/>
    <w:rsid w:val="00D62D78"/>
    <w:rsid w:val="00D62D8F"/>
    <w:rsid w:val="00D62DBB"/>
    <w:rsid w:val="00D62E14"/>
    <w:rsid w:val="00D62E8F"/>
    <w:rsid w:val="00D63129"/>
    <w:rsid w:val="00D63172"/>
    <w:rsid w:val="00D63304"/>
    <w:rsid w:val="00D6340A"/>
    <w:rsid w:val="00D63615"/>
    <w:rsid w:val="00D637E8"/>
    <w:rsid w:val="00D63B4E"/>
    <w:rsid w:val="00D640C5"/>
    <w:rsid w:val="00D64563"/>
    <w:rsid w:val="00D64A39"/>
    <w:rsid w:val="00D64B17"/>
    <w:rsid w:val="00D64D25"/>
    <w:rsid w:val="00D64D5B"/>
    <w:rsid w:val="00D64F91"/>
    <w:rsid w:val="00D65007"/>
    <w:rsid w:val="00D65051"/>
    <w:rsid w:val="00D65119"/>
    <w:rsid w:val="00D65248"/>
    <w:rsid w:val="00D65417"/>
    <w:rsid w:val="00D6558A"/>
    <w:rsid w:val="00D658B7"/>
    <w:rsid w:val="00D65A34"/>
    <w:rsid w:val="00D65AC0"/>
    <w:rsid w:val="00D65B17"/>
    <w:rsid w:val="00D65CC6"/>
    <w:rsid w:val="00D66041"/>
    <w:rsid w:val="00D6665D"/>
    <w:rsid w:val="00D66778"/>
    <w:rsid w:val="00D6678C"/>
    <w:rsid w:val="00D66982"/>
    <w:rsid w:val="00D66FAC"/>
    <w:rsid w:val="00D67128"/>
    <w:rsid w:val="00D6768F"/>
    <w:rsid w:val="00D676FF"/>
    <w:rsid w:val="00D6774E"/>
    <w:rsid w:val="00D67A2C"/>
    <w:rsid w:val="00D67AF2"/>
    <w:rsid w:val="00D67B0D"/>
    <w:rsid w:val="00D70255"/>
    <w:rsid w:val="00D7050A"/>
    <w:rsid w:val="00D7052D"/>
    <w:rsid w:val="00D70795"/>
    <w:rsid w:val="00D7090F"/>
    <w:rsid w:val="00D70A80"/>
    <w:rsid w:val="00D70B77"/>
    <w:rsid w:val="00D70D50"/>
    <w:rsid w:val="00D70E9A"/>
    <w:rsid w:val="00D71138"/>
    <w:rsid w:val="00D711D9"/>
    <w:rsid w:val="00D712DB"/>
    <w:rsid w:val="00D71374"/>
    <w:rsid w:val="00D716D1"/>
    <w:rsid w:val="00D7173D"/>
    <w:rsid w:val="00D720F1"/>
    <w:rsid w:val="00D721CC"/>
    <w:rsid w:val="00D72477"/>
    <w:rsid w:val="00D725E8"/>
    <w:rsid w:val="00D729D4"/>
    <w:rsid w:val="00D72B44"/>
    <w:rsid w:val="00D72D12"/>
    <w:rsid w:val="00D72F3D"/>
    <w:rsid w:val="00D73217"/>
    <w:rsid w:val="00D73452"/>
    <w:rsid w:val="00D738FE"/>
    <w:rsid w:val="00D739D3"/>
    <w:rsid w:val="00D73D00"/>
    <w:rsid w:val="00D73D66"/>
    <w:rsid w:val="00D73DEF"/>
    <w:rsid w:val="00D7453D"/>
    <w:rsid w:val="00D74797"/>
    <w:rsid w:val="00D7488B"/>
    <w:rsid w:val="00D74A0B"/>
    <w:rsid w:val="00D74C05"/>
    <w:rsid w:val="00D7542E"/>
    <w:rsid w:val="00D7548A"/>
    <w:rsid w:val="00D7565A"/>
    <w:rsid w:val="00D756CC"/>
    <w:rsid w:val="00D758C0"/>
    <w:rsid w:val="00D75AE0"/>
    <w:rsid w:val="00D75B1B"/>
    <w:rsid w:val="00D75C12"/>
    <w:rsid w:val="00D75C80"/>
    <w:rsid w:val="00D75EFC"/>
    <w:rsid w:val="00D7612D"/>
    <w:rsid w:val="00D76280"/>
    <w:rsid w:val="00D76BCD"/>
    <w:rsid w:val="00D77913"/>
    <w:rsid w:val="00D77D01"/>
    <w:rsid w:val="00D77D2A"/>
    <w:rsid w:val="00D77E24"/>
    <w:rsid w:val="00D80351"/>
    <w:rsid w:val="00D80772"/>
    <w:rsid w:val="00D8081F"/>
    <w:rsid w:val="00D80C90"/>
    <w:rsid w:val="00D80DE2"/>
    <w:rsid w:val="00D811DA"/>
    <w:rsid w:val="00D81658"/>
    <w:rsid w:val="00D816C0"/>
    <w:rsid w:val="00D81927"/>
    <w:rsid w:val="00D81CE3"/>
    <w:rsid w:val="00D825D9"/>
    <w:rsid w:val="00D827BE"/>
    <w:rsid w:val="00D8289A"/>
    <w:rsid w:val="00D829E3"/>
    <w:rsid w:val="00D82AB0"/>
    <w:rsid w:val="00D82AD8"/>
    <w:rsid w:val="00D82BA3"/>
    <w:rsid w:val="00D82C76"/>
    <w:rsid w:val="00D83076"/>
    <w:rsid w:val="00D8315E"/>
    <w:rsid w:val="00D839CA"/>
    <w:rsid w:val="00D84066"/>
    <w:rsid w:val="00D84BC0"/>
    <w:rsid w:val="00D852B8"/>
    <w:rsid w:val="00D85454"/>
    <w:rsid w:val="00D856A7"/>
    <w:rsid w:val="00D858E8"/>
    <w:rsid w:val="00D85926"/>
    <w:rsid w:val="00D860C0"/>
    <w:rsid w:val="00D8632F"/>
    <w:rsid w:val="00D86943"/>
    <w:rsid w:val="00D869D3"/>
    <w:rsid w:val="00D86A6C"/>
    <w:rsid w:val="00D86B82"/>
    <w:rsid w:val="00D86F06"/>
    <w:rsid w:val="00D87167"/>
    <w:rsid w:val="00D8725D"/>
    <w:rsid w:val="00D87329"/>
    <w:rsid w:val="00D87743"/>
    <w:rsid w:val="00D877BE"/>
    <w:rsid w:val="00D87B6D"/>
    <w:rsid w:val="00D87E80"/>
    <w:rsid w:val="00D9141A"/>
    <w:rsid w:val="00D9154D"/>
    <w:rsid w:val="00D916B9"/>
    <w:rsid w:val="00D91CF5"/>
    <w:rsid w:val="00D91F31"/>
    <w:rsid w:val="00D91FBC"/>
    <w:rsid w:val="00D92113"/>
    <w:rsid w:val="00D92217"/>
    <w:rsid w:val="00D9222B"/>
    <w:rsid w:val="00D925BF"/>
    <w:rsid w:val="00D927F1"/>
    <w:rsid w:val="00D92D41"/>
    <w:rsid w:val="00D92D9B"/>
    <w:rsid w:val="00D92EEC"/>
    <w:rsid w:val="00D92F2C"/>
    <w:rsid w:val="00D92FA3"/>
    <w:rsid w:val="00D9322E"/>
    <w:rsid w:val="00D932B7"/>
    <w:rsid w:val="00D9330A"/>
    <w:rsid w:val="00D9377A"/>
    <w:rsid w:val="00D93BA6"/>
    <w:rsid w:val="00D93E55"/>
    <w:rsid w:val="00D93FC7"/>
    <w:rsid w:val="00D943D2"/>
    <w:rsid w:val="00D9479F"/>
    <w:rsid w:val="00D949EC"/>
    <w:rsid w:val="00D9537C"/>
    <w:rsid w:val="00D956EB"/>
    <w:rsid w:val="00D9599F"/>
    <w:rsid w:val="00D95D67"/>
    <w:rsid w:val="00D95F83"/>
    <w:rsid w:val="00D96004"/>
    <w:rsid w:val="00D96418"/>
    <w:rsid w:val="00D964D6"/>
    <w:rsid w:val="00D96749"/>
    <w:rsid w:val="00D967E4"/>
    <w:rsid w:val="00D967FD"/>
    <w:rsid w:val="00D969A9"/>
    <w:rsid w:val="00D96C68"/>
    <w:rsid w:val="00D96C9A"/>
    <w:rsid w:val="00D96C9F"/>
    <w:rsid w:val="00D96CE3"/>
    <w:rsid w:val="00D974A1"/>
    <w:rsid w:val="00D97604"/>
    <w:rsid w:val="00D976A9"/>
    <w:rsid w:val="00D9786C"/>
    <w:rsid w:val="00D97A58"/>
    <w:rsid w:val="00D97C3C"/>
    <w:rsid w:val="00DA09B8"/>
    <w:rsid w:val="00DA0DCA"/>
    <w:rsid w:val="00DA0E60"/>
    <w:rsid w:val="00DA127F"/>
    <w:rsid w:val="00DA12DC"/>
    <w:rsid w:val="00DA1401"/>
    <w:rsid w:val="00DA146C"/>
    <w:rsid w:val="00DA1AC0"/>
    <w:rsid w:val="00DA1FDC"/>
    <w:rsid w:val="00DA238F"/>
    <w:rsid w:val="00DA2758"/>
    <w:rsid w:val="00DA2A3E"/>
    <w:rsid w:val="00DA2B5F"/>
    <w:rsid w:val="00DA2C79"/>
    <w:rsid w:val="00DA2FB9"/>
    <w:rsid w:val="00DA3311"/>
    <w:rsid w:val="00DA331F"/>
    <w:rsid w:val="00DA3456"/>
    <w:rsid w:val="00DA350B"/>
    <w:rsid w:val="00DA3A04"/>
    <w:rsid w:val="00DA4264"/>
    <w:rsid w:val="00DA46C7"/>
    <w:rsid w:val="00DA47D8"/>
    <w:rsid w:val="00DA4923"/>
    <w:rsid w:val="00DA4BCA"/>
    <w:rsid w:val="00DA4DD4"/>
    <w:rsid w:val="00DA5127"/>
    <w:rsid w:val="00DA5132"/>
    <w:rsid w:val="00DA531B"/>
    <w:rsid w:val="00DA5BC6"/>
    <w:rsid w:val="00DA5C8B"/>
    <w:rsid w:val="00DA5E56"/>
    <w:rsid w:val="00DA5EF7"/>
    <w:rsid w:val="00DA612B"/>
    <w:rsid w:val="00DA6448"/>
    <w:rsid w:val="00DA6473"/>
    <w:rsid w:val="00DA65D7"/>
    <w:rsid w:val="00DA6B5F"/>
    <w:rsid w:val="00DA7048"/>
    <w:rsid w:val="00DA7185"/>
    <w:rsid w:val="00DA7285"/>
    <w:rsid w:val="00DA76E7"/>
    <w:rsid w:val="00DA784F"/>
    <w:rsid w:val="00DA78BF"/>
    <w:rsid w:val="00DA7976"/>
    <w:rsid w:val="00DB0713"/>
    <w:rsid w:val="00DB0787"/>
    <w:rsid w:val="00DB09B3"/>
    <w:rsid w:val="00DB0C26"/>
    <w:rsid w:val="00DB139D"/>
    <w:rsid w:val="00DB16DA"/>
    <w:rsid w:val="00DB1983"/>
    <w:rsid w:val="00DB1A3C"/>
    <w:rsid w:val="00DB1EB0"/>
    <w:rsid w:val="00DB2324"/>
    <w:rsid w:val="00DB23C4"/>
    <w:rsid w:val="00DB2EAC"/>
    <w:rsid w:val="00DB3571"/>
    <w:rsid w:val="00DB35B8"/>
    <w:rsid w:val="00DB362A"/>
    <w:rsid w:val="00DB366B"/>
    <w:rsid w:val="00DB3E8D"/>
    <w:rsid w:val="00DB3F12"/>
    <w:rsid w:val="00DB414D"/>
    <w:rsid w:val="00DB4227"/>
    <w:rsid w:val="00DB4B89"/>
    <w:rsid w:val="00DB4DAA"/>
    <w:rsid w:val="00DB51C0"/>
    <w:rsid w:val="00DB522A"/>
    <w:rsid w:val="00DB52E8"/>
    <w:rsid w:val="00DB55BF"/>
    <w:rsid w:val="00DB574B"/>
    <w:rsid w:val="00DB5ABE"/>
    <w:rsid w:val="00DB5E6E"/>
    <w:rsid w:val="00DB5EED"/>
    <w:rsid w:val="00DB6037"/>
    <w:rsid w:val="00DB639C"/>
    <w:rsid w:val="00DB6CC2"/>
    <w:rsid w:val="00DB6D41"/>
    <w:rsid w:val="00DB6DE3"/>
    <w:rsid w:val="00DB6E67"/>
    <w:rsid w:val="00DB70AE"/>
    <w:rsid w:val="00DB70E0"/>
    <w:rsid w:val="00DB728C"/>
    <w:rsid w:val="00DB7418"/>
    <w:rsid w:val="00DB749A"/>
    <w:rsid w:val="00DB78E2"/>
    <w:rsid w:val="00DB7D54"/>
    <w:rsid w:val="00DC0234"/>
    <w:rsid w:val="00DC039B"/>
    <w:rsid w:val="00DC07BC"/>
    <w:rsid w:val="00DC08A3"/>
    <w:rsid w:val="00DC0A4B"/>
    <w:rsid w:val="00DC0AB1"/>
    <w:rsid w:val="00DC0B66"/>
    <w:rsid w:val="00DC0EF4"/>
    <w:rsid w:val="00DC1320"/>
    <w:rsid w:val="00DC1724"/>
    <w:rsid w:val="00DC1B85"/>
    <w:rsid w:val="00DC1CBE"/>
    <w:rsid w:val="00DC1DC0"/>
    <w:rsid w:val="00DC1DD5"/>
    <w:rsid w:val="00DC208E"/>
    <w:rsid w:val="00DC226D"/>
    <w:rsid w:val="00DC2362"/>
    <w:rsid w:val="00DC298F"/>
    <w:rsid w:val="00DC2D21"/>
    <w:rsid w:val="00DC3105"/>
    <w:rsid w:val="00DC3332"/>
    <w:rsid w:val="00DC3769"/>
    <w:rsid w:val="00DC38C4"/>
    <w:rsid w:val="00DC39BD"/>
    <w:rsid w:val="00DC3A12"/>
    <w:rsid w:val="00DC3BF7"/>
    <w:rsid w:val="00DC3D05"/>
    <w:rsid w:val="00DC3F0D"/>
    <w:rsid w:val="00DC4131"/>
    <w:rsid w:val="00DC427A"/>
    <w:rsid w:val="00DC4639"/>
    <w:rsid w:val="00DC479A"/>
    <w:rsid w:val="00DC47C2"/>
    <w:rsid w:val="00DC4D57"/>
    <w:rsid w:val="00DC4EF0"/>
    <w:rsid w:val="00DC52FD"/>
    <w:rsid w:val="00DC5440"/>
    <w:rsid w:val="00DC5451"/>
    <w:rsid w:val="00DC5526"/>
    <w:rsid w:val="00DC56FC"/>
    <w:rsid w:val="00DC592D"/>
    <w:rsid w:val="00DC5E9D"/>
    <w:rsid w:val="00DC608A"/>
    <w:rsid w:val="00DC6B26"/>
    <w:rsid w:val="00DC6B90"/>
    <w:rsid w:val="00DC6CA5"/>
    <w:rsid w:val="00DC75AA"/>
    <w:rsid w:val="00DC763A"/>
    <w:rsid w:val="00DC7747"/>
    <w:rsid w:val="00DC7B8D"/>
    <w:rsid w:val="00DD0768"/>
    <w:rsid w:val="00DD0793"/>
    <w:rsid w:val="00DD08C7"/>
    <w:rsid w:val="00DD0AD0"/>
    <w:rsid w:val="00DD0C4B"/>
    <w:rsid w:val="00DD0FE7"/>
    <w:rsid w:val="00DD10A6"/>
    <w:rsid w:val="00DD11BC"/>
    <w:rsid w:val="00DD1766"/>
    <w:rsid w:val="00DD182F"/>
    <w:rsid w:val="00DD1934"/>
    <w:rsid w:val="00DD1AED"/>
    <w:rsid w:val="00DD1B2A"/>
    <w:rsid w:val="00DD1B97"/>
    <w:rsid w:val="00DD1FDB"/>
    <w:rsid w:val="00DD202B"/>
    <w:rsid w:val="00DD2512"/>
    <w:rsid w:val="00DD25B7"/>
    <w:rsid w:val="00DD27D4"/>
    <w:rsid w:val="00DD3580"/>
    <w:rsid w:val="00DD35A7"/>
    <w:rsid w:val="00DD38A8"/>
    <w:rsid w:val="00DD38E2"/>
    <w:rsid w:val="00DD3B2C"/>
    <w:rsid w:val="00DD3D79"/>
    <w:rsid w:val="00DD4329"/>
    <w:rsid w:val="00DD46D8"/>
    <w:rsid w:val="00DD48A2"/>
    <w:rsid w:val="00DD48D9"/>
    <w:rsid w:val="00DD4A81"/>
    <w:rsid w:val="00DD4F53"/>
    <w:rsid w:val="00DD4F8B"/>
    <w:rsid w:val="00DD507D"/>
    <w:rsid w:val="00DD66C6"/>
    <w:rsid w:val="00DD66EA"/>
    <w:rsid w:val="00DD6701"/>
    <w:rsid w:val="00DD6D00"/>
    <w:rsid w:val="00DD6E2E"/>
    <w:rsid w:val="00DD6E55"/>
    <w:rsid w:val="00DD74F6"/>
    <w:rsid w:val="00DD75F6"/>
    <w:rsid w:val="00DE00BD"/>
    <w:rsid w:val="00DE0340"/>
    <w:rsid w:val="00DE0476"/>
    <w:rsid w:val="00DE05B8"/>
    <w:rsid w:val="00DE05C1"/>
    <w:rsid w:val="00DE0661"/>
    <w:rsid w:val="00DE06FB"/>
    <w:rsid w:val="00DE0775"/>
    <w:rsid w:val="00DE0915"/>
    <w:rsid w:val="00DE0CDB"/>
    <w:rsid w:val="00DE0E01"/>
    <w:rsid w:val="00DE0F38"/>
    <w:rsid w:val="00DE122D"/>
    <w:rsid w:val="00DE1283"/>
    <w:rsid w:val="00DE1DC7"/>
    <w:rsid w:val="00DE1E1D"/>
    <w:rsid w:val="00DE1E3B"/>
    <w:rsid w:val="00DE212B"/>
    <w:rsid w:val="00DE2893"/>
    <w:rsid w:val="00DE2E5C"/>
    <w:rsid w:val="00DE3056"/>
    <w:rsid w:val="00DE3683"/>
    <w:rsid w:val="00DE36EE"/>
    <w:rsid w:val="00DE3725"/>
    <w:rsid w:val="00DE3C58"/>
    <w:rsid w:val="00DE3F1D"/>
    <w:rsid w:val="00DE4487"/>
    <w:rsid w:val="00DE46F0"/>
    <w:rsid w:val="00DE4709"/>
    <w:rsid w:val="00DE4715"/>
    <w:rsid w:val="00DE49E7"/>
    <w:rsid w:val="00DE4BA6"/>
    <w:rsid w:val="00DE4CD7"/>
    <w:rsid w:val="00DE4E2D"/>
    <w:rsid w:val="00DE5268"/>
    <w:rsid w:val="00DE564D"/>
    <w:rsid w:val="00DE570D"/>
    <w:rsid w:val="00DE5746"/>
    <w:rsid w:val="00DE5975"/>
    <w:rsid w:val="00DE5B11"/>
    <w:rsid w:val="00DE5C0A"/>
    <w:rsid w:val="00DE6304"/>
    <w:rsid w:val="00DE630C"/>
    <w:rsid w:val="00DE6350"/>
    <w:rsid w:val="00DE6767"/>
    <w:rsid w:val="00DE6952"/>
    <w:rsid w:val="00DE6ACB"/>
    <w:rsid w:val="00DE7289"/>
    <w:rsid w:val="00DE72E2"/>
    <w:rsid w:val="00DE74D1"/>
    <w:rsid w:val="00DE772F"/>
    <w:rsid w:val="00DE77D8"/>
    <w:rsid w:val="00DE7E92"/>
    <w:rsid w:val="00DF00C3"/>
    <w:rsid w:val="00DF00F7"/>
    <w:rsid w:val="00DF09F8"/>
    <w:rsid w:val="00DF0B07"/>
    <w:rsid w:val="00DF1033"/>
    <w:rsid w:val="00DF1057"/>
    <w:rsid w:val="00DF1714"/>
    <w:rsid w:val="00DF1A15"/>
    <w:rsid w:val="00DF1E4A"/>
    <w:rsid w:val="00DF1FB0"/>
    <w:rsid w:val="00DF2040"/>
    <w:rsid w:val="00DF2C34"/>
    <w:rsid w:val="00DF2C93"/>
    <w:rsid w:val="00DF2D4F"/>
    <w:rsid w:val="00DF2E1E"/>
    <w:rsid w:val="00DF2FDF"/>
    <w:rsid w:val="00DF35EB"/>
    <w:rsid w:val="00DF3911"/>
    <w:rsid w:val="00DF3B61"/>
    <w:rsid w:val="00DF4184"/>
    <w:rsid w:val="00DF4C8F"/>
    <w:rsid w:val="00DF5117"/>
    <w:rsid w:val="00DF53EF"/>
    <w:rsid w:val="00DF56FF"/>
    <w:rsid w:val="00DF5E60"/>
    <w:rsid w:val="00DF666A"/>
    <w:rsid w:val="00DF666D"/>
    <w:rsid w:val="00DF6A0F"/>
    <w:rsid w:val="00DF6C06"/>
    <w:rsid w:val="00DF728F"/>
    <w:rsid w:val="00DF75B0"/>
    <w:rsid w:val="00DF7A65"/>
    <w:rsid w:val="00DF7D5D"/>
    <w:rsid w:val="00DF7D7D"/>
    <w:rsid w:val="00DF7FBB"/>
    <w:rsid w:val="00E00379"/>
    <w:rsid w:val="00E003CA"/>
    <w:rsid w:val="00E0069F"/>
    <w:rsid w:val="00E008D7"/>
    <w:rsid w:val="00E01198"/>
    <w:rsid w:val="00E01450"/>
    <w:rsid w:val="00E01A2B"/>
    <w:rsid w:val="00E01F10"/>
    <w:rsid w:val="00E02189"/>
    <w:rsid w:val="00E022C1"/>
    <w:rsid w:val="00E026CE"/>
    <w:rsid w:val="00E02D97"/>
    <w:rsid w:val="00E02E3F"/>
    <w:rsid w:val="00E02FB0"/>
    <w:rsid w:val="00E02FDD"/>
    <w:rsid w:val="00E032A5"/>
    <w:rsid w:val="00E034C4"/>
    <w:rsid w:val="00E039C0"/>
    <w:rsid w:val="00E039E9"/>
    <w:rsid w:val="00E03A06"/>
    <w:rsid w:val="00E03A3C"/>
    <w:rsid w:val="00E03ABA"/>
    <w:rsid w:val="00E042B9"/>
    <w:rsid w:val="00E042BA"/>
    <w:rsid w:val="00E0437C"/>
    <w:rsid w:val="00E04439"/>
    <w:rsid w:val="00E044FD"/>
    <w:rsid w:val="00E04694"/>
    <w:rsid w:val="00E04ABE"/>
    <w:rsid w:val="00E04D05"/>
    <w:rsid w:val="00E05464"/>
    <w:rsid w:val="00E05491"/>
    <w:rsid w:val="00E0565A"/>
    <w:rsid w:val="00E058A4"/>
    <w:rsid w:val="00E05947"/>
    <w:rsid w:val="00E066F9"/>
    <w:rsid w:val="00E068D5"/>
    <w:rsid w:val="00E0692F"/>
    <w:rsid w:val="00E06AE0"/>
    <w:rsid w:val="00E06F74"/>
    <w:rsid w:val="00E07047"/>
    <w:rsid w:val="00E07076"/>
    <w:rsid w:val="00E071EA"/>
    <w:rsid w:val="00E07405"/>
    <w:rsid w:val="00E07A61"/>
    <w:rsid w:val="00E07BCB"/>
    <w:rsid w:val="00E103FE"/>
    <w:rsid w:val="00E1071C"/>
    <w:rsid w:val="00E10884"/>
    <w:rsid w:val="00E109A0"/>
    <w:rsid w:val="00E10A6D"/>
    <w:rsid w:val="00E10B75"/>
    <w:rsid w:val="00E10F70"/>
    <w:rsid w:val="00E1105E"/>
    <w:rsid w:val="00E1107F"/>
    <w:rsid w:val="00E111D6"/>
    <w:rsid w:val="00E111FF"/>
    <w:rsid w:val="00E115AB"/>
    <w:rsid w:val="00E1190E"/>
    <w:rsid w:val="00E1198E"/>
    <w:rsid w:val="00E11BF5"/>
    <w:rsid w:val="00E11E41"/>
    <w:rsid w:val="00E12358"/>
    <w:rsid w:val="00E12414"/>
    <w:rsid w:val="00E1247B"/>
    <w:rsid w:val="00E1249E"/>
    <w:rsid w:val="00E124AB"/>
    <w:rsid w:val="00E1280D"/>
    <w:rsid w:val="00E12D45"/>
    <w:rsid w:val="00E12E32"/>
    <w:rsid w:val="00E13085"/>
    <w:rsid w:val="00E131B8"/>
    <w:rsid w:val="00E133FA"/>
    <w:rsid w:val="00E13404"/>
    <w:rsid w:val="00E13546"/>
    <w:rsid w:val="00E136B9"/>
    <w:rsid w:val="00E13E9D"/>
    <w:rsid w:val="00E13F49"/>
    <w:rsid w:val="00E1414F"/>
    <w:rsid w:val="00E14397"/>
    <w:rsid w:val="00E14595"/>
    <w:rsid w:val="00E146F4"/>
    <w:rsid w:val="00E14AE9"/>
    <w:rsid w:val="00E14BEB"/>
    <w:rsid w:val="00E14C53"/>
    <w:rsid w:val="00E14D05"/>
    <w:rsid w:val="00E14FEB"/>
    <w:rsid w:val="00E150CC"/>
    <w:rsid w:val="00E15190"/>
    <w:rsid w:val="00E15859"/>
    <w:rsid w:val="00E16423"/>
    <w:rsid w:val="00E165EC"/>
    <w:rsid w:val="00E168F8"/>
    <w:rsid w:val="00E1753E"/>
    <w:rsid w:val="00E17885"/>
    <w:rsid w:val="00E178DD"/>
    <w:rsid w:val="00E17AEA"/>
    <w:rsid w:val="00E201AE"/>
    <w:rsid w:val="00E203BB"/>
    <w:rsid w:val="00E206D6"/>
    <w:rsid w:val="00E20940"/>
    <w:rsid w:val="00E20BAF"/>
    <w:rsid w:val="00E20D47"/>
    <w:rsid w:val="00E210F9"/>
    <w:rsid w:val="00E2112C"/>
    <w:rsid w:val="00E21433"/>
    <w:rsid w:val="00E2157C"/>
    <w:rsid w:val="00E21D47"/>
    <w:rsid w:val="00E21DFF"/>
    <w:rsid w:val="00E22182"/>
    <w:rsid w:val="00E22AC3"/>
    <w:rsid w:val="00E22C19"/>
    <w:rsid w:val="00E23133"/>
    <w:rsid w:val="00E231CF"/>
    <w:rsid w:val="00E23310"/>
    <w:rsid w:val="00E2339A"/>
    <w:rsid w:val="00E235EE"/>
    <w:rsid w:val="00E23A93"/>
    <w:rsid w:val="00E23B15"/>
    <w:rsid w:val="00E23FB3"/>
    <w:rsid w:val="00E24395"/>
    <w:rsid w:val="00E24823"/>
    <w:rsid w:val="00E2484A"/>
    <w:rsid w:val="00E2485E"/>
    <w:rsid w:val="00E24BA7"/>
    <w:rsid w:val="00E24E9D"/>
    <w:rsid w:val="00E2530F"/>
    <w:rsid w:val="00E25536"/>
    <w:rsid w:val="00E25DE6"/>
    <w:rsid w:val="00E2616C"/>
    <w:rsid w:val="00E26591"/>
    <w:rsid w:val="00E26614"/>
    <w:rsid w:val="00E2724C"/>
    <w:rsid w:val="00E27365"/>
    <w:rsid w:val="00E276A8"/>
    <w:rsid w:val="00E279B5"/>
    <w:rsid w:val="00E27D4E"/>
    <w:rsid w:val="00E27D65"/>
    <w:rsid w:val="00E27F17"/>
    <w:rsid w:val="00E30306"/>
    <w:rsid w:val="00E3059D"/>
    <w:rsid w:val="00E30985"/>
    <w:rsid w:val="00E30A8F"/>
    <w:rsid w:val="00E30BF0"/>
    <w:rsid w:val="00E30E91"/>
    <w:rsid w:val="00E31046"/>
    <w:rsid w:val="00E3133E"/>
    <w:rsid w:val="00E313EB"/>
    <w:rsid w:val="00E3153E"/>
    <w:rsid w:val="00E31A5F"/>
    <w:rsid w:val="00E31B46"/>
    <w:rsid w:val="00E31CFA"/>
    <w:rsid w:val="00E320DF"/>
    <w:rsid w:val="00E32405"/>
    <w:rsid w:val="00E3258B"/>
    <w:rsid w:val="00E325FF"/>
    <w:rsid w:val="00E32633"/>
    <w:rsid w:val="00E3292D"/>
    <w:rsid w:val="00E32C3F"/>
    <w:rsid w:val="00E33391"/>
    <w:rsid w:val="00E33588"/>
    <w:rsid w:val="00E335C7"/>
    <w:rsid w:val="00E338C7"/>
    <w:rsid w:val="00E338E2"/>
    <w:rsid w:val="00E338E6"/>
    <w:rsid w:val="00E339BC"/>
    <w:rsid w:val="00E33B3D"/>
    <w:rsid w:val="00E34499"/>
    <w:rsid w:val="00E344A6"/>
    <w:rsid w:val="00E34558"/>
    <w:rsid w:val="00E345B8"/>
    <w:rsid w:val="00E34866"/>
    <w:rsid w:val="00E349B1"/>
    <w:rsid w:val="00E34A47"/>
    <w:rsid w:val="00E34DA2"/>
    <w:rsid w:val="00E34E7D"/>
    <w:rsid w:val="00E351FF"/>
    <w:rsid w:val="00E35230"/>
    <w:rsid w:val="00E35334"/>
    <w:rsid w:val="00E353F4"/>
    <w:rsid w:val="00E35466"/>
    <w:rsid w:val="00E355E5"/>
    <w:rsid w:val="00E35771"/>
    <w:rsid w:val="00E3586D"/>
    <w:rsid w:val="00E35AA1"/>
    <w:rsid w:val="00E35CA8"/>
    <w:rsid w:val="00E361F4"/>
    <w:rsid w:val="00E365B1"/>
    <w:rsid w:val="00E36685"/>
    <w:rsid w:val="00E36BC0"/>
    <w:rsid w:val="00E36E15"/>
    <w:rsid w:val="00E36EF2"/>
    <w:rsid w:val="00E37126"/>
    <w:rsid w:val="00E3746A"/>
    <w:rsid w:val="00E37922"/>
    <w:rsid w:val="00E37A3F"/>
    <w:rsid w:val="00E37BAF"/>
    <w:rsid w:val="00E37BEC"/>
    <w:rsid w:val="00E37BFF"/>
    <w:rsid w:val="00E40235"/>
    <w:rsid w:val="00E4036A"/>
    <w:rsid w:val="00E40F20"/>
    <w:rsid w:val="00E411DA"/>
    <w:rsid w:val="00E41861"/>
    <w:rsid w:val="00E4199E"/>
    <w:rsid w:val="00E419FB"/>
    <w:rsid w:val="00E41C32"/>
    <w:rsid w:val="00E41D8D"/>
    <w:rsid w:val="00E41EDE"/>
    <w:rsid w:val="00E42143"/>
    <w:rsid w:val="00E4250A"/>
    <w:rsid w:val="00E429E0"/>
    <w:rsid w:val="00E42E39"/>
    <w:rsid w:val="00E42EF4"/>
    <w:rsid w:val="00E4300D"/>
    <w:rsid w:val="00E43933"/>
    <w:rsid w:val="00E4451E"/>
    <w:rsid w:val="00E44CA2"/>
    <w:rsid w:val="00E44F3F"/>
    <w:rsid w:val="00E45380"/>
    <w:rsid w:val="00E457FF"/>
    <w:rsid w:val="00E45B1E"/>
    <w:rsid w:val="00E4628B"/>
    <w:rsid w:val="00E4642C"/>
    <w:rsid w:val="00E46882"/>
    <w:rsid w:val="00E46B5A"/>
    <w:rsid w:val="00E46C34"/>
    <w:rsid w:val="00E46CC9"/>
    <w:rsid w:val="00E46D52"/>
    <w:rsid w:val="00E46DED"/>
    <w:rsid w:val="00E47089"/>
    <w:rsid w:val="00E471C6"/>
    <w:rsid w:val="00E47488"/>
    <w:rsid w:val="00E47581"/>
    <w:rsid w:val="00E47687"/>
    <w:rsid w:val="00E50084"/>
    <w:rsid w:val="00E5047D"/>
    <w:rsid w:val="00E5058E"/>
    <w:rsid w:val="00E50752"/>
    <w:rsid w:val="00E50778"/>
    <w:rsid w:val="00E50BAA"/>
    <w:rsid w:val="00E50F0F"/>
    <w:rsid w:val="00E510D3"/>
    <w:rsid w:val="00E51C77"/>
    <w:rsid w:val="00E51D12"/>
    <w:rsid w:val="00E51E5E"/>
    <w:rsid w:val="00E51FA8"/>
    <w:rsid w:val="00E5206A"/>
    <w:rsid w:val="00E520D8"/>
    <w:rsid w:val="00E52713"/>
    <w:rsid w:val="00E5294A"/>
    <w:rsid w:val="00E52B2F"/>
    <w:rsid w:val="00E52BF7"/>
    <w:rsid w:val="00E52E9A"/>
    <w:rsid w:val="00E52EFD"/>
    <w:rsid w:val="00E53155"/>
    <w:rsid w:val="00E537E7"/>
    <w:rsid w:val="00E538A1"/>
    <w:rsid w:val="00E53DF3"/>
    <w:rsid w:val="00E54395"/>
    <w:rsid w:val="00E5460E"/>
    <w:rsid w:val="00E546B6"/>
    <w:rsid w:val="00E55084"/>
    <w:rsid w:val="00E556B7"/>
    <w:rsid w:val="00E55920"/>
    <w:rsid w:val="00E55C9B"/>
    <w:rsid w:val="00E5608B"/>
    <w:rsid w:val="00E568B9"/>
    <w:rsid w:val="00E572E3"/>
    <w:rsid w:val="00E57349"/>
    <w:rsid w:val="00E5734B"/>
    <w:rsid w:val="00E576DE"/>
    <w:rsid w:val="00E57D7A"/>
    <w:rsid w:val="00E57E73"/>
    <w:rsid w:val="00E60058"/>
    <w:rsid w:val="00E6017C"/>
    <w:rsid w:val="00E60D21"/>
    <w:rsid w:val="00E60E47"/>
    <w:rsid w:val="00E60EE0"/>
    <w:rsid w:val="00E61042"/>
    <w:rsid w:val="00E6108D"/>
    <w:rsid w:val="00E611C8"/>
    <w:rsid w:val="00E61248"/>
    <w:rsid w:val="00E61276"/>
    <w:rsid w:val="00E61438"/>
    <w:rsid w:val="00E61456"/>
    <w:rsid w:val="00E61634"/>
    <w:rsid w:val="00E61654"/>
    <w:rsid w:val="00E61727"/>
    <w:rsid w:val="00E617B6"/>
    <w:rsid w:val="00E61B4D"/>
    <w:rsid w:val="00E61C88"/>
    <w:rsid w:val="00E61F59"/>
    <w:rsid w:val="00E62243"/>
    <w:rsid w:val="00E62445"/>
    <w:rsid w:val="00E62559"/>
    <w:rsid w:val="00E62952"/>
    <w:rsid w:val="00E62A28"/>
    <w:rsid w:val="00E62BB0"/>
    <w:rsid w:val="00E62F19"/>
    <w:rsid w:val="00E632E9"/>
    <w:rsid w:val="00E634AD"/>
    <w:rsid w:val="00E63896"/>
    <w:rsid w:val="00E63AC5"/>
    <w:rsid w:val="00E63C04"/>
    <w:rsid w:val="00E63CA7"/>
    <w:rsid w:val="00E64204"/>
    <w:rsid w:val="00E6461E"/>
    <w:rsid w:val="00E64714"/>
    <w:rsid w:val="00E64857"/>
    <w:rsid w:val="00E648F7"/>
    <w:rsid w:val="00E64A5D"/>
    <w:rsid w:val="00E64CDC"/>
    <w:rsid w:val="00E652DF"/>
    <w:rsid w:val="00E65531"/>
    <w:rsid w:val="00E6553C"/>
    <w:rsid w:val="00E6565A"/>
    <w:rsid w:val="00E65992"/>
    <w:rsid w:val="00E65A0E"/>
    <w:rsid w:val="00E663FB"/>
    <w:rsid w:val="00E6662A"/>
    <w:rsid w:val="00E667C4"/>
    <w:rsid w:val="00E66936"/>
    <w:rsid w:val="00E66957"/>
    <w:rsid w:val="00E66EC2"/>
    <w:rsid w:val="00E66F79"/>
    <w:rsid w:val="00E6707C"/>
    <w:rsid w:val="00E67129"/>
    <w:rsid w:val="00E6719F"/>
    <w:rsid w:val="00E673A5"/>
    <w:rsid w:val="00E67575"/>
    <w:rsid w:val="00E67A0F"/>
    <w:rsid w:val="00E67B44"/>
    <w:rsid w:val="00E7090F"/>
    <w:rsid w:val="00E70ECD"/>
    <w:rsid w:val="00E70FAB"/>
    <w:rsid w:val="00E710A4"/>
    <w:rsid w:val="00E713D7"/>
    <w:rsid w:val="00E716C7"/>
    <w:rsid w:val="00E71950"/>
    <w:rsid w:val="00E71B73"/>
    <w:rsid w:val="00E71D79"/>
    <w:rsid w:val="00E71E61"/>
    <w:rsid w:val="00E71FA1"/>
    <w:rsid w:val="00E721A5"/>
    <w:rsid w:val="00E721AA"/>
    <w:rsid w:val="00E7223B"/>
    <w:rsid w:val="00E7240C"/>
    <w:rsid w:val="00E72799"/>
    <w:rsid w:val="00E72A72"/>
    <w:rsid w:val="00E73013"/>
    <w:rsid w:val="00E73061"/>
    <w:rsid w:val="00E730AF"/>
    <w:rsid w:val="00E73681"/>
    <w:rsid w:val="00E73A98"/>
    <w:rsid w:val="00E73EDB"/>
    <w:rsid w:val="00E74035"/>
    <w:rsid w:val="00E7469A"/>
    <w:rsid w:val="00E74A0D"/>
    <w:rsid w:val="00E74A79"/>
    <w:rsid w:val="00E74AE9"/>
    <w:rsid w:val="00E74B17"/>
    <w:rsid w:val="00E74B37"/>
    <w:rsid w:val="00E74BA2"/>
    <w:rsid w:val="00E74BDA"/>
    <w:rsid w:val="00E75707"/>
    <w:rsid w:val="00E75C00"/>
    <w:rsid w:val="00E76016"/>
    <w:rsid w:val="00E76076"/>
    <w:rsid w:val="00E7671D"/>
    <w:rsid w:val="00E769DE"/>
    <w:rsid w:val="00E76B7F"/>
    <w:rsid w:val="00E76F36"/>
    <w:rsid w:val="00E76F60"/>
    <w:rsid w:val="00E771D0"/>
    <w:rsid w:val="00E77610"/>
    <w:rsid w:val="00E77765"/>
    <w:rsid w:val="00E803B5"/>
    <w:rsid w:val="00E803CA"/>
    <w:rsid w:val="00E809F5"/>
    <w:rsid w:val="00E80B73"/>
    <w:rsid w:val="00E80CA4"/>
    <w:rsid w:val="00E80D41"/>
    <w:rsid w:val="00E81182"/>
    <w:rsid w:val="00E817F0"/>
    <w:rsid w:val="00E817FC"/>
    <w:rsid w:val="00E81A89"/>
    <w:rsid w:val="00E81B69"/>
    <w:rsid w:val="00E81E23"/>
    <w:rsid w:val="00E81FC6"/>
    <w:rsid w:val="00E82107"/>
    <w:rsid w:val="00E82175"/>
    <w:rsid w:val="00E82284"/>
    <w:rsid w:val="00E82361"/>
    <w:rsid w:val="00E82778"/>
    <w:rsid w:val="00E82993"/>
    <w:rsid w:val="00E82999"/>
    <w:rsid w:val="00E82E91"/>
    <w:rsid w:val="00E83031"/>
    <w:rsid w:val="00E8315E"/>
    <w:rsid w:val="00E8347A"/>
    <w:rsid w:val="00E83687"/>
    <w:rsid w:val="00E83854"/>
    <w:rsid w:val="00E84548"/>
    <w:rsid w:val="00E84628"/>
    <w:rsid w:val="00E847AC"/>
    <w:rsid w:val="00E847E7"/>
    <w:rsid w:val="00E84B45"/>
    <w:rsid w:val="00E84D4C"/>
    <w:rsid w:val="00E8557E"/>
    <w:rsid w:val="00E856FE"/>
    <w:rsid w:val="00E85884"/>
    <w:rsid w:val="00E85CD3"/>
    <w:rsid w:val="00E85D8E"/>
    <w:rsid w:val="00E862C4"/>
    <w:rsid w:val="00E864F5"/>
    <w:rsid w:val="00E86953"/>
    <w:rsid w:val="00E86AD7"/>
    <w:rsid w:val="00E86C52"/>
    <w:rsid w:val="00E86EFA"/>
    <w:rsid w:val="00E87487"/>
    <w:rsid w:val="00E875C2"/>
    <w:rsid w:val="00E87B01"/>
    <w:rsid w:val="00E87C44"/>
    <w:rsid w:val="00E87C80"/>
    <w:rsid w:val="00E90745"/>
    <w:rsid w:val="00E90CF9"/>
    <w:rsid w:val="00E90F13"/>
    <w:rsid w:val="00E91223"/>
    <w:rsid w:val="00E913C6"/>
    <w:rsid w:val="00E918B0"/>
    <w:rsid w:val="00E9196C"/>
    <w:rsid w:val="00E919C0"/>
    <w:rsid w:val="00E91BFB"/>
    <w:rsid w:val="00E924AC"/>
    <w:rsid w:val="00E92553"/>
    <w:rsid w:val="00E92691"/>
    <w:rsid w:val="00E92695"/>
    <w:rsid w:val="00E92939"/>
    <w:rsid w:val="00E9303C"/>
    <w:rsid w:val="00E9365E"/>
    <w:rsid w:val="00E9378F"/>
    <w:rsid w:val="00E93CEE"/>
    <w:rsid w:val="00E940B1"/>
    <w:rsid w:val="00E9432D"/>
    <w:rsid w:val="00E9452C"/>
    <w:rsid w:val="00E94735"/>
    <w:rsid w:val="00E9482E"/>
    <w:rsid w:val="00E94B4B"/>
    <w:rsid w:val="00E94EB0"/>
    <w:rsid w:val="00E95149"/>
    <w:rsid w:val="00E952DA"/>
    <w:rsid w:val="00E95397"/>
    <w:rsid w:val="00E95417"/>
    <w:rsid w:val="00E9566C"/>
    <w:rsid w:val="00E956C9"/>
    <w:rsid w:val="00E9598D"/>
    <w:rsid w:val="00E959A5"/>
    <w:rsid w:val="00E95BB7"/>
    <w:rsid w:val="00E95C22"/>
    <w:rsid w:val="00E95F65"/>
    <w:rsid w:val="00E95F78"/>
    <w:rsid w:val="00E966D3"/>
    <w:rsid w:val="00E96714"/>
    <w:rsid w:val="00E96AB1"/>
    <w:rsid w:val="00E96B9C"/>
    <w:rsid w:val="00E96D23"/>
    <w:rsid w:val="00E96D32"/>
    <w:rsid w:val="00E96FE0"/>
    <w:rsid w:val="00E97109"/>
    <w:rsid w:val="00E97288"/>
    <w:rsid w:val="00E97401"/>
    <w:rsid w:val="00E974FA"/>
    <w:rsid w:val="00E97524"/>
    <w:rsid w:val="00E9767C"/>
    <w:rsid w:val="00E978BC"/>
    <w:rsid w:val="00E97AF0"/>
    <w:rsid w:val="00E97B92"/>
    <w:rsid w:val="00E97DD3"/>
    <w:rsid w:val="00EA00FC"/>
    <w:rsid w:val="00EA0426"/>
    <w:rsid w:val="00EA0F23"/>
    <w:rsid w:val="00EA126E"/>
    <w:rsid w:val="00EA187E"/>
    <w:rsid w:val="00EA1F5B"/>
    <w:rsid w:val="00EA208D"/>
    <w:rsid w:val="00EA2250"/>
    <w:rsid w:val="00EA23AD"/>
    <w:rsid w:val="00EA243C"/>
    <w:rsid w:val="00EA26A6"/>
    <w:rsid w:val="00EA27C0"/>
    <w:rsid w:val="00EA27ED"/>
    <w:rsid w:val="00EA2964"/>
    <w:rsid w:val="00EA2D45"/>
    <w:rsid w:val="00EA2D8A"/>
    <w:rsid w:val="00EA3265"/>
    <w:rsid w:val="00EA3482"/>
    <w:rsid w:val="00EA3632"/>
    <w:rsid w:val="00EA3892"/>
    <w:rsid w:val="00EA3925"/>
    <w:rsid w:val="00EA3A44"/>
    <w:rsid w:val="00EA3D2E"/>
    <w:rsid w:val="00EA3EA8"/>
    <w:rsid w:val="00EA3FDA"/>
    <w:rsid w:val="00EA4450"/>
    <w:rsid w:val="00EA451B"/>
    <w:rsid w:val="00EA464C"/>
    <w:rsid w:val="00EA4696"/>
    <w:rsid w:val="00EA46C2"/>
    <w:rsid w:val="00EA46C9"/>
    <w:rsid w:val="00EA48A0"/>
    <w:rsid w:val="00EA4B26"/>
    <w:rsid w:val="00EA4BA9"/>
    <w:rsid w:val="00EA4DF4"/>
    <w:rsid w:val="00EA4EC4"/>
    <w:rsid w:val="00EA4EE4"/>
    <w:rsid w:val="00EA5363"/>
    <w:rsid w:val="00EA59E9"/>
    <w:rsid w:val="00EA5A0E"/>
    <w:rsid w:val="00EA5A7C"/>
    <w:rsid w:val="00EA5E30"/>
    <w:rsid w:val="00EA608D"/>
    <w:rsid w:val="00EA630F"/>
    <w:rsid w:val="00EA63D0"/>
    <w:rsid w:val="00EA63FB"/>
    <w:rsid w:val="00EA6A25"/>
    <w:rsid w:val="00EA6AF5"/>
    <w:rsid w:val="00EA6C85"/>
    <w:rsid w:val="00EA6D17"/>
    <w:rsid w:val="00EA6D86"/>
    <w:rsid w:val="00EA6D9B"/>
    <w:rsid w:val="00EA6F4B"/>
    <w:rsid w:val="00EA71F9"/>
    <w:rsid w:val="00EA74D6"/>
    <w:rsid w:val="00EA77B1"/>
    <w:rsid w:val="00EA7E5A"/>
    <w:rsid w:val="00EA7EEE"/>
    <w:rsid w:val="00EA7F6C"/>
    <w:rsid w:val="00EA7F9B"/>
    <w:rsid w:val="00EB0098"/>
    <w:rsid w:val="00EB05D6"/>
    <w:rsid w:val="00EB078C"/>
    <w:rsid w:val="00EB0845"/>
    <w:rsid w:val="00EB0A4A"/>
    <w:rsid w:val="00EB0BC0"/>
    <w:rsid w:val="00EB0E73"/>
    <w:rsid w:val="00EB0EC4"/>
    <w:rsid w:val="00EB1172"/>
    <w:rsid w:val="00EB1254"/>
    <w:rsid w:val="00EB12D8"/>
    <w:rsid w:val="00EB1311"/>
    <w:rsid w:val="00EB1B3E"/>
    <w:rsid w:val="00EB1BE5"/>
    <w:rsid w:val="00EB1C7D"/>
    <w:rsid w:val="00EB25E1"/>
    <w:rsid w:val="00EB278E"/>
    <w:rsid w:val="00EB2BBA"/>
    <w:rsid w:val="00EB2F4C"/>
    <w:rsid w:val="00EB33B4"/>
    <w:rsid w:val="00EB3AD2"/>
    <w:rsid w:val="00EB3B2D"/>
    <w:rsid w:val="00EB3D71"/>
    <w:rsid w:val="00EB43F3"/>
    <w:rsid w:val="00EB478D"/>
    <w:rsid w:val="00EB4E61"/>
    <w:rsid w:val="00EB54CA"/>
    <w:rsid w:val="00EB558E"/>
    <w:rsid w:val="00EB560B"/>
    <w:rsid w:val="00EB5956"/>
    <w:rsid w:val="00EB5E3E"/>
    <w:rsid w:val="00EB5ED5"/>
    <w:rsid w:val="00EB62C4"/>
    <w:rsid w:val="00EB6347"/>
    <w:rsid w:val="00EB636F"/>
    <w:rsid w:val="00EB6377"/>
    <w:rsid w:val="00EB6622"/>
    <w:rsid w:val="00EB67E9"/>
    <w:rsid w:val="00EB680D"/>
    <w:rsid w:val="00EB683D"/>
    <w:rsid w:val="00EB6AFA"/>
    <w:rsid w:val="00EB6CB1"/>
    <w:rsid w:val="00EB6D5E"/>
    <w:rsid w:val="00EB6F77"/>
    <w:rsid w:val="00EB6F8B"/>
    <w:rsid w:val="00EB7C57"/>
    <w:rsid w:val="00EB7E51"/>
    <w:rsid w:val="00EC01C2"/>
    <w:rsid w:val="00EC05CB"/>
    <w:rsid w:val="00EC067F"/>
    <w:rsid w:val="00EC0F8C"/>
    <w:rsid w:val="00EC14F5"/>
    <w:rsid w:val="00EC1631"/>
    <w:rsid w:val="00EC1D2E"/>
    <w:rsid w:val="00EC1F2D"/>
    <w:rsid w:val="00EC1F88"/>
    <w:rsid w:val="00EC255C"/>
    <w:rsid w:val="00EC2612"/>
    <w:rsid w:val="00EC26B5"/>
    <w:rsid w:val="00EC286A"/>
    <w:rsid w:val="00EC2BF0"/>
    <w:rsid w:val="00EC2FFF"/>
    <w:rsid w:val="00EC3270"/>
    <w:rsid w:val="00EC33AD"/>
    <w:rsid w:val="00EC363D"/>
    <w:rsid w:val="00EC4303"/>
    <w:rsid w:val="00EC4346"/>
    <w:rsid w:val="00EC472B"/>
    <w:rsid w:val="00EC4B11"/>
    <w:rsid w:val="00EC4C9A"/>
    <w:rsid w:val="00EC51E0"/>
    <w:rsid w:val="00EC5258"/>
    <w:rsid w:val="00EC52BC"/>
    <w:rsid w:val="00EC5656"/>
    <w:rsid w:val="00EC58B1"/>
    <w:rsid w:val="00EC5A8C"/>
    <w:rsid w:val="00EC5A9D"/>
    <w:rsid w:val="00EC5C71"/>
    <w:rsid w:val="00EC5FA5"/>
    <w:rsid w:val="00EC6461"/>
    <w:rsid w:val="00EC6486"/>
    <w:rsid w:val="00EC669C"/>
    <w:rsid w:val="00EC6B2A"/>
    <w:rsid w:val="00EC6BC4"/>
    <w:rsid w:val="00EC6FCA"/>
    <w:rsid w:val="00EC725E"/>
    <w:rsid w:val="00EC7502"/>
    <w:rsid w:val="00EC789B"/>
    <w:rsid w:val="00EC7924"/>
    <w:rsid w:val="00EC7959"/>
    <w:rsid w:val="00EC7CD5"/>
    <w:rsid w:val="00EC7D07"/>
    <w:rsid w:val="00EC7E7F"/>
    <w:rsid w:val="00ED0254"/>
    <w:rsid w:val="00ED0626"/>
    <w:rsid w:val="00ED095A"/>
    <w:rsid w:val="00ED0DB2"/>
    <w:rsid w:val="00ED1074"/>
    <w:rsid w:val="00ED149C"/>
    <w:rsid w:val="00ED1B4E"/>
    <w:rsid w:val="00ED1D4C"/>
    <w:rsid w:val="00ED1E57"/>
    <w:rsid w:val="00ED1FAB"/>
    <w:rsid w:val="00ED242E"/>
    <w:rsid w:val="00ED25FF"/>
    <w:rsid w:val="00ED2791"/>
    <w:rsid w:val="00ED27AA"/>
    <w:rsid w:val="00ED2841"/>
    <w:rsid w:val="00ED2E25"/>
    <w:rsid w:val="00ED2E36"/>
    <w:rsid w:val="00ED2EB0"/>
    <w:rsid w:val="00ED30A5"/>
    <w:rsid w:val="00ED31A1"/>
    <w:rsid w:val="00ED3218"/>
    <w:rsid w:val="00ED37C9"/>
    <w:rsid w:val="00ED3AD4"/>
    <w:rsid w:val="00ED41E4"/>
    <w:rsid w:val="00ED46B1"/>
    <w:rsid w:val="00ED4AF1"/>
    <w:rsid w:val="00ED4EB9"/>
    <w:rsid w:val="00ED4ED4"/>
    <w:rsid w:val="00ED4FBC"/>
    <w:rsid w:val="00ED5012"/>
    <w:rsid w:val="00ED556D"/>
    <w:rsid w:val="00ED565C"/>
    <w:rsid w:val="00ED5904"/>
    <w:rsid w:val="00ED59B0"/>
    <w:rsid w:val="00ED6158"/>
    <w:rsid w:val="00ED652B"/>
    <w:rsid w:val="00ED6689"/>
    <w:rsid w:val="00ED6CAC"/>
    <w:rsid w:val="00ED6E17"/>
    <w:rsid w:val="00ED7124"/>
    <w:rsid w:val="00ED723B"/>
    <w:rsid w:val="00ED72DF"/>
    <w:rsid w:val="00ED74BB"/>
    <w:rsid w:val="00ED7607"/>
    <w:rsid w:val="00ED7BE1"/>
    <w:rsid w:val="00EE002B"/>
    <w:rsid w:val="00EE0D12"/>
    <w:rsid w:val="00EE110F"/>
    <w:rsid w:val="00EE1191"/>
    <w:rsid w:val="00EE11E7"/>
    <w:rsid w:val="00EE1405"/>
    <w:rsid w:val="00EE1525"/>
    <w:rsid w:val="00EE23FC"/>
    <w:rsid w:val="00EE2A12"/>
    <w:rsid w:val="00EE2CB3"/>
    <w:rsid w:val="00EE2EAB"/>
    <w:rsid w:val="00EE3440"/>
    <w:rsid w:val="00EE359C"/>
    <w:rsid w:val="00EE361C"/>
    <w:rsid w:val="00EE38B7"/>
    <w:rsid w:val="00EE39B3"/>
    <w:rsid w:val="00EE3B73"/>
    <w:rsid w:val="00EE3C18"/>
    <w:rsid w:val="00EE3E8D"/>
    <w:rsid w:val="00EE43CA"/>
    <w:rsid w:val="00EE4423"/>
    <w:rsid w:val="00EE44D1"/>
    <w:rsid w:val="00EE44DF"/>
    <w:rsid w:val="00EE46A4"/>
    <w:rsid w:val="00EE4900"/>
    <w:rsid w:val="00EE4A1E"/>
    <w:rsid w:val="00EE4E3A"/>
    <w:rsid w:val="00EE4E73"/>
    <w:rsid w:val="00EE51AA"/>
    <w:rsid w:val="00EE52C5"/>
    <w:rsid w:val="00EE548C"/>
    <w:rsid w:val="00EE55A5"/>
    <w:rsid w:val="00EE5726"/>
    <w:rsid w:val="00EE5AA6"/>
    <w:rsid w:val="00EE5E91"/>
    <w:rsid w:val="00EE6098"/>
    <w:rsid w:val="00EE60FD"/>
    <w:rsid w:val="00EE6403"/>
    <w:rsid w:val="00EE679F"/>
    <w:rsid w:val="00EE68CF"/>
    <w:rsid w:val="00EE69D0"/>
    <w:rsid w:val="00EE6DD0"/>
    <w:rsid w:val="00EE6F4E"/>
    <w:rsid w:val="00EE7205"/>
    <w:rsid w:val="00EE72B7"/>
    <w:rsid w:val="00EE7313"/>
    <w:rsid w:val="00EE7382"/>
    <w:rsid w:val="00EE73A1"/>
    <w:rsid w:val="00EE743F"/>
    <w:rsid w:val="00EE74D1"/>
    <w:rsid w:val="00EE758B"/>
    <w:rsid w:val="00EE78C3"/>
    <w:rsid w:val="00EE7AB5"/>
    <w:rsid w:val="00EE7B9A"/>
    <w:rsid w:val="00EE7BF2"/>
    <w:rsid w:val="00EF000B"/>
    <w:rsid w:val="00EF011C"/>
    <w:rsid w:val="00EF026C"/>
    <w:rsid w:val="00EF064E"/>
    <w:rsid w:val="00EF07D6"/>
    <w:rsid w:val="00EF0838"/>
    <w:rsid w:val="00EF08D5"/>
    <w:rsid w:val="00EF0EF5"/>
    <w:rsid w:val="00EF111B"/>
    <w:rsid w:val="00EF1289"/>
    <w:rsid w:val="00EF171E"/>
    <w:rsid w:val="00EF1773"/>
    <w:rsid w:val="00EF1CF3"/>
    <w:rsid w:val="00EF1E5F"/>
    <w:rsid w:val="00EF221C"/>
    <w:rsid w:val="00EF2364"/>
    <w:rsid w:val="00EF23A6"/>
    <w:rsid w:val="00EF2485"/>
    <w:rsid w:val="00EF262E"/>
    <w:rsid w:val="00EF269F"/>
    <w:rsid w:val="00EF274E"/>
    <w:rsid w:val="00EF2B09"/>
    <w:rsid w:val="00EF2DA4"/>
    <w:rsid w:val="00EF2F9B"/>
    <w:rsid w:val="00EF30A6"/>
    <w:rsid w:val="00EF3233"/>
    <w:rsid w:val="00EF3310"/>
    <w:rsid w:val="00EF339F"/>
    <w:rsid w:val="00EF341A"/>
    <w:rsid w:val="00EF34BF"/>
    <w:rsid w:val="00EF37E0"/>
    <w:rsid w:val="00EF3A91"/>
    <w:rsid w:val="00EF3D7F"/>
    <w:rsid w:val="00EF40C4"/>
    <w:rsid w:val="00EF41D0"/>
    <w:rsid w:val="00EF431B"/>
    <w:rsid w:val="00EF4457"/>
    <w:rsid w:val="00EF4691"/>
    <w:rsid w:val="00EF4971"/>
    <w:rsid w:val="00EF4DD7"/>
    <w:rsid w:val="00EF5031"/>
    <w:rsid w:val="00EF520E"/>
    <w:rsid w:val="00EF55D3"/>
    <w:rsid w:val="00EF56F2"/>
    <w:rsid w:val="00EF5726"/>
    <w:rsid w:val="00EF58F7"/>
    <w:rsid w:val="00EF595D"/>
    <w:rsid w:val="00EF597B"/>
    <w:rsid w:val="00EF5A12"/>
    <w:rsid w:val="00EF5B36"/>
    <w:rsid w:val="00EF5BA3"/>
    <w:rsid w:val="00EF5D55"/>
    <w:rsid w:val="00EF610F"/>
    <w:rsid w:val="00EF658E"/>
    <w:rsid w:val="00EF65FD"/>
    <w:rsid w:val="00EF6905"/>
    <w:rsid w:val="00EF6A70"/>
    <w:rsid w:val="00EF6FA2"/>
    <w:rsid w:val="00EF7038"/>
    <w:rsid w:val="00EF71C9"/>
    <w:rsid w:val="00EF7439"/>
    <w:rsid w:val="00EF752F"/>
    <w:rsid w:val="00EF798C"/>
    <w:rsid w:val="00EF7FA2"/>
    <w:rsid w:val="00EF7FFD"/>
    <w:rsid w:val="00F00034"/>
    <w:rsid w:val="00F002BF"/>
    <w:rsid w:val="00F002FC"/>
    <w:rsid w:val="00F00A13"/>
    <w:rsid w:val="00F00E2F"/>
    <w:rsid w:val="00F00EAB"/>
    <w:rsid w:val="00F014BC"/>
    <w:rsid w:val="00F015EC"/>
    <w:rsid w:val="00F016AB"/>
    <w:rsid w:val="00F01A7E"/>
    <w:rsid w:val="00F02045"/>
    <w:rsid w:val="00F02073"/>
    <w:rsid w:val="00F02121"/>
    <w:rsid w:val="00F02307"/>
    <w:rsid w:val="00F02C46"/>
    <w:rsid w:val="00F02D34"/>
    <w:rsid w:val="00F031B6"/>
    <w:rsid w:val="00F031D5"/>
    <w:rsid w:val="00F03265"/>
    <w:rsid w:val="00F032F3"/>
    <w:rsid w:val="00F034DB"/>
    <w:rsid w:val="00F03702"/>
    <w:rsid w:val="00F039EA"/>
    <w:rsid w:val="00F040C0"/>
    <w:rsid w:val="00F043CC"/>
    <w:rsid w:val="00F0483A"/>
    <w:rsid w:val="00F049B1"/>
    <w:rsid w:val="00F04B1D"/>
    <w:rsid w:val="00F04B23"/>
    <w:rsid w:val="00F04F1D"/>
    <w:rsid w:val="00F05068"/>
    <w:rsid w:val="00F0565C"/>
    <w:rsid w:val="00F05C7B"/>
    <w:rsid w:val="00F05EB2"/>
    <w:rsid w:val="00F05F00"/>
    <w:rsid w:val="00F061D9"/>
    <w:rsid w:val="00F06540"/>
    <w:rsid w:val="00F06556"/>
    <w:rsid w:val="00F0668C"/>
    <w:rsid w:val="00F06ADC"/>
    <w:rsid w:val="00F06C6E"/>
    <w:rsid w:val="00F06FB2"/>
    <w:rsid w:val="00F0701C"/>
    <w:rsid w:val="00F07142"/>
    <w:rsid w:val="00F07503"/>
    <w:rsid w:val="00F078A5"/>
    <w:rsid w:val="00F078FA"/>
    <w:rsid w:val="00F07E11"/>
    <w:rsid w:val="00F07E62"/>
    <w:rsid w:val="00F07EB8"/>
    <w:rsid w:val="00F10050"/>
    <w:rsid w:val="00F10354"/>
    <w:rsid w:val="00F10485"/>
    <w:rsid w:val="00F11320"/>
    <w:rsid w:val="00F11653"/>
    <w:rsid w:val="00F11713"/>
    <w:rsid w:val="00F119A2"/>
    <w:rsid w:val="00F11A33"/>
    <w:rsid w:val="00F1264C"/>
    <w:rsid w:val="00F12ED9"/>
    <w:rsid w:val="00F136DE"/>
    <w:rsid w:val="00F13944"/>
    <w:rsid w:val="00F13C24"/>
    <w:rsid w:val="00F14031"/>
    <w:rsid w:val="00F142D4"/>
    <w:rsid w:val="00F14CA3"/>
    <w:rsid w:val="00F14CC3"/>
    <w:rsid w:val="00F14CF7"/>
    <w:rsid w:val="00F14F2F"/>
    <w:rsid w:val="00F15395"/>
    <w:rsid w:val="00F1582B"/>
    <w:rsid w:val="00F16054"/>
    <w:rsid w:val="00F16494"/>
    <w:rsid w:val="00F164EA"/>
    <w:rsid w:val="00F16527"/>
    <w:rsid w:val="00F16AA9"/>
    <w:rsid w:val="00F16AE5"/>
    <w:rsid w:val="00F16C99"/>
    <w:rsid w:val="00F16D35"/>
    <w:rsid w:val="00F17129"/>
    <w:rsid w:val="00F173E2"/>
    <w:rsid w:val="00F17758"/>
    <w:rsid w:val="00F17D66"/>
    <w:rsid w:val="00F17D9E"/>
    <w:rsid w:val="00F17FBF"/>
    <w:rsid w:val="00F20059"/>
    <w:rsid w:val="00F2005C"/>
    <w:rsid w:val="00F2014D"/>
    <w:rsid w:val="00F2072A"/>
    <w:rsid w:val="00F20AD4"/>
    <w:rsid w:val="00F20B29"/>
    <w:rsid w:val="00F20BC6"/>
    <w:rsid w:val="00F21078"/>
    <w:rsid w:val="00F21255"/>
    <w:rsid w:val="00F213E1"/>
    <w:rsid w:val="00F214A1"/>
    <w:rsid w:val="00F216D4"/>
    <w:rsid w:val="00F21DFB"/>
    <w:rsid w:val="00F2265D"/>
    <w:rsid w:val="00F22688"/>
    <w:rsid w:val="00F22756"/>
    <w:rsid w:val="00F2288F"/>
    <w:rsid w:val="00F22CDF"/>
    <w:rsid w:val="00F22DC6"/>
    <w:rsid w:val="00F2317F"/>
    <w:rsid w:val="00F231B7"/>
    <w:rsid w:val="00F23B35"/>
    <w:rsid w:val="00F23C55"/>
    <w:rsid w:val="00F24144"/>
    <w:rsid w:val="00F24672"/>
    <w:rsid w:val="00F24784"/>
    <w:rsid w:val="00F24F38"/>
    <w:rsid w:val="00F25855"/>
    <w:rsid w:val="00F25876"/>
    <w:rsid w:val="00F25C28"/>
    <w:rsid w:val="00F25CC3"/>
    <w:rsid w:val="00F25F3B"/>
    <w:rsid w:val="00F26220"/>
    <w:rsid w:val="00F26C1A"/>
    <w:rsid w:val="00F27036"/>
    <w:rsid w:val="00F271C1"/>
    <w:rsid w:val="00F272F5"/>
    <w:rsid w:val="00F2739B"/>
    <w:rsid w:val="00F273D9"/>
    <w:rsid w:val="00F27541"/>
    <w:rsid w:val="00F300FA"/>
    <w:rsid w:val="00F3026A"/>
    <w:rsid w:val="00F3030C"/>
    <w:rsid w:val="00F3046A"/>
    <w:rsid w:val="00F304F6"/>
    <w:rsid w:val="00F306EE"/>
    <w:rsid w:val="00F30793"/>
    <w:rsid w:val="00F30C33"/>
    <w:rsid w:val="00F30F93"/>
    <w:rsid w:val="00F3106F"/>
    <w:rsid w:val="00F31223"/>
    <w:rsid w:val="00F312D2"/>
    <w:rsid w:val="00F3214D"/>
    <w:rsid w:val="00F321BB"/>
    <w:rsid w:val="00F324B1"/>
    <w:rsid w:val="00F324BA"/>
    <w:rsid w:val="00F32513"/>
    <w:rsid w:val="00F32716"/>
    <w:rsid w:val="00F32AB5"/>
    <w:rsid w:val="00F32C9F"/>
    <w:rsid w:val="00F33308"/>
    <w:rsid w:val="00F33527"/>
    <w:rsid w:val="00F337A1"/>
    <w:rsid w:val="00F337EA"/>
    <w:rsid w:val="00F338D8"/>
    <w:rsid w:val="00F3406F"/>
    <w:rsid w:val="00F34494"/>
    <w:rsid w:val="00F3458C"/>
    <w:rsid w:val="00F34642"/>
    <w:rsid w:val="00F3486E"/>
    <w:rsid w:val="00F348BE"/>
    <w:rsid w:val="00F348EF"/>
    <w:rsid w:val="00F34983"/>
    <w:rsid w:val="00F35062"/>
    <w:rsid w:val="00F351E0"/>
    <w:rsid w:val="00F35341"/>
    <w:rsid w:val="00F354B3"/>
    <w:rsid w:val="00F3566E"/>
    <w:rsid w:val="00F357FC"/>
    <w:rsid w:val="00F35863"/>
    <w:rsid w:val="00F35D2E"/>
    <w:rsid w:val="00F36092"/>
    <w:rsid w:val="00F36C45"/>
    <w:rsid w:val="00F36E90"/>
    <w:rsid w:val="00F36FA0"/>
    <w:rsid w:val="00F373BD"/>
    <w:rsid w:val="00F374AA"/>
    <w:rsid w:val="00F379B0"/>
    <w:rsid w:val="00F4000C"/>
    <w:rsid w:val="00F4029F"/>
    <w:rsid w:val="00F402A0"/>
    <w:rsid w:val="00F406BD"/>
    <w:rsid w:val="00F409FF"/>
    <w:rsid w:val="00F40C93"/>
    <w:rsid w:val="00F40D7E"/>
    <w:rsid w:val="00F40DBE"/>
    <w:rsid w:val="00F40F07"/>
    <w:rsid w:val="00F41443"/>
    <w:rsid w:val="00F4156F"/>
    <w:rsid w:val="00F4170B"/>
    <w:rsid w:val="00F4174F"/>
    <w:rsid w:val="00F41891"/>
    <w:rsid w:val="00F418A6"/>
    <w:rsid w:val="00F41905"/>
    <w:rsid w:val="00F41B37"/>
    <w:rsid w:val="00F41F61"/>
    <w:rsid w:val="00F42000"/>
    <w:rsid w:val="00F42008"/>
    <w:rsid w:val="00F424F3"/>
    <w:rsid w:val="00F42526"/>
    <w:rsid w:val="00F426CE"/>
    <w:rsid w:val="00F42890"/>
    <w:rsid w:val="00F43025"/>
    <w:rsid w:val="00F438DD"/>
    <w:rsid w:val="00F43AE0"/>
    <w:rsid w:val="00F44097"/>
    <w:rsid w:val="00F44124"/>
    <w:rsid w:val="00F441CF"/>
    <w:rsid w:val="00F443B5"/>
    <w:rsid w:val="00F44401"/>
    <w:rsid w:val="00F4446A"/>
    <w:rsid w:val="00F446B3"/>
    <w:rsid w:val="00F4493B"/>
    <w:rsid w:val="00F449FC"/>
    <w:rsid w:val="00F45599"/>
    <w:rsid w:val="00F455A3"/>
    <w:rsid w:val="00F45608"/>
    <w:rsid w:val="00F45666"/>
    <w:rsid w:val="00F4574B"/>
    <w:rsid w:val="00F45811"/>
    <w:rsid w:val="00F45A2B"/>
    <w:rsid w:val="00F461C9"/>
    <w:rsid w:val="00F461FB"/>
    <w:rsid w:val="00F46209"/>
    <w:rsid w:val="00F4636E"/>
    <w:rsid w:val="00F463EF"/>
    <w:rsid w:val="00F4678C"/>
    <w:rsid w:val="00F467F4"/>
    <w:rsid w:val="00F46930"/>
    <w:rsid w:val="00F46D01"/>
    <w:rsid w:val="00F46E28"/>
    <w:rsid w:val="00F47018"/>
    <w:rsid w:val="00F4705F"/>
    <w:rsid w:val="00F471FB"/>
    <w:rsid w:val="00F47447"/>
    <w:rsid w:val="00F47C4D"/>
    <w:rsid w:val="00F47DEB"/>
    <w:rsid w:val="00F5019F"/>
    <w:rsid w:val="00F504B5"/>
    <w:rsid w:val="00F506DC"/>
    <w:rsid w:val="00F50BC2"/>
    <w:rsid w:val="00F50C93"/>
    <w:rsid w:val="00F50CB3"/>
    <w:rsid w:val="00F51085"/>
    <w:rsid w:val="00F51221"/>
    <w:rsid w:val="00F51433"/>
    <w:rsid w:val="00F51EB6"/>
    <w:rsid w:val="00F51FF2"/>
    <w:rsid w:val="00F52525"/>
    <w:rsid w:val="00F5263D"/>
    <w:rsid w:val="00F527B5"/>
    <w:rsid w:val="00F5284C"/>
    <w:rsid w:val="00F528FC"/>
    <w:rsid w:val="00F52B5C"/>
    <w:rsid w:val="00F52BAF"/>
    <w:rsid w:val="00F52CB2"/>
    <w:rsid w:val="00F52D46"/>
    <w:rsid w:val="00F5330A"/>
    <w:rsid w:val="00F536E3"/>
    <w:rsid w:val="00F537E1"/>
    <w:rsid w:val="00F538E4"/>
    <w:rsid w:val="00F53C7A"/>
    <w:rsid w:val="00F5444D"/>
    <w:rsid w:val="00F54561"/>
    <w:rsid w:val="00F54D15"/>
    <w:rsid w:val="00F54EAC"/>
    <w:rsid w:val="00F5503F"/>
    <w:rsid w:val="00F55262"/>
    <w:rsid w:val="00F55502"/>
    <w:rsid w:val="00F55B11"/>
    <w:rsid w:val="00F55B6E"/>
    <w:rsid w:val="00F55F40"/>
    <w:rsid w:val="00F560B9"/>
    <w:rsid w:val="00F5621A"/>
    <w:rsid w:val="00F56360"/>
    <w:rsid w:val="00F56A13"/>
    <w:rsid w:val="00F56E9D"/>
    <w:rsid w:val="00F57482"/>
    <w:rsid w:val="00F576EB"/>
    <w:rsid w:val="00F5777E"/>
    <w:rsid w:val="00F57C1E"/>
    <w:rsid w:val="00F57C6E"/>
    <w:rsid w:val="00F57C73"/>
    <w:rsid w:val="00F57C79"/>
    <w:rsid w:val="00F57D6A"/>
    <w:rsid w:val="00F57E23"/>
    <w:rsid w:val="00F57EEB"/>
    <w:rsid w:val="00F57F71"/>
    <w:rsid w:val="00F57FAE"/>
    <w:rsid w:val="00F601DC"/>
    <w:rsid w:val="00F6040E"/>
    <w:rsid w:val="00F60471"/>
    <w:rsid w:val="00F6075F"/>
    <w:rsid w:val="00F60780"/>
    <w:rsid w:val="00F60932"/>
    <w:rsid w:val="00F609DC"/>
    <w:rsid w:val="00F60D5B"/>
    <w:rsid w:val="00F60D92"/>
    <w:rsid w:val="00F60EC0"/>
    <w:rsid w:val="00F61188"/>
    <w:rsid w:val="00F6122D"/>
    <w:rsid w:val="00F613AF"/>
    <w:rsid w:val="00F61A96"/>
    <w:rsid w:val="00F61C1D"/>
    <w:rsid w:val="00F61C6C"/>
    <w:rsid w:val="00F61D95"/>
    <w:rsid w:val="00F624CC"/>
    <w:rsid w:val="00F62A7E"/>
    <w:rsid w:val="00F62AEC"/>
    <w:rsid w:val="00F62C20"/>
    <w:rsid w:val="00F62CDD"/>
    <w:rsid w:val="00F62D43"/>
    <w:rsid w:val="00F62EB5"/>
    <w:rsid w:val="00F62F74"/>
    <w:rsid w:val="00F6304B"/>
    <w:rsid w:val="00F631A2"/>
    <w:rsid w:val="00F63279"/>
    <w:rsid w:val="00F6372B"/>
    <w:rsid w:val="00F63969"/>
    <w:rsid w:val="00F63B97"/>
    <w:rsid w:val="00F63C82"/>
    <w:rsid w:val="00F63D8B"/>
    <w:rsid w:val="00F64233"/>
    <w:rsid w:val="00F64548"/>
    <w:rsid w:val="00F648EC"/>
    <w:rsid w:val="00F64D32"/>
    <w:rsid w:val="00F64DE0"/>
    <w:rsid w:val="00F64E43"/>
    <w:rsid w:val="00F64EC2"/>
    <w:rsid w:val="00F65390"/>
    <w:rsid w:val="00F65556"/>
    <w:rsid w:val="00F6563A"/>
    <w:rsid w:val="00F65AD6"/>
    <w:rsid w:val="00F65DBB"/>
    <w:rsid w:val="00F664CD"/>
    <w:rsid w:val="00F66B00"/>
    <w:rsid w:val="00F66D23"/>
    <w:rsid w:val="00F671B9"/>
    <w:rsid w:val="00F67201"/>
    <w:rsid w:val="00F67A49"/>
    <w:rsid w:val="00F67B75"/>
    <w:rsid w:val="00F67BFE"/>
    <w:rsid w:val="00F67E64"/>
    <w:rsid w:val="00F67F4C"/>
    <w:rsid w:val="00F70498"/>
    <w:rsid w:val="00F705C4"/>
    <w:rsid w:val="00F70A3A"/>
    <w:rsid w:val="00F70B89"/>
    <w:rsid w:val="00F70C49"/>
    <w:rsid w:val="00F70CC7"/>
    <w:rsid w:val="00F71479"/>
    <w:rsid w:val="00F7154C"/>
    <w:rsid w:val="00F71A09"/>
    <w:rsid w:val="00F725BA"/>
    <w:rsid w:val="00F7273C"/>
    <w:rsid w:val="00F727E1"/>
    <w:rsid w:val="00F729DB"/>
    <w:rsid w:val="00F72A47"/>
    <w:rsid w:val="00F72D1B"/>
    <w:rsid w:val="00F72E9C"/>
    <w:rsid w:val="00F72EA2"/>
    <w:rsid w:val="00F72F3A"/>
    <w:rsid w:val="00F7311D"/>
    <w:rsid w:val="00F73186"/>
    <w:rsid w:val="00F73677"/>
    <w:rsid w:val="00F737FC"/>
    <w:rsid w:val="00F73B35"/>
    <w:rsid w:val="00F74081"/>
    <w:rsid w:val="00F75186"/>
    <w:rsid w:val="00F75532"/>
    <w:rsid w:val="00F75535"/>
    <w:rsid w:val="00F7584B"/>
    <w:rsid w:val="00F759B9"/>
    <w:rsid w:val="00F75E84"/>
    <w:rsid w:val="00F760B7"/>
    <w:rsid w:val="00F7611D"/>
    <w:rsid w:val="00F762BF"/>
    <w:rsid w:val="00F76325"/>
    <w:rsid w:val="00F76362"/>
    <w:rsid w:val="00F764F3"/>
    <w:rsid w:val="00F76583"/>
    <w:rsid w:val="00F76661"/>
    <w:rsid w:val="00F77239"/>
    <w:rsid w:val="00F77441"/>
    <w:rsid w:val="00F77A4B"/>
    <w:rsid w:val="00F77B68"/>
    <w:rsid w:val="00F77E10"/>
    <w:rsid w:val="00F8008D"/>
    <w:rsid w:val="00F807F8"/>
    <w:rsid w:val="00F811E9"/>
    <w:rsid w:val="00F813FB"/>
    <w:rsid w:val="00F816C7"/>
    <w:rsid w:val="00F817C3"/>
    <w:rsid w:val="00F817D9"/>
    <w:rsid w:val="00F81817"/>
    <w:rsid w:val="00F81843"/>
    <w:rsid w:val="00F81A9B"/>
    <w:rsid w:val="00F81AEE"/>
    <w:rsid w:val="00F82405"/>
    <w:rsid w:val="00F825D0"/>
    <w:rsid w:val="00F82772"/>
    <w:rsid w:val="00F827E9"/>
    <w:rsid w:val="00F82991"/>
    <w:rsid w:val="00F829E3"/>
    <w:rsid w:val="00F82AB0"/>
    <w:rsid w:val="00F82AF8"/>
    <w:rsid w:val="00F835E8"/>
    <w:rsid w:val="00F835F9"/>
    <w:rsid w:val="00F83648"/>
    <w:rsid w:val="00F83755"/>
    <w:rsid w:val="00F838FD"/>
    <w:rsid w:val="00F8394C"/>
    <w:rsid w:val="00F83DDA"/>
    <w:rsid w:val="00F83E6E"/>
    <w:rsid w:val="00F840B6"/>
    <w:rsid w:val="00F8428B"/>
    <w:rsid w:val="00F84843"/>
    <w:rsid w:val="00F8486B"/>
    <w:rsid w:val="00F84895"/>
    <w:rsid w:val="00F84B0F"/>
    <w:rsid w:val="00F84CBC"/>
    <w:rsid w:val="00F84CE7"/>
    <w:rsid w:val="00F84E4B"/>
    <w:rsid w:val="00F850EE"/>
    <w:rsid w:val="00F856ED"/>
    <w:rsid w:val="00F8578D"/>
    <w:rsid w:val="00F85A53"/>
    <w:rsid w:val="00F85D5E"/>
    <w:rsid w:val="00F85EA5"/>
    <w:rsid w:val="00F85EB5"/>
    <w:rsid w:val="00F86292"/>
    <w:rsid w:val="00F8633B"/>
    <w:rsid w:val="00F863F2"/>
    <w:rsid w:val="00F86425"/>
    <w:rsid w:val="00F86946"/>
    <w:rsid w:val="00F86B2D"/>
    <w:rsid w:val="00F86B3F"/>
    <w:rsid w:val="00F86B40"/>
    <w:rsid w:val="00F86DFB"/>
    <w:rsid w:val="00F872B5"/>
    <w:rsid w:val="00F87519"/>
    <w:rsid w:val="00F876D2"/>
    <w:rsid w:val="00F87802"/>
    <w:rsid w:val="00F87B2F"/>
    <w:rsid w:val="00F87BB4"/>
    <w:rsid w:val="00F90152"/>
    <w:rsid w:val="00F902A2"/>
    <w:rsid w:val="00F902C1"/>
    <w:rsid w:val="00F904BD"/>
    <w:rsid w:val="00F905EE"/>
    <w:rsid w:val="00F908A5"/>
    <w:rsid w:val="00F909B1"/>
    <w:rsid w:val="00F90B38"/>
    <w:rsid w:val="00F90BFD"/>
    <w:rsid w:val="00F9113B"/>
    <w:rsid w:val="00F91146"/>
    <w:rsid w:val="00F919D3"/>
    <w:rsid w:val="00F91A76"/>
    <w:rsid w:val="00F91AC1"/>
    <w:rsid w:val="00F91D95"/>
    <w:rsid w:val="00F92109"/>
    <w:rsid w:val="00F9214A"/>
    <w:rsid w:val="00F9242D"/>
    <w:rsid w:val="00F92A1C"/>
    <w:rsid w:val="00F92DD3"/>
    <w:rsid w:val="00F92EAF"/>
    <w:rsid w:val="00F92F53"/>
    <w:rsid w:val="00F93068"/>
    <w:rsid w:val="00F9360E"/>
    <w:rsid w:val="00F937B6"/>
    <w:rsid w:val="00F9385B"/>
    <w:rsid w:val="00F93AE2"/>
    <w:rsid w:val="00F93AFE"/>
    <w:rsid w:val="00F93CA7"/>
    <w:rsid w:val="00F93DA8"/>
    <w:rsid w:val="00F93E44"/>
    <w:rsid w:val="00F943FF"/>
    <w:rsid w:val="00F945C2"/>
    <w:rsid w:val="00F9479D"/>
    <w:rsid w:val="00F94A9A"/>
    <w:rsid w:val="00F94C76"/>
    <w:rsid w:val="00F94F69"/>
    <w:rsid w:val="00F95426"/>
    <w:rsid w:val="00F95833"/>
    <w:rsid w:val="00F95878"/>
    <w:rsid w:val="00F95B9C"/>
    <w:rsid w:val="00F95CF5"/>
    <w:rsid w:val="00F95F24"/>
    <w:rsid w:val="00F96292"/>
    <w:rsid w:val="00F965E6"/>
    <w:rsid w:val="00F966AC"/>
    <w:rsid w:val="00F967F9"/>
    <w:rsid w:val="00F968DF"/>
    <w:rsid w:val="00F96B49"/>
    <w:rsid w:val="00F96EE6"/>
    <w:rsid w:val="00F96F67"/>
    <w:rsid w:val="00F9798C"/>
    <w:rsid w:val="00F979B3"/>
    <w:rsid w:val="00F97B9B"/>
    <w:rsid w:val="00FA006E"/>
    <w:rsid w:val="00FA0207"/>
    <w:rsid w:val="00FA073C"/>
    <w:rsid w:val="00FA075F"/>
    <w:rsid w:val="00FA0A40"/>
    <w:rsid w:val="00FA0A61"/>
    <w:rsid w:val="00FA1161"/>
    <w:rsid w:val="00FA14B7"/>
    <w:rsid w:val="00FA1597"/>
    <w:rsid w:val="00FA18F3"/>
    <w:rsid w:val="00FA1CAB"/>
    <w:rsid w:val="00FA2640"/>
    <w:rsid w:val="00FA2974"/>
    <w:rsid w:val="00FA2B7B"/>
    <w:rsid w:val="00FA2F75"/>
    <w:rsid w:val="00FA2FC9"/>
    <w:rsid w:val="00FA34ED"/>
    <w:rsid w:val="00FA3668"/>
    <w:rsid w:val="00FA3B7E"/>
    <w:rsid w:val="00FA3C7F"/>
    <w:rsid w:val="00FA3FB6"/>
    <w:rsid w:val="00FA41C1"/>
    <w:rsid w:val="00FA44E9"/>
    <w:rsid w:val="00FA44F5"/>
    <w:rsid w:val="00FA45C2"/>
    <w:rsid w:val="00FA47BB"/>
    <w:rsid w:val="00FA490D"/>
    <w:rsid w:val="00FA4AF5"/>
    <w:rsid w:val="00FA553F"/>
    <w:rsid w:val="00FA55BF"/>
    <w:rsid w:val="00FA5641"/>
    <w:rsid w:val="00FA579A"/>
    <w:rsid w:val="00FA603D"/>
    <w:rsid w:val="00FA61FB"/>
    <w:rsid w:val="00FA625D"/>
    <w:rsid w:val="00FA6321"/>
    <w:rsid w:val="00FA632B"/>
    <w:rsid w:val="00FA680D"/>
    <w:rsid w:val="00FA6982"/>
    <w:rsid w:val="00FA6B74"/>
    <w:rsid w:val="00FA6C94"/>
    <w:rsid w:val="00FA6D25"/>
    <w:rsid w:val="00FA6FDD"/>
    <w:rsid w:val="00FA7106"/>
    <w:rsid w:val="00FA7320"/>
    <w:rsid w:val="00FA77B4"/>
    <w:rsid w:val="00FA79D0"/>
    <w:rsid w:val="00FA7B3A"/>
    <w:rsid w:val="00FA7D0F"/>
    <w:rsid w:val="00FB00D6"/>
    <w:rsid w:val="00FB00FA"/>
    <w:rsid w:val="00FB01AE"/>
    <w:rsid w:val="00FB0287"/>
    <w:rsid w:val="00FB0657"/>
    <w:rsid w:val="00FB0675"/>
    <w:rsid w:val="00FB069C"/>
    <w:rsid w:val="00FB0792"/>
    <w:rsid w:val="00FB111D"/>
    <w:rsid w:val="00FB12FF"/>
    <w:rsid w:val="00FB1685"/>
    <w:rsid w:val="00FB2041"/>
    <w:rsid w:val="00FB21A7"/>
    <w:rsid w:val="00FB2201"/>
    <w:rsid w:val="00FB22C3"/>
    <w:rsid w:val="00FB23C6"/>
    <w:rsid w:val="00FB23F1"/>
    <w:rsid w:val="00FB24DD"/>
    <w:rsid w:val="00FB25A7"/>
    <w:rsid w:val="00FB2798"/>
    <w:rsid w:val="00FB28D3"/>
    <w:rsid w:val="00FB2948"/>
    <w:rsid w:val="00FB29C1"/>
    <w:rsid w:val="00FB2A64"/>
    <w:rsid w:val="00FB3264"/>
    <w:rsid w:val="00FB3421"/>
    <w:rsid w:val="00FB3649"/>
    <w:rsid w:val="00FB3706"/>
    <w:rsid w:val="00FB37F0"/>
    <w:rsid w:val="00FB38E0"/>
    <w:rsid w:val="00FB3C0E"/>
    <w:rsid w:val="00FB3C9A"/>
    <w:rsid w:val="00FB3CA5"/>
    <w:rsid w:val="00FB42A7"/>
    <w:rsid w:val="00FB4389"/>
    <w:rsid w:val="00FB5091"/>
    <w:rsid w:val="00FB5151"/>
    <w:rsid w:val="00FB5575"/>
    <w:rsid w:val="00FB5CBF"/>
    <w:rsid w:val="00FB632E"/>
    <w:rsid w:val="00FB6359"/>
    <w:rsid w:val="00FB641E"/>
    <w:rsid w:val="00FB6B50"/>
    <w:rsid w:val="00FB6E7D"/>
    <w:rsid w:val="00FB70C8"/>
    <w:rsid w:val="00FB7331"/>
    <w:rsid w:val="00FB73CA"/>
    <w:rsid w:val="00FB752D"/>
    <w:rsid w:val="00FB7548"/>
    <w:rsid w:val="00FB7AA3"/>
    <w:rsid w:val="00FB7B99"/>
    <w:rsid w:val="00FB7C3C"/>
    <w:rsid w:val="00FB7F7D"/>
    <w:rsid w:val="00FB7FA8"/>
    <w:rsid w:val="00FC007C"/>
    <w:rsid w:val="00FC0EC2"/>
    <w:rsid w:val="00FC1B8E"/>
    <w:rsid w:val="00FC1C97"/>
    <w:rsid w:val="00FC1C9E"/>
    <w:rsid w:val="00FC1D0F"/>
    <w:rsid w:val="00FC2083"/>
    <w:rsid w:val="00FC269B"/>
    <w:rsid w:val="00FC2E50"/>
    <w:rsid w:val="00FC2EA9"/>
    <w:rsid w:val="00FC2F8E"/>
    <w:rsid w:val="00FC31E4"/>
    <w:rsid w:val="00FC3683"/>
    <w:rsid w:val="00FC3877"/>
    <w:rsid w:val="00FC3957"/>
    <w:rsid w:val="00FC3A3F"/>
    <w:rsid w:val="00FC3DFF"/>
    <w:rsid w:val="00FC3E75"/>
    <w:rsid w:val="00FC3FB8"/>
    <w:rsid w:val="00FC40BD"/>
    <w:rsid w:val="00FC45C6"/>
    <w:rsid w:val="00FC477D"/>
    <w:rsid w:val="00FC4B68"/>
    <w:rsid w:val="00FC4C6B"/>
    <w:rsid w:val="00FC514A"/>
    <w:rsid w:val="00FC5280"/>
    <w:rsid w:val="00FC5281"/>
    <w:rsid w:val="00FC55BE"/>
    <w:rsid w:val="00FC55C4"/>
    <w:rsid w:val="00FC57C1"/>
    <w:rsid w:val="00FC5818"/>
    <w:rsid w:val="00FC5E62"/>
    <w:rsid w:val="00FC6101"/>
    <w:rsid w:val="00FC612B"/>
    <w:rsid w:val="00FC65FB"/>
    <w:rsid w:val="00FC713B"/>
    <w:rsid w:val="00FC71B7"/>
    <w:rsid w:val="00FC7521"/>
    <w:rsid w:val="00FC758A"/>
    <w:rsid w:val="00FC77FE"/>
    <w:rsid w:val="00FD00BB"/>
    <w:rsid w:val="00FD0410"/>
    <w:rsid w:val="00FD0865"/>
    <w:rsid w:val="00FD109D"/>
    <w:rsid w:val="00FD1764"/>
    <w:rsid w:val="00FD1C6D"/>
    <w:rsid w:val="00FD1D80"/>
    <w:rsid w:val="00FD1E10"/>
    <w:rsid w:val="00FD1FC1"/>
    <w:rsid w:val="00FD2248"/>
    <w:rsid w:val="00FD2649"/>
    <w:rsid w:val="00FD27D6"/>
    <w:rsid w:val="00FD2A8F"/>
    <w:rsid w:val="00FD2D5E"/>
    <w:rsid w:val="00FD2D87"/>
    <w:rsid w:val="00FD2F1F"/>
    <w:rsid w:val="00FD3029"/>
    <w:rsid w:val="00FD302F"/>
    <w:rsid w:val="00FD3072"/>
    <w:rsid w:val="00FD327E"/>
    <w:rsid w:val="00FD37B1"/>
    <w:rsid w:val="00FD39F2"/>
    <w:rsid w:val="00FD3A3B"/>
    <w:rsid w:val="00FD3C8A"/>
    <w:rsid w:val="00FD4029"/>
    <w:rsid w:val="00FD40FD"/>
    <w:rsid w:val="00FD41DB"/>
    <w:rsid w:val="00FD43C3"/>
    <w:rsid w:val="00FD4626"/>
    <w:rsid w:val="00FD4BAF"/>
    <w:rsid w:val="00FD52C6"/>
    <w:rsid w:val="00FD5519"/>
    <w:rsid w:val="00FD5546"/>
    <w:rsid w:val="00FD569A"/>
    <w:rsid w:val="00FD573E"/>
    <w:rsid w:val="00FD5812"/>
    <w:rsid w:val="00FD58C7"/>
    <w:rsid w:val="00FD5979"/>
    <w:rsid w:val="00FD59D8"/>
    <w:rsid w:val="00FD6643"/>
    <w:rsid w:val="00FD66B0"/>
    <w:rsid w:val="00FD66E4"/>
    <w:rsid w:val="00FD6BC9"/>
    <w:rsid w:val="00FD6D71"/>
    <w:rsid w:val="00FD6E13"/>
    <w:rsid w:val="00FD7461"/>
    <w:rsid w:val="00FD776A"/>
    <w:rsid w:val="00FD7B78"/>
    <w:rsid w:val="00FD7EAD"/>
    <w:rsid w:val="00FD7EC1"/>
    <w:rsid w:val="00FD7F1D"/>
    <w:rsid w:val="00FE01FB"/>
    <w:rsid w:val="00FE0678"/>
    <w:rsid w:val="00FE089B"/>
    <w:rsid w:val="00FE09BE"/>
    <w:rsid w:val="00FE0AFB"/>
    <w:rsid w:val="00FE0BE4"/>
    <w:rsid w:val="00FE0C6B"/>
    <w:rsid w:val="00FE0D16"/>
    <w:rsid w:val="00FE203A"/>
    <w:rsid w:val="00FE220D"/>
    <w:rsid w:val="00FE2327"/>
    <w:rsid w:val="00FE2416"/>
    <w:rsid w:val="00FE2554"/>
    <w:rsid w:val="00FE25C1"/>
    <w:rsid w:val="00FE26CD"/>
    <w:rsid w:val="00FE284A"/>
    <w:rsid w:val="00FE2C22"/>
    <w:rsid w:val="00FE2C61"/>
    <w:rsid w:val="00FE2DE0"/>
    <w:rsid w:val="00FE2EF2"/>
    <w:rsid w:val="00FE2FD8"/>
    <w:rsid w:val="00FE3015"/>
    <w:rsid w:val="00FE397F"/>
    <w:rsid w:val="00FE44DE"/>
    <w:rsid w:val="00FE46C5"/>
    <w:rsid w:val="00FE48F5"/>
    <w:rsid w:val="00FE4BF8"/>
    <w:rsid w:val="00FE5029"/>
    <w:rsid w:val="00FE5132"/>
    <w:rsid w:val="00FE51CB"/>
    <w:rsid w:val="00FE5379"/>
    <w:rsid w:val="00FE5983"/>
    <w:rsid w:val="00FE5A75"/>
    <w:rsid w:val="00FE5EC5"/>
    <w:rsid w:val="00FE61F1"/>
    <w:rsid w:val="00FE644B"/>
    <w:rsid w:val="00FE663B"/>
    <w:rsid w:val="00FE69F6"/>
    <w:rsid w:val="00FE6D3E"/>
    <w:rsid w:val="00FE6D81"/>
    <w:rsid w:val="00FE6ED0"/>
    <w:rsid w:val="00FE6FBC"/>
    <w:rsid w:val="00FE7005"/>
    <w:rsid w:val="00FE7277"/>
    <w:rsid w:val="00FE7BFF"/>
    <w:rsid w:val="00FE7EC6"/>
    <w:rsid w:val="00FF0300"/>
    <w:rsid w:val="00FF04A5"/>
    <w:rsid w:val="00FF0650"/>
    <w:rsid w:val="00FF0824"/>
    <w:rsid w:val="00FF0C61"/>
    <w:rsid w:val="00FF0D5E"/>
    <w:rsid w:val="00FF0E12"/>
    <w:rsid w:val="00FF0E9D"/>
    <w:rsid w:val="00FF1217"/>
    <w:rsid w:val="00FF14FE"/>
    <w:rsid w:val="00FF1D1A"/>
    <w:rsid w:val="00FF1E6D"/>
    <w:rsid w:val="00FF229B"/>
    <w:rsid w:val="00FF267D"/>
    <w:rsid w:val="00FF2EE4"/>
    <w:rsid w:val="00FF30EE"/>
    <w:rsid w:val="00FF3488"/>
    <w:rsid w:val="00FF36BB"/>
    <w:rsid w:val="00FF37E7"/>
    <w:rsid w:val="00FF3A49"/>
    <w:rsid w:val="00FF3BE1"/>
    <w:rsid w:val="00FF3CB1"/>
    <w:rsid w:val="00FF3CF4"/>
    <w:rsid w:val="00FF3D58"/>
    <w:rsid w:val="00FF4068"/>
    <w:rsid w:val="00FF407D"/>
    <w:rsid w:val="00FF439E"/>
    <w:rsid w:val="00FF4B23"/>
    <w:rsid w:val="00FF50CE"/>
    <w:rsid w:val="00FF53CB"/>
    <w:rsid w:val="00FF58A7"/>
    <w:rsid w:val="00FF5922"/>
    <w:rsid w:val="00FF5B2A"/>
    <w:rsid w:val="00FF5C15"/>
    <w:rsid w:val="00FF5F39"/>
    <w:rsid w:val="00FF6A23"/>
    <w:rsid w:val="00FF6B82"/>
    <w:rsid w:val="00FF6EAF"/>
    <w:rsid w:val="00FF6FE2"/>
    <w:rsid w:val="00FF7010"/>
    <w:rsid w:val="00FF7170"/>
    <w:rsid w:val="00FF71C6"/>
    <w:rsid w:val="00FF74B7"/>
    <w:rsid w:val="00FF75F9"/>
    <w:rsid w:val="00FF7789"/>
    <w:rsid w:val="00FF7937"/>
    <w:rsid w:val="00FF7BF6"/>
    <w:rsid w:val="00FF7D3C"/>
    <w:rsid w:val="00FF7EC8"/>
    <w:rsid w:val="069961AC"/>
    <w:rsid w:val="079E7660"/>
    <w:rsid w:val="08790E1F"/>
    <w:rsid w:val="089D3965"/>
    <w:rsid w:val="0981FB17"/>
    <w:rsid w:val="0A809023"/>
    <w:rsid w:val="0B4D71F4"/>
    <w:rsid w:val="10E11060"/>
    <w:rsid w:val="173C4073"/>
    <w:rsid w:val="17CBEFCD"/>
    <w:rsid w:val="1960CD91"/>
    <w:rsid w:val="1967C02E"/>
    <w:rsid w:val="1F1D26DB"/>
    <w:rsid w:val="2057E875"/>
    <w:rsid w:val="22AFC339"/>
    <w:rsid w:val="22EE0DA3"/>
    <w:rsid w:val="26AA56CF"/>
    <w:rsid w:val="334156FB"/>
    <w:rsid w:val="34AF5BC8"/>
    <w:rsid w:val="36411975"/>
    <w:rsid w:val="39EDD1AB"/>
    <w:rsid w:val="3A1027BA"/>
    <w:rsid w:val="441D7224"/>
    <w:rsid w:val="50736C44"/>
    <w:rsid w:val="51B4BAD1"/>
    <w:rsid w:val="56015167"/>
    <w:rsid w:val="61D54F66"/>
    <w:rsid w:val="6966E727"/>
    <w:rsid w:val="69C4876E"/>
    <w:rsid w:val="69E7C27D"/>
    <w:rsid w:val="6B2CC34E"/>
    <w:rsid w:val="7101DE1B"/>
    <w:rsid w:val="7C544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C34E5"/>
  <w15:chartTrackingRefBased/>
  <w15:docId w15:val="{D34BAA71-CEB9-4FA4-BCB9-98899638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Indent"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EDE"/>
    <w:rPr>
      <w:sz w:val="24"/>
      <w:szCs w:val="24"/>
      <w:lang w:eastAsia="en-US"/>
    </w:rPr>
  </w:style>
  <w:style w:type="paragraph" w:styleId="Heading1">
    <w:name w:val="heading 1"/>
    <w:basedOn w:val="Normal"/>
    <w:next w:val="Normal"/>
    <w:qFormat/>
    <w:pPr>
      <w:keepNext/>
      <w:spacing w:before="240" w:after="60"/>
      <w:outlineLvl w:val="0"/>
    </w:pPr>
    <w:rPr>
      <w:rFonts w:ascii="Arial" w:hAnsi="Arial"/>
      <w:b/>
      <w:bCs/>
      <w:kern w:val="32"/>
      <w:sz w:val="32"/>
      <w:szCs w:val="32"/>
    </w:rPr>
  </w:style>
  <w:style w:type="paragraph" w:styleId="Heading2">
    <w:name w:val="heading 2"/>
    <w:basedOn w:val="Normal"/>
    <w:next w:val="Normal"/>
    <w:qFormat/>
    <w:pPr>
      <w:keepNext/>
      <w:jc w:val="center"/>
      <w:outlineLvl w:val="1"/>
    </w:pPr>
    <w:rPr>
      <w:rFonts w:cs="Arial"/>
      <w:b/>
      <w:bCs/>
      <w:sz w:val="28"/>
    </w:rPr>
  </w:style>
  <w:style w:type="paragraph" w:styleId="Heading3">
    <w:name w:val="heading 3"/>
    <w:basedOn w:val="Normal"/>
    <w:next w:val="Normal"/>
    <w:qFormat/>
    <w:pPr>
      <w:keepNext/>
      <w:outlineLvl w:val="2"/>
    </w:pPr>
    <w:rPr>
      <w:rFonts w:cs="Arial"/>
      <w:b/>
      <w:bCs/>
      <w:sz w:val="22"/>
    </w:rPr>
  </w:style>
  <w:style w:type="paragraph" w:styleId="Heading4">
    <w:name w:val="heading 4"/>
    <w:basedOn w:val="Normal"/>
    <w:next w:val="Normal"/>
    <w:qFormat/>
    <w:pPr>
      <w:keepNext/>
      <w:outlineLvl w:val="3"/>
    </w:pPr>
    <w:rPr>
      <w:rFonts w:cs="Arial"/>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rFonts w:cs="Arial"/>
      <w:b/>
      <w:bCs/>
      <w:u w:val="single"/>
    </w:rPr>
  </w:style>
  <w:style w:type="paragraph" w:styleId="Heading7">
    <w:name w:val="heading 7"/>
    <w:basedOn w:val="Normal"/>
    <w:next w:val="Normal"/>
    <w:link w:val="Heading7Char"/>
    <w:uiPriority w:val="99"/>
    <w:qFormat/>
    <w:pPr>
      <w:keepNext/>
      <w:outlineLvl w:val="6"/>
    </w:pPr>
    <w:rPr>
      <w:b/>
      <w:bCs/>
      <w:sz w:val="20"/>
    </w:rPr>
  </w:style>
  <w:style w:type="paragraph" w:styleId="Heading8">
    <w:name w:val="heading 8"/>
    <w:basedOn w:val="Normal"/>
    <w:next w:val="Normal"/>
    <w:qFormat/>
    <w:pPr>
      <w:keepNext/>
      <w:jc w:val="center"/>
      <w:outlineLvl w:val="7"/>
    </w:pPr>
    <w:rPr>
      <w:b/>
      <w:bCs/>
      <w:sz w:val="20"/>
      <w:szCs w:val="20"/>
    </w:rPr>
  </w:style>
  <w:style w:type="paragraph" w:styleId="Heading9">
    <w:name w:val="heading 9"/>
    <w:basedOn w:val="Normal"/>
    <w:next w:val="Normal"/>
    <w:qFormat/>
    <w:pPr>
      <w:keepNext/>
      <w:numPr>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locked/>
    <w:pPr>
      <w:spacing w:before="100" w:beforeAutospacing="1" w:after="100" w:afterAutospacing="1"/>
    </w:pPr>
    <w:rPr>
      <w:rFonts w:ascii="Arial" w:hAnsi="Arial" w:cs="Arial"/>
      <w:b/>
      <w:bCs/>
      <w:u w:val="single"/>
    </w:rPr>
  </w:style>
  <w:style w:type="paragraph" w:customStyle="1" w:styleId="xl25">
    <w:name w:val="xl25"/>
    <w:basedOn w:val="Normal"/>
    <w:locked/>
    <w:pPr>
      <w:spacing w:before="100" w:beforeAutospacing="1" w:after="100" w:afterAutospacing="1"/>
      <w:jc w:val="center"/>
    </w:pPr>
  </w:style>
  <w:style w:type="paragraph" w:customStyle="1" w:styleId="xl26">
    <w:name w:val="xl26"/>
    <w:basedOn w:val="Normal"/>
    <w:locked/>
    <w:pPr>
      <w:spacing w:before="100" w:beforeAutospacing="1" w:after="100" w:afterAutospacing="1"/>
      <w:jc w:val="center"/>
    </w:pPr>
    <w:rPr>
      <w:b/>
      <w:bCs/>
    </w:rPr>
  </w:style>
  <w:style w:type="paragraph" w:customStyle="1" w:styleId="xl27">
    <w:name w:val="xl27"/>
    <w:basedOn w:val="Normal"/>
    <w:locked/>
    <w:pPr>
      <w:spacing w:before="100" w:beforeAutospacing="1" w:after="100" w:afterAutospacing="1"/>
    </w:pPr>
    <w:rPr>
      <w:b/>
      <w:bCs/>
    </w:rPr>
  </w:style>
  <w:style w:type="paragraph" w:customStyle="1" w:styleId="xl28">
    <w:name w:val="xl28"/>
    <w:basedOn w:val="Normal"/>
    <w:locked/>
    <w:pPr>
      <w:spacing w:before="100" w:beforeAutospacing="1" w:after="100" w:afterAutospacing="1"/>
    </w:pPr>
  </w:style>
  <w:style w:type="paragraph" w:customStyle="1" w:styleId="xl29">
    <w:name w:val="xl29"/>
    <w:basedOn w:val="Normal"/>
    <w:locked/>
    <w:pPr>
      <w:spacing w:before="100" w:beforeAutospacing="1" w:after="100" w:afterAutospacing="1"/>
      <w:jc w:val="right"/>
    </w:pPr>
  </w:style>
  <w:style w:type="paragraph" w:customStyle="1" w:styleId="xl30">
    <w:name w:val="xl30"/>
    <w:basedOn w:val="Normal"/>
    <w:locked/>
    <w:pPr>
      <w:spacing w:before="100" w:beforeAutospacing="1" w:after="100" w:afterAutospacing="1"/>
    </w:pPr>
    <w:rPr>
      <w:b/>
      <w:bCs/>
    </w:rPr>
  </w:style>
  <w:style w:type="paragraph" w:customStyle="1" w:styleId="xl31">
    <w:name w:val="xl31"/>
    <w:basedOn w:val="Normal"/>
    <w:locked/>
    <w:pPr>
      <w:spacing w:before="100" w:beforeAutospacing="1" w:after="100" w:afterAutospacing="1"/>
      <w:jc w:val="center"/>
    </w:pPr>
  </w:style>
  <w:style w:type="paragraph" w:customStyle="1" w:styleId="xl32">
    <w:name w:val="xl32"/>
    <w:basedOn w:val="Normal"/>
    <w:locked/>
    <w:pPr>
      <w:pBdr>
        <w:bottom w:val="single" w:sz="4" w:space="0" w:color="auto"/>
      </w:pBdr>
      <w:spacing w:before="100" w:beforeAutospacing="1" w:after="100" w:afterAutospacing="1"/>
    </w:pPr>
  </w:style>
  <w:style w:type="paragraph" w:styleId="BodyText">
    <w:name w:val="Body Text"/>
    <w:basedOn w:val="Normal"/>
    <w:link w:val="BodyTextChar"/>
    <w:rPr>
      <w:sz w:val="20"/>
    </w:rPr>
  </w:style>
  <w:style w:type="paragraph" w:styleId="BodyTextIndent">
    <w:name w:val="Body Text Indent"/>
    <w:basedOn w:val="Normal"/>
    <w:link w:val="BodyTextIndentChar"/>
    <w:uiPriority w:val="99"/>
    <w:pPr>
      <w:ind w:left="360"/>
    </w:pPr>
    <w:rPr>
      <w:sz w:val="20"/>
    </w:rPr>
  </w:style>
  <w:style w:type="paragraph" w:styleId="BodyText2">
    <w:name w:val="Body Text 2"/>
    <w:basedOn w:val="Normal"/>
    <w:pPr>
      <w:jc w:val="both"/>
    </w:pPr>
    <w:rPr>
      <w:rFonts w:ascii="Arial" w:hAnsi="Ari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ind w:right="1246"/>
    </w:pPr>
    <w:rPr>
      <w:sz w:val="20"/>
      <w:szCs w:val="20"/>
    </w:rPr>
  </w:style>
  <w:style w:type="character" w:styleId="PageNumber">
    <w:name w:val="page number"/>
    <w:basedOn w:val="DefaultParagraphFont"/>
  </w:style>
  <w:style w:type="paragraph" w:customStyle="1" w:styleId="Text">
    <w:name w:val="Text"/>
    <w:aliases w:val="t1,b,t,Body text"/>
    <w:basedOn w:val="Normal"/>
    <w:link w:val="TextChar"/>
    <w:qFormat/>
    <w:locked/>
    <w:pPr>
      <w:tabs>
        <w:tab w:val="left" w:pos="284"/>
      </w:tabs>
      <w:overflowPunct w:val="0"/>
      <w:autoSpaceDE w:val="0"/>
      <w:autoSpaceDN w:val="0"/>
      <w:adjustRightInd w:val="0"/>
      <w:spacing w:after="260"/>
      <w:jc w:val="both"/>
      <w:textAlignment w:val="baseline"/>
    </w:pPr>
    <w:rPr>
      <w:sz w:val="22"/>
      <w:szCs w:val="20"/>
    </w:rPr>
  </w:style>
  <w:style w:type="paragraph" w:styleId="BodyTextIndent2">
    <w:name w:val="Body Text Indent 2"/>
    <w:basedOn w:val="Normal"/>
    <w:pPr>
      <w:ind w:left="360"/>
      <w:jc w:val="both"/>
    </w:pPr>
    <w:rPr>
      <w:sz w:val="20"/>
    </w:rPr>
  </w:style>
  <w:style w:type="paragraph" w:customStyle="1" w:styleId="ACText">
    <w:name w:val="AC Text"/>
    <w:basedOn w:val="Normal"/>
    <w:uiPriority w:val="99"/>
    <w:qFormat/>
    <w:locked/>
    <w:pPr>
      <w:tabs>
        <w:tab w:val="left" w:pos="0"/>
      </w:tabs>
      <w:suppressAutoHyphens/>
      <w:overflowPunct w:val="0"/>
      <w:autoSpaceDE w:val="0"/>
      <w:autoSpaceDN w:val="0"/>
      <w:adjustRightInd w:val="0"/>
      <w:spacing w:before="130"/>
      <w:jc w:val="both"/>
      <w:textAlignment w:val="baseline"/>
    </w:pPr>
    <w:rPr>
      <w:sz w:val="20"/>
      <w:szCs w:val="20"/>
    </w:rPr>
  </w:style>
  <w:style w:type="paragraph" w:customStyle="1" w:styleId="Double">
    <w:name w:val="Double"/>
    <w:basedOn w:val="Normal"/>
    <w:locked/>
    <w:pPr>
      <w:overflowPunct w:val="0"/>
      <w:autoSpaceDE w:val="0"/>
      <w:autoSpaceDN w:val="0"/>
      <w:adjustRightInd w:val="0"/>
      <w:spacing w:after="130"/>
      <w:jc w:val="right"/>
      <w:textAlignment w:val="baseline"/>
    </w:pPr>
    <w:rPr>
      <w:sz w:val="22"/>
      <w:szCs w:val="20"/>
      <w:u w:val="double"/>
    </w:rPr>
  </w:style>
  <w:style w:type="paragraph" w:customStyle="1" w:styleId="Single">
    <w:name w:val="Single"/>
    <w:basedOn w:val="Normal"/>
    <w:locked/>
    <w:pPr>
      <w:overflowPunct w:val="0"/>
      <w:autoSpaceDE w:val="0"/>
      <w:autoSpaceDN w:val="0"/>
      <w:adjustRightInd w:val="0"/>
      <w:spacing w:after="130"/>
      <w:jc w:val="right"/>
      <w:textAlignment w:val="baseline"/>
    </w:pPr>
    <w:rPr>
      <w:sz w:val="22"/>
      <w:szCs w:val="20"/>
      <w:u w:val="single"/>
    </w:rPr>
  </w:style>
  <w:style w:type="paragraph" w:customStyle="1" w:styleId="NoDecAlign">
    <w:name w:val="NoDecAlign"/>
    <w:basedOn w:val="Normal"/>
    <w:locked/>
    <w:pPr>
      <w:tabs>
        <w:tab w:val="decimal" w:pos="1021"/>
      </w:tabs>
      <w:overflowPunct w:val="0"/>
      <w:autoSpaceDE w:val="0"/>
      <w:autoSpaceDN w:val="0"/>
      <w:adjustRightInd w:val="0"/>
      <w:jc w:val="both"/>
      <w:textAlignment w:val="baseline"/>
    </w:pPr>
    <w:rPr>
      <w:sz w:val="18"/>
      <w:szCs w:val="20"/>
    </w:rPr>
  </w:style>
  <w:style w:type="paragraph" w:customStyle="1" w:styleId="ACSub-head">
    <w:name w:val="AC Sub-head"/>
    <w:basedOn w:val="Normal"/>
    <w:locked/>
    <w:pPr>
      <w:widowControl w:val="0"/>
      <w:suppressAutoHyphens/>
      <w:overflowPunct w:val="0"/>
      <w:autoSpaceDE w:val="0"/>
      <w:autoSpaceDN w:val="0"/>
      <w:adjustRightInd w:val="0"/>
      <w:textAlignment w:val="baseline"/>
    </w:pPr>
    <w:rPr>
      <w:b/>
      <w:i/>
      <w:sz w:val="20"/>
      <w:szCs w:val="20"/>
    </w:rPr>
  </w:style>
  <w:style w:type="paragraph" w:styleId="BodyTextIndent3">
    <w:name w:val="Body Text Indent 3"/>
    <w:basedOn w:val="Normal"/>
    <w:pPr>
      <w:ind w:left="720"/>
    </w:pPr>
    <w:rPr>
      <w:sz w:val="20"/>
    </w:rPr>
  </w:style>
  <w:style w:type="character" w:customStyle="1" w:styleId="DeltaViewInsertion">
    <w:name w:val="DeltaView Insertion"/>
    <w:locked/>
    <w:rPr>
      <w:color w:val="0000FF"/>
      <w:spacing w:val="0"/>
      <w:u w:val="double"/>
    </w:rPr>
  </w:style>
  <w:style w:type="paragraph" w:customStyle="1" w:styleId="ManualNum">
    <w:name w:val="Manual Num"/>
    <w:basedOn w:val="Normal"/>
    <w:next w:val="Normal"/>
    <w:locked/>
    <w:pPr>
      <w:overflowPunct w:val="0"/>
      <w:autoSpaceDE w:val="0"/>
      <w:autoSpaceDN w:val="0"/>
      <w:adjustRightInd w:val="0"/>
      <w:spacing w:before="80" w:after="100"/>
      <w:ind w:hanging="851"/>
      <w:textAlignment w:val="baseline"/>
    </w:pPr>
    <w:rPr>
      <w:sz w:val="22"/>
      <w:szCs w:val="20"/>
    </w:rPr>
  </w:style>
  <w:style w:type="paragraph" w:customStyle="1" w:styleId="ACSectionTOCHeading">
    <w:name w:val="AC Section TOC Heading"/>
    <w:basedOn w:val="Normal"/>
    <w:next w:val="ACText"/>
    <w:locked/>
    <w:pPr>
      <w:overflowPunct w:val="0"/>
      <w:autoSpaceDE w:val="0"/>
      <w:autoSpaceDN w:val="0"/>
      <w:adjustRightInd w:val="0"/>
      <w:jc w:val="both"/>
      <w:textAlignment w:val="baseline"/>
    </w:pPr>
    <w:rPr>
      <w:b/>
      <w:sz w:val="26"/>
      <w:szCs w:val="20"/>
    </w:rPr>
  </w:style>
  <w:style w:type="character" w:customStyle="1" w:styleId="ACSectionTOCHeadingChar">
    <w:name w:val="AC Section TOC Heading Char"/>
    <w:rPr>
      <w:b/>
      <w:sz w:val="26"/>
      <w:lang w:val="en-GB" w:eastAsia="en-US" w:bidi="ar-SA"/>
    </w:rPr>
  </w:style>
  <w:style w:type="paragraph" w:customStyle="1" w:styleId="LetTLH">
    <w:name w:val="LetTLH"/>
    <w:basedOn w:val="Normal"/>
    <w:next w:val="Normal"/>
    <w:locked/>
    <w:pPr>
      <w:keepLines/>
      <w:tabs>
        <w:tab w:val="left" w:pos="1463"/>
        <w:tab w:val="left" w:pos="4445"/>
        <w:tab w:val="left" w:pos="7326"/>
      </w:tabs>
      <w:overflowPunct w:val="0"/>
      <w:autoSpaceDE w:val="0"/>
      <w:autoSpaceDN w:val="0"/>
      <w:adjustRightInd w:val="0"/>
      <w:spacing w:after="260" w:line="240" w:lineRule="exact"/>
      <w:textAlignment w:val="baseline"/>
    </w:pPr>
    <w:rPr>
      <w:rFonts w:ascii="Univers 45 Light" w:hAnsi="Univers 45 Light"/>
      <w:sz w:val="16"/>
      <w:szCs w:val="20"/>
    </w:rPr>
  </w:style>
  <w:style w:type="paragraph" w:customStyle="1" w:styleId="ACBullet">
    <w:name w:val="AC Bullet"/>
    <w:basedOn w:val="Normal"/>
    <w:locked/>
    <w:pPr>
      <w:overflowPunct w:val="0"/>
      <w:autoSpaceDE w:val="0"/>
      <w:autoSpaceDN w:val="0"/>
      <w:adjustRightInd w:val="0"/>
      <w:spacing w:before="130"/>
      <w:jc w:val="both"/>
      <w:textAlignment w:val="baseline"/>
    </w:pPr>
    <w:rPr>
      <w:sz w:val="20"/>
      <w:szCs w:val="20"/>
      <w:lang w:eastAsia="en-GB"/>
    </w:rPr>
  </w:style>
  <w:style w:type="character" w:customStyle="1" w:styleId="ACTextChar">
    <w:name w:val="AC Text Char"/>
    <w:rPr>
      <w:lang w:val="en-GB" w:eastAsia="en-US" w:bidi="ar-SA"/>
    </w:rPr>
  </w:style>
  <w:style w:type="paragraph" w:customStyle="1" w:styleId="bullet">
    <w:name w:val="bullet"/>
    <w:basedOn w:val="Normal"/>
    <w:pPr>
      <w:numPr>
        <w:numId w:val="2"/>
      </w:numPr>
      <w:overflowPunct w:val="0"/>
      <w:autoSpaceDE w:val="0"/>
      <w:autoSpaceDN w:val="0"/>
      <w:spacing w:before="130"/>
      <w:jc w:val="both"/>
    </w:pPr>
    <w:rPr>
      <w:sz w:val="18"/>
      <w:szCs w:val="18"/>
      <w:lang w:val="en-US"/>
    </w:rPr>
  </w:style>
  <w:style w:type="paragraph" w:customStyle="1" w:styleId="actext0">
    <w:name w:val="actext"/>
    <w:basedOn w:val="Normal"/>
    <w:pPr>
      <w:overflowPunct w:val="0"/>
      <w:autoSpaceDE w:val="0"/>
      <w:autoSpaceDN w:val="0"/>
      <w:spacing w:before="130"/>
      <w:jc w:val="both"/>
    </w:pPr>
    <w:rPr>
      <w:sz w:val="20"/>
      <w:szCs w:val="20"/>
      <w:lang w:val="en-US"/>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paragraph" w:customStyle="1" w:styleId="Style10ptJustifiedRight001cm">
    <w:name w:val="Style 10 pt Justified Right:  0.01 cm"/>
    <w:basedOn w:val="Normal"/>
    <w:pPr>
      <w:ind w:right="3"/>
      <w:jc w:val="both"/>
    </w:pPr>
    <w:rPr>
      <w:sz w:val="20"/>
      <w:szCs w:val="20"/>
    </w:rPr>
  </w:style>
  <w:style w:type="paragraph" w:styleId="BalloonText">
    <w:name w:val="Balloon Text"/>
    <w:basedOn w:val="Normal"/>
    <w:semiHidden/>
    <w:rPr>
      <w:rFonts w:ascii="Tahoma" w:hAnsi="Tahoma" w:cs="Tahoma"/>
      <w:sz w:val="16"/>
      <w:szCs w:val="16"/>
    </w:rPr>
  </w:style>
  <w:style w:type="paragraph" w:customStyle="1" w:styleId="Bullet0">
    <w:name w:val="Bullet"/>
    <w:basedOn w:val="Normal"/>
    <w:link w:val="BulletChar"/>
    <w:uiPriority w:val="1"/>
    <w:qFormat/>
    <w:pPr>
      <w:tabs>
        <w:tab w:val="left" w:pos="284"/>
        <w:tab w:val="num" w:pos="720"/>
      </w:tabs>
      <w:overflowPunct w:val="0"/>
      <w:autoSpaceDE w:val="0"/>
      <w:autoSpaceDN w:val="0"/>
      <w:adjustRightInd w:val="0"/>
      <w:spacing w:before="130"/>
      <w:ind w:left="720" w:hanging="360"/>
      <w:jc w:val="both"/>
      <w:textAlignment w:val="baseline"/>
    </w:pPr>
    <w:rPr>
      <w:sz w:val="18"/>
      <w:szCs w:val="20"/>
    </w:rPr>
  </w:style>
  <w:style w:type="paragraph" w:customStyle="1" w:styleId="ACPageHeading">
    <w:name w:val="AC Page Heading"/>
    <w:basedOn w:val="Normal"/>
    <w:pPr>
      <w:pageBreakBefore/>
      <w:suppressAutoHyphens/>
      <w:overflowPunct w:val="0"/>
      <w:autoSpaceDE w:val="0"/>
      <w:autoSpaceDN w:val="0"/>
      <w:adjustRightInd w:val="0"/>
      <w:jc w:val="both"/>
      <w:textAlignment w:val="baseline"/>
    </w:pPr>
    <w:rPr>
      <w:b/>
      <w:sz w:val="26"/>
      <w:szCs w:val="20"/>
    </w:rPr>
  </w:style>
  <w:style w:type="character" w:customStyle="1" w:styleId="ACPageHeadingChar">
    <w:name w:val="AC Page Heading Char"/>
    <w:rPr>
      <w:b/>
      <w:sz w:val="26"/>
      <w:lang w:val="en-GB"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E3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cketalign">
    <w:name w:val="Bracketalign"/>
    <w:basedOn w:val="Normal"/>
    <w:rsid w:val="00D739D3"/>
    <w:pPr>
      <w:overflowPunct w:val="0"/>
      <w:autoSpaceDE w:val="0"/>
      <w:autoSpaceDN w:val="0"/>
      <w:adjustRightInd w:val="0"/>
      <w:jc w:val="both"/>
      <w:textAlignment w:val="baseline"/>
    </w:pPr>
    <w:rPr>
      <w:sz w:val="18"/>
      <w:szCs w:val="20"/>
    </w:rPr>
  </w:style>
  <w:style w:type="paragraph" w:customStyle="1" w:styleId="Default">
    <w:name w:val="Default"/>
    <w:uiPriority w:val="99"/>
    <w:rsid w:val="00EE78C3"/>
    <w:pPr>
      <w:autoSpaceDE w:val="0"/>
      <w:autoSpaceDN w:val="0"/>
      <w:adjustRightInd w:val="0"/>
    </w:pPr>
    <w:rPr>
      <w:rFonts w:ascii="Arial" w:hAnsi="Arial" w:cs="Arial"/>
      <w:color w:val="000000"/>
      <w:sz w:val="24"/>
      <w:szCs w:val="24"/>
    </w:rPr>
  </w:style>
  <w:style w:type="character" w:customStyle="1" w:styleId="block">
    <w:name w:val="block"/>
    <w:basedOn w:val="DefaultParagraphFont"/>
    <w:rsid w:val="002E74A3"/>
  </w:style>
  <w:style w:type="paragraph" w:customStyle="1" w:styleId="bulletlist1">
    <w:name w:val="bullet list1"/>
    <w:basedOn w:val="Normal"/>
    <w:rsid w:val="00FF6A23"/>
    <w:pPr>
      <w:suppressAutoHyphens/>
      <w:autoSpaceDE w:val="0"/>
      <w:autoSpaceDN w:val="0"/>
      <w:adjustRightInd w:val="0"/>
      <w:spacing w:after="57" w:line="260" w:lineRule="atLeast"/>
      <w:ind w:left="420" w:hanging="136"/>
    </w:pPr>
    <w:rPr>
      <w:rFonts w:ascii="News Gothic MT" w:hAnsi="News Gothic MT" w:cs="News Gothic MT"/>
      <w:color w:val="000000"/>
      <w:sz w:val="20"/>
      <w:szCs w:val="20"/>
      <w:lang w:eastAsia="en-GB"/>
    </w:rPr>
  </w:style>
  <w:style w:type="character" w:customStyle="1" w:styleId="yvonneflynn">
    <w:name w:val="yvonne flynn"/>
    <w:semiHidden/>
    <w:rsid w:val="00FF6A23"/>
    <w:rPr>
      <w:rFonts w:ascii="Arial" w:hAnsi="Arial" w:cs="Arial"/>
      <w:color w:val="auto"/>
      <w:sz w:val="20"/>
      <w:szCs w:val="20"/>
    </w:rPr>
  </w:style>
  <w:style w:type="character" w:customStyle="1" w:styleId="normalbody">
    <w:name w:val="normalbody"/>
    <w:basedOn w:val="DefaultParagraphFont"/>
    <w:rsid w:val="00FF6A23"/>
  </w:style>
  <w:style w:type="character" w:customStyle="1" w:styleId="orangeboldsmall1">
    <w:name w:val="orangeboldsmall1"/>
    <w:rsid w:val="00F609DC"/>
    <w:rPr>
      <w:rFonts w:ascii="Arial" w:hAnsi="Arial" w:cs="Arial" w:hint="default"/>
      <w:b/>
      <w:bCs/>
      <w:color w:val="DE4218"/>
      <w:sz w:val="17"/>
      <w:szCs w:val="17"/>
    </w:rPr>
  </w:style>
  <w:style w:type="character" w:styleId="Emphasis">
    <w:name w:val="Emphasis"/>
    <w:qFormat/>
    <w:rsid w:val="00B92FB7"/>
    <w:rPr>
      <w:i/>
      <w:iCs/>
    </w:rPr>
  </w:style>
  <w:style w:type="paragraph" w:styleId="TOC1">
    <w:name w:val="toc 1"/>
    <w:basedOn w:val="Normal"/>
    <w:next w:val="Normal"/>
    <w:autoRedefine/>
    <w:uiPriority w:val="39"/>
    <w:rsid w:val="00EE60FD"/>
  </w:style>
  <w:style w:type="paragraph" w:styleId="TOC2">
    <w:name w:val="toc 2"/>
    <w:basedOn w:val="Normal"/>
    <w:next w:val="Normal"/>
    <w:autoRedefine/>
    <w:semiHidden/>
    <w:rsid w:val="00EE60FD"/>
    <w:pPr>
      <w:ind w:left="240"/>
    </w:pPr>
  </w:style>
  <w:style w:type="paragraph" w:styleId="TOC3">
    <w:name w:val="toc 3"/>
    <w:basedOn w:val="Normal"/>
    <w:next w:val="Normal"/>
    <w:autoRedefine/>
    <w:semiHidden/>
    <w:rsid w:val="00EE60FD"/>
    <w:pPr>
      <w:ind w:left="480"/>
    </w:pPr>
  </w:style>
  <w:style w:type="character" w:styleId="Hyperlink">
    <w:name w:val="Hyperlink"/>
    <w:uiPriority w:val="99"/>
    <w:rsid w:val="00EE60FD"/>
    <w:rPr>
      <w:color w:val="0000FF"/>
      <w:u w:val="single"/>
    </w:rPr>
  </w:style>
  <w:style w:type="paragraph" w:customStyle="1" w:styleId="bodytext0">
    <w:name w:val="body_text"/>
    <w:basedOn w:val="Normal"/>
    <w:rsid w:val="00FE2FD8"/>
    <w:pPr>
      <w:overflowPunct w:val="0"/>
      <w:autoSpaceDE w:val="0"/>
      <w:autoSpaceDN w:val="0"/>
      <w:adjustRightInd w:val="0"/>
      <w:spacing w:before="100" w:after="100"/>
      <w:textAlignment w:val="baseline"/>
    </w:pPr>
    <w:rPr>
      <w:szCs w:val="20"/>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3"/>
    <w:basedOn w:val="Normal"/>
    <w:link w:val="ListParagraphChar"/>
    <w:uiPriority w:val="34"/>
    <w:qFormat/>
    <w:rsid w:val="00441DDE"/>
    <w:pPr>
      <w:spacing w:line="260" w:lineRule="atLeast"/>
      <w:ind w:left="720"/>
      <w:contextualSpacing/>
    </w:pPr>
    <w:rPr>
      <w:sz w:val="20"/>
      <w:szCs w:val="20"/>
    </w:rPr>
  </w:style>
  <w:style w:type="paragraph" w:customStyle="1" w:styleId="FSMe">
    <w:name w:val="FS Me"/>
    <w:basedOn w:val="Normal"/>
    <w:rsid w:val="00E856FE"/>
    <w:pPr>
      <w:autoSpaceDE w:val="0"/>
      <w:autoSpaceDN w:val="0"/>
      <w:adjustRightInd w:val="0"/>
    </w:pPr>
    <w:rPr>
      <w:rFonts w:ascii="FS Me" w:hAnsi="FS Me"/>
      <w:b/>
      <w:szCs w:val="28"/>
      <w:lang w:val="en-US"/>
    </w:rPr>
  </w:style>
  <w:style w:type="paragraph" w:styleId="PlainText">
    <w:name w:val="Plain Text"/>
    <w:basedOn w:val="Normal"/>
    <w:rsid w:val="00831F08"/>
    <w:rPr>
      <w:rFonts w:ascii="Courier New" w:hAnsi="Courier New" w:cs="Courier New"/>
      <w:sz w:val="20"/>
      <w:szCs w:val="20"/>
      <w:lang w:eastAsia="en-GB"/>
    </w:rPr>
  </w:style>
  <w:style w:type="character" w:customStyle="1" w:styleId="isdaleg">
    <w:name w:val="isdaleg"/>
    <w:semiHidden/>
    <w:rsid w:val="00831F08"/>
    <w:rPr>
      <w:rFonts w:ascii="Arial" w:hAnsi="Arial" w:cs="Arial"/>
      <w:b w:val="0"/>
      <w:bCs w:val="0"/>
      <w:i w:val="0"/>
      <w:iCs w:val="0"/>
      <w:strike w:val="0"/>
      <w:color w:val="0000FF"/>
      <w:sz w:val="24"/>
      <w:szCs w:val="24"/>
      <w:u w:val="none"/>
    </w:rPr>
  </w:style>
  <w:style w:type="character" w:customStyle="1" w:styleId="flynny">
    <w:name w:val="flynny"/>
    <w:semiHidden/>
    <w:rsid w:val="00831F08"/>
    <w:rPr>
      <w:rFonts w:ascii="Arial" w:hAnsi="Arial" w:cs="Arial"/>
      <w:color w:val="000080"/>
      <w:sz w:val="20"/>
      <w:szCs w:val="20"/>
    </w:rPr>
  </w:style>
  <w:style w:type="paragraph" w:styleId="BodyTextFirstIndent">
    <w:name w:val="Body Text First Indent"/>
    <w:basedOn w:val="BodyText"/>
    <w:link w:val="BodyTextFirstIndentChar"/>
    <w:rsid w:val="00A76637"/>
    <w:pPr>
      <w:spacing w:after="120"/>
      <w:ind w:firstLine="210"/>
    </w:pPr>
    <w:rPr>
      <w:sz w:val="24"/>
    </w:rPr>
  </w:style>
  <w:style w:type="character" w:customStyle="1" w:styleId="BodyTextFirstIndentChar">
    <w:name w:val="Body Text First Indent Char"/>
    <w:link w:val="BodyTextFirstIndent"/>
    <w:semiHidden/>
    <w:rsid w:val="00A76637"/>
    <w:rPr>
      <w:sz w:val="24"/>
      <w:szCs w:val="24"/>
      <w:lang w:val="en-GB" w:eastAsia="en-US" w:bidi="ar-SA"/>
    </w:rPr>
  </w:style>
  <w:style w:type="character" w:customStyle="1" w:styleId="s3">
    <w:name w:val="s3"/>
    <w:basedOn w:val="DefaultParagraphFont"/>
    <w:rsid w:val="008A0213"/>
  </w:style>
  <w:style w:type="paragraph" w:styleId="ListBullet">
    <w:name w:val="List Bullet"/>
    <w:basedOn w:val="Normal"/>
    <w:rsid w:val="00D52B0C"/>
    <w:pPr>
      <w:numPr>
        <w:numId w:val="3"/>
      </w:numPr>
      <w:contextualSpacing/>
    </w:pPr>
  </w:style>
  <w:style w:type="character" w:customStyle="1" w:styleId="CommentTextChar">
    <w:name w:val="Comment Text Char"/>
    <w:link w:val="CommentText"/>
    <w:uiPriority w:val="99"/>
    <w:rsid w:val="00E3059D"/>
    <w:rPr>
      <w:lang w:eastAsia="en-US"/>
    </w:rPr>
  </w:style>
  <w:style w:type="character" w:customStyle="1" w:styleId="HeaderChar">
    <w:name w:val="Header Char"/>
    <w:link w:val="Header"/>
    <w:uiPriority w:val="99"/>
    <w:rsid w:val="00E3059D"/>
    <w:rPr>
      <w:sz w:val="24"/>
      <w:szCs w:val="24"/>
      <w:lang w:eastAsia="en-US"/>
    </w:rPr>
  </w:style>
  <w:style w:type="character" w:customStyle="1" w:styleId="FooterChar">
    <w:name w:val="Footer Char"/>
    <w:link w:val="Footer"/>
    <w:uiPriority w:val="99"/>
    <w:rsid w:val="00E3059D"/>
    <w:rPr>
      <w:sz w:val="24"/>
      <w:szCs w:val="24"/>
      <w:lang w:eastAsia="en-US"/>
    </w:rPr>
  </w:style>
  <w:style w:type="character" w:customStyle="1" w:styleId="BodySingleChar">
    <w:name w:val="Body Single Char"/>
    <w:link w:val="BodySingle"/>
    <w:uiPriority w:val="1"/>
    <w:locked/>
    <w:rsid w:val="0011174F"/>
    <w:rPr>
      <w:rFonts w:ascii="Georgia" w:hAnsi="Georgia" w:cs="Georgia"/>
      <w:sz w:val="18"/>
      <w:szCs w:val="18"/>
    </w:rPr>
  </w:style>
  <w:style w:type="paragraph" w:customStyle="1" w:styleId="BodySingle">
    <w:name w:val="Body Single"/>
    <w:basedOn w:val="BodyText"/>
    <w:link w:val="BodySingleChar"/>
    <w:uiPriority w:val="1"/>
    <w:qFormat/>
    <w:rsid w:val="0011174F"/>
    <w:rPr>
      <w:rFonts w:ascii="Georgia" w:hAnsi="Georgia" w:cs="Georgia"/>
      <w:sz w:val="18"/>
      <w:szCs w:val="18"/>
      <w:lang w:eastAsia="en-GB"/>
    </w:rPr>
  </w:style>
  <w:style w:type="paragraph" w:customStyle="1" w:styleId="SignatureBefore">
    <w:name w:val="SignatureBefore"/>
    <w:basedOn w:val="BodySingle"/>
    <w:uiPriority w:val="99"/>
    <w:qFormat/>
    <w:rsid w:val="0011174F"/>
    <w:pPr>
      <w:spacing w:before="960"/>
    </w:pPr>
  </w:style>
  <w:style w:type="paragraph" w:customStyle="1" w:styleId="LetteredFootnote">
    <w:name w:val="LetteredFootnote"/>
    <w:basedOn w:val="BodyText"/>
    <w:qFormat/>
    <w:rsid w:val="0011174F"/>
    <w:pPr>
      <w:numPr>
        <w:numId w:val="4"/>
      </w:numPr>
      <w:spacing w:after="120"/>
    </w:pPr>
    <w:rPr>
      <w:rFonts w:ascii="Georgia" w:hAnsi="Georgia" w:cs="Georgia"/>
      <w:sz w:val="18"/>
      <w:szCs w:val="18"/>
      <w:lang w:eastAsia="en-GB"/>
    </w:rPr>
  </w:style>
  <w:style w:type="paragraph" w:customStyle="1" w:styleId="Heading1First">
    <w:name w:val="Heading 1 First"/>
    <w:basedOn w:val="Heading1"/>
    <w:qFormat/>
    <w:rsid w:val="0011174F"/>
    <w:pPr>
      <w:keepLines/>
      <w:spacing w:before="0" w:after="120"/>
    </w:pPr>
    <w:rPr>
      <w:rFonts w:ascii="Georgia" w:hAnsi="Georgia" w:cs="Georgia"/>
      <w:bCs w:val="0"/>
      <w:kern w:val="0"/>
      <w:sz w:val="28"/>
      <w:szCs w:val="28"/>
      <w:lang w:eastAsia="en-GB"/>
    </w:rPr>
  </w:style>
  <w:style w:type="character" w:customStyle="1" w:styleId="BodyTextChar">
    <w:name w:val="Body Text Char"/>
    <w:link w:val="BodyText"/>
    <w:rsid w:val="00262BCC"/>
    <w:rPr>
      <w:szCs w:val="24"/>
      <w:lang w:eastAsia="en-US"/>
    </w:rPr>
  </w:style>
  <w:style w:type="character" w:customStyle="1" w:styleId="TextChar">
    <w:name w:val="Text Char"/>
    <w:link w:val="Text"/>
    <w:rsid w:val="00C42DC5"/>
    <w:rPr>
      <w:sz w:val="22"/>
      <w:lang w:eastAsia="en-US"/>
    </w:rPr>
  </w:style>
  <w:style w:type="character" w:customStyle="1" w:styleId="BulletChar">
    <w:name w:val="Bullet Char"/>
    <w:link w:val="Bullet0"/>
    <w:uiPriority w:val="1"/>
    <w:rsid w:val="005F1E5E"/>
    <w:rPr>
      <w:sz w:val="18"/>
      <w:lang w:eastAsia="en-US"/>
    </w:rPr>
  </w:style>
  <w:style w:type="paragraph" w:customStyle="1" w:styleId="Pa2">
    <w:name w:val="Pa2"/>
    <w:basedOn w:val="Normal"/>
    <w:next w:val="Normal"/>
    <w:uiPriority w:val="99"/>
    <w:rsid w:val="00523173"/>
    <w:pPr>
      <w:autoSpaceDE w:val="0"/>
      <w:autoSpaceDN w:val="0"/>
      <w:adjustRightInd w:val="0"/>
      <w:spacing w:line="241" w:lineRule="atLeast"/>
    </w:pPr>
    <w:rPr>
      <w:rFonts w:ascii="Lato" w:eastAsia="Calibri" w:hAnsi="Lato"/>
    </w:rPr>
  </w:style>
  <w:style w:type="character" w:customStyle="1" w:styleId="A2">
    <w:name w:val="A2"/>
    <w:uiPriority w:val="99"/>
    <w:rsid w:val="00523173"/>
    <w:rPr>
      <w:rFonts w:ascii="Lato Light" w:hAnsi="Lato Light" w:cs="Lato Light" w:hint="default"/>
      <w:color w:val="000000"/>
      <w:sz w:val="18"/>
      <w:szCs w:val="18"/>
    </w:rPr>
  </w:style>
  <w:style w:type="paragraph" w:customStyle="1" w:styleId="Source">
    <w:name w:val="Source"/>
    <w:basedOn w:val="Normal"/>
    <w:next w:val="Normal"/>
    <w:uiPriority w:val="99"/>
    <w:rsid w:val="0086717A"/>
    <w:pPr>
      <w:keepLines/>
      <w:overflowPunct w:val="0"/>
      <w:autoSpaceDE w:val="0"/>
      <w:autoSpaceDN w:val="0"/>
      <w:adjustRightInd w:val="0"/>
      <w:spacing w:after="130" w:line="260" w:lineRule="exact"/>
      <w:jc w:val="both"/>
      <w:textAlignment w:val="baseline"/>
    </w:pPr>
    <w:rPr>
      <w:i/>
      <w:iCs/>
      <w:sz w:val="18"/>
      <w:szCs w:val="18"/>
    </w:rPr>
  </w:style>
  <w:style w:type="character" w:customStyle="1" w:styleId="Heading7Char">
    <w:name w:val="Heading 7 Char"/>
    <w:link w:val="Heading7"/>
    <w:uiPriority w:val="99"/>
    <w:rsid w:val="00FD4626"/>
    <w:rPr>
      <w:b/>
      <w:bCs/>
      <w:szCs w:val="24"/>
      <w:lang w:eastAsia="en-US"/>
    </w:rPr>
  </w:style>
  <w:style w:type="character" w:customStyle="1" w:styleId="normaltextrun">
    <w:name w:val="normaltextrun"/>
    <w:basedOn w:val="DefaultParagraphFont"/>
    <w:rsid w:val="007A2CD9"/>
  </w:style>
  <w:style w:type="paragraph" w:customStyle="1" w:styleId="paragraph">
    <w:name w:val="paragraph"/>
    <w:basedOn w:val="Normal"/>
    <w:rsid w:val="009241E6"/>
    <w:pPr>
      <w:spacing w:before="100" w:beforeAutospacing="1" w:after="100" w:afterAutospacing="1"/>
    </w:pPr>
    <w:rPr>
      <w:lang w:eastAsia="en-GB"/>
    </w:rPr>
  </w:style>
  <w:style w:type="character" w:customStyle="1" w:styleId="eop">
    <w:name w:val="eop"/>
    <w:basedOn w:val="DefaultParagraphFont"/>
    <w:rsid w:val="009241E6"/>
  </w:style>
  <w:style w:type="paragraph" w:styleId="Revision">
    <w:name w:val="Revision"/>
    <w:hidden/>
    <w:uiPriority w:val="99"/>
    <w:semiHidden/>
    <w:rsid w:val="00B2026C"/>
    <w:rPr>
      <w:sz w:val="24"/>
      <w:szCs w:val="24"/>
      <w:lang w:eastAsia="en-US"/>
    </w:rPr>
  </w:style>
  <w:style w:type="character" w:customStyle="1" w:styleId="BodyTextIndentChar">
    <w:name w:val="Body Text Indent Char"/>
    <w:link w:val="BodyTextIndent"/>
    <w:uiPriority w:val="99"/>
    <w:rsid w:val="00320A43"/>
    <w:rPr>
      <w:szCs w:val="24"/>
      <w:lang w:eastAsia="en-US"/>
    </w:rPr>
  </w:style>
  <w:style w:type="paragraph" w:customStyle="1" w:styleId="1point">
    <w:name w:val="1 point"/>
    <w:uiPriority w:val="98"/>
    <w:rsid w:val="00A16977"/>
    <w:pPr>
      <w:numPr>
        <w:numId w:val="25"/>
      </w:numPr>
      <w:tabs>
        <w:tab w:val="clear" w:pos="360"/>
      </w:tabs>
      <w:jc w:val="center"/>
    </w:pPr>
    <w:rPr>
      <w:sz w:val="2"/>
      <w:lang w:eastAsia="en-US"/>
    </w:rPr>
  </w:style>
  <w:style w:type="paragraph" w:customStyle="1" w:styleId="wordsection1">
    <w:name w:val="wordsection1"/>
    <w:basedOn w:val="Normal"/>
    <w:uiPriority w:val="99"/>
    <w:rsid w:val="00F727E1"/>
    <w:rPr>
      <w:rFonts w:eastAsiaTheme="minorHAnsi"/>
      <w:lang w:eastAsia="en-IN"/>
    </w:rPr>
  </w:style>
  <w:style w:type="character" w:styleId="Mention">
    <w:name w:val="Mention"/>
    <w:basedOn w:val="DefaultParagraphFont"/>
    <w:uiPriority w:val="99"/>
    <w:unhideWhenUsed/>
    <w:rsid w:val="006B6376"/>
    <w:rPr>
      <w:color w:val="2B579A"/>
      <w:shd w:val="clear" w:color="auto" w:fill="E1DFDD"/>
    </w:rPr>
  </w:style>
  <w:style w:type="character" w:styleId="FootnoteReference">
    <w:name w:val="footnote reference"/>
    <w:basedOn w:val="DefaultParagraphFont"/>
    <w:rsid w:val="00E9482E"/>
    <w:rPr>
      <w:rFonts w:ascii="Times New Roman" w:hAnsi="Times New Roman"/>
      <w:color w:val="FF0000"/>
      <w:sz w:val="20"/>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3 Char"/>
    <w:basedOn w:val="DefaultParagraphFont"/>
    <w:link w:val="ListParagraph"/>
    <w:uiPriority w:val="34"/>
    <w:qFormat/>
    <w:locked/>
    <w:rsid w:val="00507228"/>
    <w:rPr>
      <w:lang w:eastAsia="en-US"/>
    </w:rPr>
  </w:style>
  <w:style w:type="character" w:styleId="UnresolvedMention">
    <w:name w:val="Unresolved Mention"/>
    <w:basedOn w:val="DefaultParagraphFont"/>
    <w:uiPriority w:val="99"/>
    <w:semiHidden/>
    <w:unhideWhenUsed/>
    <w:rsid w:val="00D92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3269">
      <w:bodyDiv w:val="1"/>
      <w:marLeft w:val="0"/>
      <w:marRight w:val="0"/>
      <w:marTop w:val="0"/>
      <w:marBottom w:val="0"/>
      <w:divBdr>
        <w:top w:val="none" w:sz="0" w:space="0" w:color="auto"/>
        <w:left w:val="none" w:sz="0" w:space="0" w:color="auto"/>
        <w:bottom w:val="none" w:sz="0" w:space="0" w:color="auto"/>
        <w:right w:val="none" w:sz="0" w:space="0" w:color="auto"/>
      </w:divBdr>
    </w:div>
    <w:div w:id="30768325">
      <w:bodyDiv w:val="1"/>
      <w:marLeft w:val="0"/>
      <w:marRight w:val="0"/>
      <w:marTop w:val="0"/>
      <w:marBottom w:val="0"/>
      <w:divBdr>
        <w:top w:val="none" w:sz="0" w:space="0" w:color="auto"/>
        <w:left w:val="none" w:sz="0" w:space="0" w:color="auto"/>
        <w:bottom w:val="none" w:sz="0" w:space="0" w:color="auto"/>
        <w:right w:val="none" w:sz="0" w:space="0" w:color="auto"/>
      </w:divBdr>
    </w:div>
    <w:div w:id="54815007">
      <w:bodyDiv w:val="1"/>
      <w:marLeft w:val="0"/>
      <w:marRight w:val="0"/>
      <w:marTop w:val="0"/>
      <w:marBottom w:val="0"/>
      <w:divBdr>
        <w:top w:val="none" w:sz="0" w:space="0" w:color="auto"/>
        <w:left w:val="none" w:sz="0" w:space="0" w:color="auto"/>
        <w:bottom w:val="none" w:sz="0" w:space="0" w:color="auto"/>
        <w:right w:val="none" w:sz="0" w:space="0" w:color="auto"/>
      </w:divBdr>
    </w:div>
    <w:div w:id="58402363">
      <w:bodyDiv w:val="1"/>
      <w:marLeft w:val="0"/>
      <w:marRight w:val="0"/>
      <w:marTop w:val="0"/>
      <w:marBottom w:val="0"/>
      <w:divBdr>
        <w:top w:val="none" w:sz="0" w:space="0" w:color="auto"/>
        <w:left w:val="none" w:sz="0" w:space="0" w:color="auto"/>
        <w:bottom w:val="none" w:sz="0" w:space="0" w:color="auto"/>
        <w:right w:val="none" w:sz="0" w:space="0" w:color="auto"/>
      </w:divBdr>
    </w:div>
    <w:div w:id="102043731">
      <w:bodyDiv w:val="1"/>
      <w:marLeft w:val="0"/>
      <w:marRight w:val="0"/>
      <w:marTop w:val="0"/>
      <w:marBottom w:val="0"/>
      <w:divBdr>
        <w:top w:val="none" w:sz="0" w:space="0" w:color="auto"/>
        <w:left w:val="none" w:sz="0" w:space="0" w:color="auto"/>
        <w:bottom w:val="none" w:sz="0" w:space="0" w:color="auto"/>
        <w:right w:val="none" w:sz="0" w:space="0" w:color="auto"/>
      </w:divBdr>
    </w:div>
    <w:div w:id="102725403">
      <w:bodyDiv w:val="1"/>
      <w:marLeft w:val="0"/>
      <w:marRight w:val="0"/>
      <w:marTop w:val="0"/>
      <w:marBottom w:val="0"/>
      <w:divBdr>
        <w:top w:val="none" w:sz="0" w:space="0" w:color="auto"/>
        <w:left w:val="none" w:sz="0" w:space="0" w:color="auto"/>
        <w:bottom w:val="none" w:sz="0" w:space="0" w:color="auto"/>
        <w:right w:val="none" w:sz="0" w:space="0" w:color="auto"/>
      </w:divBdr>
    </w:div>
    <w:div w:id="104815089">
      <w:bodyDiv w:val="1"/>
      <w:marLeft w:val="0"/>
      <w:marRight w:val="0"/>
      <w:marTop w:val="0"/>
      <w:marBottom w:val="0"/>
      <w:divBdr>
        <w:top w:val="none" w:sz="0" w:space="0" w:color="auto"/>
        <w:left w:val="none" w:sz="0" w:space="0" w:color="auto"/>
        <w:bottom w:val="none" w:sz="0" w:space="0" w:color="auto"/>
        <w:right w:val="none" w:sz="0" w:space="0" w:color="auto"/>
      </w:divBdr>
    </w:div>
    <w:div w:id="139615670">
      <w:bodyDiv w:val="1"/>
      <w:marLeft w:val="0"/>
      <w:marRight w:val="0"/>
      <w:marTop w:val="0"/>
      <w:marBottom w:val="0"/>
      <w:divBdr>
        <w:top w:val="none" w:sz="0" w:space="0" w:color="auto"/>
        <w:left w:val="none" w:sz="0" w:space="0" w:color="auto"/>
        <w:bottom w:val="none" w:sz="0" w:space="0" w:color="auto"/>
        <w:right w:val="none" w:sz="0" w:space="0" w:color="auto"/>
      </w:divBdr>
    </w:div>
    <w:div w:id="191576167">
      <w:bodyDiv w:val="1"/>
      <w:marLeft w:val="0"/>
      <w:marRight w:val="0"/>
      <w:marTop w:val="0"/>
      <w:marBottom w:val="0"/>
      <w:divBdr>
        <w:top w:val="none" w:sz="0" w:space="0" w:color="auto"/>
        <w:left w:val="none" w:sz="0" w:space="0" w:color="auto"/>
        <w:bottom w:val="none" w:sz="0" w:space="0" w:color="auto"/>
        <w:right w:val="none" w:sz="0" w:space="0" w:color="auto"/>
      </w:divBdr>
    </w:div>
    <w:div w:id="202718852">
      <w:bodyDiv w:val="1"/>
      <w:marLeft w:val="0"/>
      <w:marRight w:val="0"/>
      <w:marTop w:val="0"/>
      <w:marBottom w:val="0"/>
      <w:divBdr>
        <w:top w:val="none" w:sz="0" w:space="0" w:color="auto"/>
        <w:left w:val="none" w:sz="0" w:space="0" w:color="auto"/>
        <w:bottom w:val="none" w:sz="0" w:space="0" w:color="auto"/>
        <w:right w:val="none" w:sz="0" w:space="0" w:color="auto"/>
      </w:divBdr>
    </w:div>
    <w:div w:id="228735322">
      <w:bodyDiv w:val="1"/>
      <w:marLeft w:val="0"/>
      <w:marRight w:val="0"/>
      <w:marTop w:val="0"/>
      <w:marBottom w:val="0"/>
      <w:divBdr>
        <w:top w:val="none" w:sz="0" w:space="0" w:color="auto"/>
        <w:left w:val="none" w:sz="0" w:space="0" w:color="auto"/>
        <w:bottom w:val="none" w:sz="0" w:space="0" w:color="auto"/>
        <w:right w:val="none" w:sz="0" w:space="0" w:color="auto"/>
      </w:divBdr>
    </w:div>
    <w:div w:id="253439460">
      <w:bodyDiv w:val="1"/>
      <w:marLeft w:val="0"/>
      <w:marRight w:val="0"/>
      <w:marTop w:val="0"/>
      <w:marBottom w:val="0"/>
      <w:divBdr>
        <w:top w:val="none" w:sz="0" w:space="0" w:color="auto"/>
        <w:left w:val="none" w:sz="0" w:space="0" w:color="auto"/>
        <w:bottom w:val="none" w:sz="0" w:space="0" w:color="auto"/>
        <w:right w:val="none" w:sz="0" w:space="0" w:color="auto"/>
      </w:divBdr>
    </w:div>
    <w:div w:id="267465698">
      <w:bodyDiv w:val="1"/>
      <w:marLeft w:val="0"/>
      <w:marRight w:val="0"/>
      <w:marTop w:val="0"/>
      <w:marBottom w:val="0"/>
      <w:divBdr>
        <w:top w:val="none" w:sz="0" w:space="0" w:color="auto"/>
        <w:left w:val="none" w:sz="0" w:space="0" w:color="auto"/>
        <w:bottom w:val="none" w:sz="0" w:space="0" w:color="auto"/>
        <w:right w:val="none" w:sz="0" w:space="0" w:color="auto"/>
      </w:divBdr>
    </w:div>
    <w:div w:id="282612754">
      <w:bodyDiv w:val="1"/>
      <w:marLeft w:val="0"/>
      <w:marRight w:val="0"/>
      <w:marTop w:val="0"/>
      <w:marBottom w:val="0"/>
      <w:divBdr>
        <w:top w:val="none" w:sz="0" w:space="0" w:color="auto"/>
        <w:left w:val="none" w:sz="0" w:space="0" w:color="auto"/>
        <w:bottom w:val="none" w:sz="0" w:space="0" w:color="auto"/>
        <w:right w:val="none" w:sz="0" w:space="0" w:color="auto"/>
      </w:divBdr>
    </w:div>
    <w:div w:id="370954818">
      <w:bodyDiv w:val="1"/>
      <w:marLeft w:val="0"/>
      <w:marRight w:val="0"/>
      <w:marTop w:val="0"/>
      <w:marBottom w:val="0"/>
      <w:divBdr>
        <w:top w:val="none" w:sz="0" w:space="0" w:color="auto"/>
        <w:left w:val="none" w:sz="0" w:space="0" w:color="auto"/>
        <w:bottom w:val="none" w:sz="0" w:space="0" w:color="auto"/>
        <w:right w:val="none" w:sz="0" w:space="0" w:color="auto"/>
      </w:divBdr>
    </w:div>
    <w:div w:id="401559959">
      <w:bodyDiv w:val="1"/>
      <w:marLeft w:val="0"/>
      <w:marRight w:val="0"/>
      <w:marTop w:val="0"/>
      <w:marBottom w:val="0"/>
      <w:divBdr>
        <w:top w:val="none" w:sz="0" w:space="0" w:color="auto"/>
        <w:left w:val="none" w:sz="0" w:space="0" w:color="auto"/>
        <w:bottom w:val="none" w:sz="0" w:space="0" w:color="auto"/>
        <w:right w:val="none" w:sz="0" w:space="0" w:color="auto"/>
      </w:divBdr>
    </w:div>
    <w:div w:id="413163512">
      <w:bodyDiv w:val="1"/>
      <w:marLeft w:val="0"/>
      <w:marRight w:val="0"/>
      <w:marTop w:val="0"/>
      <w:marBottom w:val="0"/>
      <w:divBdr>
        <w:top w:val="none" w:sz="0" w:space="0" w:color="auto"/>
        <w:left w:val="none" w:sz="0" w:space="0" w:color="auto"/>
        <w:bottom w:val="none" w:sz="0" w:space="0" w:color="auto"/>
        <w:right w:val="none" w:sz="0" w:space="0" w:color="auto"/>
      </w:divBdr>
    </w:div>
    <w:div w:id="449784700">
      <w:bodyDiv w:val="1"/>
      <w:marLeft w:val="0"/>
      <w:marRight w:val="0"/>
      <w:marTop w:val="0"/>
      <w:marBottom w:val="0"/>
      <w:divBdr>
        <w:top w:val="none" w:sz="0" w:space="0" w:color="auto"/>
        <w:left w:val="none" w:sz="0" w:space="0" w:color="auto"/>
        <w:bottom w:val="none" w:sz="0" w:space="0" w:color="auto"/>
        <w:right w:val="none" w:sz="0" w:space="0" w:color="auto"/>
      </w:divBdr>
    </w:div>
    <w:div w:id="451217717">
      <w:bodyDiv w:val="1"/>
      <w:marLeft w:val="0"/>
      <w:marRight w:val="0"/>
      <w:marTop w:val="0"/>
      <w:marBottom w:val="0"/>
      <w:divBdr>
        <w:top w:val="none" w:sz="0" w:space="0" w:color="auto"/>
        <w:left w:val="none" w:sz="0" w:space="0" w:color="auto"/>
        <w:bottom w:val="none" w:sz="0" w:space="0" w:color="auto"/>
        <w:right w:val="none" w:sz="0" w:space="0" w:color="auto"/>
      </w:divBdr>
    </w:div>
    <w:div w:id="452213756">
      <w:bodyDiv w:val="1"/>
      <w:marLeft w:val="0"/>
      <w:marRight w:val="0"/>
      <w:marTop w:val="0"/>
      <w:marBottom w:val="0"/>
      <w:divBdr>
        <w:top w:val="none" w:sz="0" w:space="0" w:color="auto"/>
        <w:left w:val="none" w:sz="0" w:space="0" w:color="auto"/>
        <w:bottom w:val="none" w:sz="0" w:space="0" w:color="auto"/>
        <w:right w:val="none" w:sz="0" w:space="0" w:color="auto"/>
      </w:divBdr>
    </w:div>
    <w:div w:id="477111580">
      <w:bodyDiv w:val="1"/>
      <w:marLeft w:val="0"/>
      <w:marRight w:val="0"/>
      <w:marTop w:val="0"/>
      <w:marBottom w:val="0"/>
      <w:divBdr>
        <w:top w:val="none" w:sz="0" w:space="0" w:color="auto"/>
        <w:left w:val="none" w:sz="0" w:space="0" w:color="auto"/>
        <w:bottom w:val="none" w:sz="0" w:space="0" w:color="auto"/>
        <w:right w:val="none" w:sz="0" w:space="0" w:color="auto"/>
      </w:divBdr>
    </w:div>
    <w:div w:id="497159039">
      <w:bodyDiv w:val="1"/>
      <w:marLeft w:val="0"/>
      <w:marRight w:val="0"/>
      <w:marTop w:val="0"/>
      <w:marBottom w:val="0"/>
      <w:divBdr>
        <w:top w:val="none" w:sz="0" w:space="0" w:color="auto"/>
        <w:left w:val="none" w:sz="0" w:space="0" w:color="auto"/>
        <w:bottom w:val="none" w:sz="0" w:space="0" w:color="auto"/>
        <w:right w:val="none" w:sz="0" w:space="0" w:color="auto"/>
      </w:divBdr>
    </w:div>
    <w:div w:id="508913266">
      <w:bodyDiv w:val="1"/>
      <w:marLeft w:val="0"/>
      <w:marRight w:val="0"/>
      <w:marTop w:val="0"/>
      <w:marBottom w:val="0"/>
      <w:divBdr>
        <w:top w:val="none" w:sz="0" w:space="0" w:color="auto"/>
        <w:left w:val="none" w:sz="0" w:space="0" w:color="auto"/>
        <w:bottom w:val="none" w:sz="0" w:space="0" w:color="auto"/>
        <w:right w:val="none" w:sz="0" w:space="0" w:color="auto"/>
      </w:divBdr>
    </w:div>
    <w:div w:id="560291347">
      <w:bodyDiv w:val="1"/>
      <w:marLeft w:val="0"/>
      <w:marRight w:val="0"/>
      <w:marTop w:val="0"/>
      <w:marBottom w:val="0"/>
      <w:divBdr>
        <w:top w:val="none" w:sz="0" w:space="0" w:color="auto"/>
        <w:left w:val="none" w:sz="0" w:space="0" w:color="auto"/>
        <w:bottom w:val="none" w:sz="0" w:space="0" w:color="auto"/>
        <w:right w:val="none" w:sz="0" w:space="0" w:color="auto"/>
      </w:divBdr>
    </w:div>
    <w:div w:id="562522826">
      <w:bodyDiv w:val="1"/>
      <w:marLeft w:val="0"/>
      <w:marRight w:val="0"/>
      <w:marTop w:val="0"/>
      <w:marBottom w:val="0"/>
      <w:divBdr>
        <w:top w:val="none" w:sz="0" w:space="0" w:color="auto"/>
        <w:left w:val="none" w:sz="0" w:space="0" w:color="auto"/>
        <w:bottom w:val="none" w:sz="0" w:space="0" w:color="auto"/>
        <w:right w:val="none" w:sz="0" w:space="0" w:color="auto"/>
      </w:divBdr>
    </w:div>
    <w:div w:id="573009984">
      <w:bodyDiv w:val="1"/>
      <w:marLeft w:val="0"/>
      <w:marRight w:val="0"/>
      <w:marTop w:val="0"/>
      <w:marBottom w:val="0"/>
      <w:divBdr>
        <w:top w:val="none" w:sz="0" w:space="0" w:color="auto"/>
        <w:left w:val="none" w:sz="0" w:space="0" w:color="auto"/>
        <w:bottom w:val="none" w:sz="0" w:space="0" w:color="auto"/>
        <w:right w:val="none" w:sz="0" w:space="0" w:color="auto"/>
      </w:divBdr>
    </w:div>
    <w:div w:id="579870876">
      <w:bodyDiv w:val="1"/>
      <w:marLeft w:val="0"/>
      <w:marRight w:val="0"/>
      <w:marTop w:val="0"/>
      <w:marBottom w:val="0"/>
      <w:divBdr>
        <w:top w:val="none" w:sz="0" w:space="0" w:color="auto"/>
        <w:left w:val="none" w:sz="0" w:space="0" w:color="auto"/>
        <w:bottom w:val="none" w:sz="0" w:space="0" w:color="auto"/>
        <w:right w:val="none" w:sz="0" w:space="0" w:color="auto"/>
      </w:divBdr>
      <w:divsChild>
        <w:div w:id="55396473">
          <w:marLeft w:val="0"/>
          <w:marRight w:val="0"/>
          <w:marTop w:val="0"/>
          <w:marBottom w:val="0"/>
          <w:divBdr>
            <w:top w:val="none" w:sz="0" w:space="0" w:color="auto"/>
            <w:left w:val="none" w:sz="0" w:space="0" w:color="auto"/>
            <w:bottom w:val="none" w:sz="0" w:space="0" w:color="auto"/>
            <w:right w:val="none" w:sz="0" w:space="0" w:color="auto"/>
          </w:divBdr>
        </w:div>
        <w:div w:id="107968213">
          <w:marLeft w:val="0"/>
          <w:marRight w:val="0"/>
          <w:marTop w:val="0"/>
          <w:marBottom w:val="0"/>
          <w:divBdr>
            <w:top w:val="none" w:sz="0" w:space="0" w:color="auto"/>
            <w:left w:val="none" w:sz="0" w:space="0" w:color="auto"/>
            <w:bottom w:val="none" w:sz="0" w:space="0" w:color="auto"/>
            <w:right w:val="none" w:sz="0" w:space="0" w:color="auto"/>
          </w:divBdr>
        </w:div>
        <w:div w:id="117262379">
          <w:marLeft w:val="0"/>
          <w:marRight w:val="0"/>
          <w:marTop w:val="0"/>
          <w:marBottom w:val="0"/>
          <w:divBdr>
            <w:top w:val="none" w:sz="0" w:space="0" w:color="auto"/>
            <w:left w:val="none" w:sz="0" w:space="0" w:color="auto"/>
            <w:bottom w:val="none" w:sz="0" w:space="0" w:color="auto"/>
            <w:right w:val="none" w:sz="0" w:space="0" w:color="auto"/>
          </w:divBdr>
        </w:div>
        <w:div w:id="584188206">
          <w:marLeft w:val="0"/>
          <w:marRight w:val="0"/>
          <w:marTop w:val="0"/>
          <w:marBottom w:val="0"/>
          <w:divBdr>
            <w:top w:val="none" w:sz="0" w:space="0" w:color="auto"/>
            <w:left w:val="none" w:sz="0" w:space="0" w:color="auto"/>
            <w:bottom w:val="none" w:sz="0" w:space="0" w:color="auto"/>
            <w:right w:val="none" w:sz="0" w:space="0" w:color="auto"/>
          </w:divBdr>
        </w:div>
        <w:div w:id="712121268">
          <w:marLeft w:val="0"/>
          <w:marRight w:val="0"/>
          <w:marTop w:val="0"/>
          <w:marBottom w:val="0"/>
          <w:divBdr>
            <w:top w:val="none" w:sz="0" w:space="0" w:color="auto"/>
            <w:left w:val="none" w:sz="0" w:space="0" w:color="auto"/>
            <w:bottom w:val="none" w:sz="0" w:space="0" w:color="auto"/>
            <w:right w:val="none" w:sz="0" w:space="0" w:color="auto"/>
          </w:divBdr>
        </w:div>
        <w:div w:id="759910974">
          <w:marLeft w:val="0"/>
          <w:marRight w:val="0"/>
          <w:marTop w:val="0"/>
          <w:marBottom w:val="0"/>
          <w:divBdr>
            <w:top w:val="none" w:sz="0" w:space="0" w:color="auto"/>
            <w:left w:val="none" w:sz="0" w:space="0" w:color="auto"/>
            <w:bottom w:val="none" w:sz="0" w:space="0" w:color="auto"/>
            <w:right w:val="none" w:sz="0" w:space="0" w:color="auto"/>
          </w:divBdr>
        </w:div>
        <w:div w:id="1245993644">
          <w:marLeft w:val="0"/>
          <w:marRight w:val="0"/>
          <w:marTop w:val="0"/>
          <w:marBottom w:val="0"/>
          <w:divBdr>
            <w:top w:val="none" w:sz="0" w:space="0" w:color="auto"/>
            <w:left w:val="none" w:sz="0" w:space="0" w:color="auto"/>
            <w:bottom w:val="none" w:sz="0" w:space="0" w:color="auto"/>
            <w:right w:val="none" w:sz="0" w:space="0" w:color="auto"/>
          </w:divBdr>
        </w:div>
        <w:div w:id="1645623625">
          <w:marLeft w:val="0"/>
          <w:marRight w:val="0"/>
          <w:marTop w:val="0"/>
          <w:marBottom w:val="0"/>
          <w:divBdr>
            <w:top w:val="none" w:sz="0" w:space="0" w:color="auto"/>
            <w:left w:val="none" w:sz="0" w:space="0" w:color="auto"/>
            <w:bottom w:val="none" w:sz="0" w:space="0" w:color="auto"/>
            <w:right w:val="none" w:sz="0" w:space="0" w:color="auto"/>
          </w:divBdr>
        </w:div>
        <w:div w:id="1863783141">
          <w:marLeft w:val="0"/>
          <w:marRight w:val="0"/>
          <w:marTop w:val="0"/>
          <w:marBottom w:val="0"/>
          <w:divBdr>
            <w:top w:val="none" w:sz="0" w:space="0" w:color="auto"/>
            <w:left w:val="none" w:sz="0" w:space="0" w:color="auto"/>
            <w:bottom w:val="none" w:sz="0" w:space="0" w:color="auto"/>
            <w:right w:val="none" w:sz="0" w:space="0" w:color="auto"/>
          </w:divBdr>
        </w:div>
        <w:div w:id="1945919941">
          <w:marLeft w:val="0"/>
          <w:marRight w:val="0"/>
          <w:marTop w:val="0"/>
          <w:marBottom w:val="0"/>
          <w:divBdr>
            <w:top w:val="none" w:sz="0" w:space="0" w:color="auto"/>
            <w:left w:val="none" w:sz="0" w:space="0" w:color="auto"/>
            <w:bottom w:val="none" w:sz="0" w:space="0" w:color="auto"/>
            <w:right w:val="none" w:sz="0" w:space="0" w:color="auto"/>
          </w:divBdr>
        </w:div>
        <w:div w:id="1963418248">
          <w:marLeft w:val="0"/>
          <w:marRight w:val="0"/>
          <w:marTop w:val="0"/>
          <w:marBottom w:val="0"/>
          <w:divBdr>
            <w:top w:val="none" w:sz="0" w:space="0" w:color="auto"/>
            <w:left w:val="none" w:sz="0" w:space="0" w:color="auto"/>
            <w:bottom w:val="none" w:sz="0" w:space="0" w:color="auto"/>
            <w:right w:val="none" w:sz="0" w:space="0" w:color="auto"/>
          </w:divBdr>
        </w:div>
        <w:div w:id="1968201405">
          <w:marLeft w:val="0"/>
          <w:marRight w:val="0"/>
          <w:marTop w:val="0"/>
          <w:marBottom w:val="0"/>
          <w:divBdr>
            <w:top w:val="none" w:sz="0" w:space="0" w:color="auto"/>
            <w:left w:val="none" w:sz="0" w:space="0" w:color="auto"/>
            <w:bottom w:val="none" w:sz="0" w:space="0" w:color="auto"/>
            <w:right w:val="none" w:sz="0" w:space="0" w:color="auto"/>
          </w:divBdr>
        </w:div>
      </w:divsChild>
    </w:div>
    <w:div w:id="608397649">
      <w:bodyDiv w:val="1"/>
      <w:marLeft w:val="0"/>
      <w:marRight w:val="0"/>
      <w:marTop w:val="0"/>
      <w:marBottom w:val="0"/>
      <w:divBdr>
        <w:top w:val="none" w:sz="0" w:space="0" w:color="auto"/>
        <w:left w:val="none" w:sz="0" w:space="0" w:color="auto"/>
        <w:bottom w:val="none" w:sz="0" w:space="0" w:color="auto"/>
        <w:right w:val="none" w:sz="0" w:space="0" w:color="auto"/>
      </w:divBdr>
    </w:div>
    <w:div w:id="637997023">
      <w:bodyDiv w:val="1"/>
      <w:marLeft w:val="0"/>
      <w:marRight w:val="0"/>
      <w:marTop w:val="0"/>
      <w:marBottom w:val="0"/>
      <w:divBdr>
        <w:top w:val="none" w:sz="0" w:space="0" w:color="auto"/>
        <w:left w:val="none" w:sz="0" w:space="0" w:color="auto"/>
        <w:bottom w:val="none" w:sz="0" w:space="0" w:color="auto"/>
        <w:right w:val="none" w:sz="0" w:space="0" w:color="auto"/>
      </w:divBdr>
    </w:div>
    <w:div w:id="667446273">
      <w:bodyDiv w:val="1"/>
      <w:marLeft w:val="0"/>
      <w:marRight w:val="0"/>
      <w:marTop w:val="0"/>
      <w:marBottom w:val="0"/>
      <w:divBdr>
        <w:top w:val="none" w:sz="0" w:space="0" w:color="auto"/>
        <w:left w:val="none" w:sz="0" w:space="0" w:color="auto"/>
        <w:bottom w:val="none" w:sz="0" w:space="0" w:color="auto"/>
        <w:right w:val="none" w:sz="0" w:space="0" w:color="auto"/>
      </w:divBdr>
    </w:div>
    <w:div w:id="676228456">
      <w:bodyDiv w:val="1"/>
      <w:marLeft w:val="0"/>
      <w:marRight w:val="0"/>
      <w:marTop w:val="0"/>
      <w:marBottom w:val="0"/>
      <w:divBdr>
        <w:top w:val="none" w:sz="0" w:space="0" w:color="auto"/>
        <w:left w:val="none" w:sz="0" w:space="0" w:color="auto"/>
        <w:bottom w:val="none" w:sz="0" w:space="0" w:color="auto"/>
        <w:right w:val="none" w:sz="0" w:space="0" w:color="auto"/>
      </w:divBdr>
    </w:div>
    <w:div w:id="702480385">
      <w:bodyDiv w:val="1"/>
      <w:marLeft w:val="0"/>
      <w:marRight w:val="0"/>
      <w:marTop w:val="0"/>
      <w:marBottom w:val="0"/>
      <w:divBdr>
        <w:top w:val="none" w:sz="0" w:space="0" w:color="auto"/>
        <w:left w:val="none" w:sz="0" w:space="0" w:color="auto"/>
        <w:bottom w:val="none" w:sz="0" w:space="0" w:color="auto"/>
        <w:right w:val="none" w:sz="0" w:space="0" w:color="auto"/>
      </w:divBdr>
    </w:div>
    <w:div w:id="727848536">
      <w:bodyDiv w:val="1"/>
      <w:marLeft w:val="0"/>
      <w:marRight w:val="0"/>
      <w:marTop w:val="0"/>
      <w:marBottom w:val="0"/>
      <w:divBdr>
        <w:top w:val="none" w:sz="0" w:space="0" w:color="auto"/>
        <w:left w:val="none" w:sz="0" w:space="0" w:color="auto"/>
        <w:bottom w:val="none" w:sz="0" w:space="0" w:color="auto"/>
        <w:right w:val="none" w:sz="0" w:space="0" w:color="auto"/>
      </w:divBdr>
    </w:div>
    <w:div w:id="728111584">
      <w:bodyDiv w:val="1"/>
      <w:marLeft w:val="0"/>
      <w:marRight w:val="0"/>
      <w:marTop w:val="0"/>
      <w:marBottom w:val="0"/>
      <w:divBdr>
        <w:top w:val="none" w:sz="0" w:space="0" w:color="auto"/>
        <w:left w:val="none" w:sz="0" w:space="0" w:color="auto"/>
        <w:bottom w:val="none" w:sz="0" w:space="0" w:color="auto"/>
        <w:right w:val="none" w:sz="0" w:space="0" w:color="auto"/>
      </w:divBdr>
    </w:div>
    <w:div w:id="732773911">
      <w:bodyDiv w:val="1"/>
      <w:marLeft w:val="0"/>
      <w:marRight w:val="0"/>
      <w:marTop w:val="0"/>
      <w:marBottom w:val="0"/>
      <w:divBdr>
        <w:top w:val="none" w:sz="0" w:space="0" w:color="auto"/>
        <w:left w:val="none" w:sz="0" w:space="0" w:color="auto"/>
        <w:bottom w:val="none" w:sz="0" w:space="0" w:color="auto"/>
        <w:right w:val="none" w:sz="0" w:space="0" w:color="auto"/>
      </w:divBdr>
    </w:div>
    <w:div w:id="751510842">
      <w:bodyDiv w:val="1"/>
      <w:marLeft w:val="0"/>
      <w:marRight w:val="0"/>
      <w:marTop w:val="0"/>
      <w:marBottom w:val="0"/>
      <w:divBdr>
        <w:top w:val="none" w:sz="0" w:space="0" w:color="auto"/>
        <w:left w:val="none" w:sz="0" w:space="0" w:color="auto"/>
        <w:bottom w:val="none" w:sz="0" w:space="0" w:color="auto"/>
        <w:right w:val="none" w:sz="0" w:space="0" w:color="auto"/>
      </w:divBdr>
      <w:divsChild>
        <w:div w:id="87240367">
          <w:marLeft w:val="0"/>
          <w:marRight w:val="0"/>
          <w:marTop w:val="0"/>
          <w:marBottom w:val="0"/>
          <w:divBdr>
            <w:top w:val="none" w:sz="0" w:space="0" w:color="auto"/>
            <w:left w:val="none" w:sz="0" w:space="0" w:color="auto"/>
            <w:bottom w:val="none" w:sz="0" w:space="0" w:color="auto"/>
            <w:right w:val="none" w:sz="0" w:space="0" w:color="auto"/>
          </w:divBdr>
        </w:div>
        <w:div w:id="238180307">
          <w:marLeft w:val="0"/>
          <w:marRight w:val="0"/>
          <w:marTop w:val="0"/>
          <w:marBottom w:val="0"/>
          <w:divBdr>
            <w:top w:val="none" w:sz="0" w:space="0" w:color="auto"/>
            <w:left w:val="none" w:sz="0" w:space="0" w:color="auto"/>
            <w:bottom w:val="none" w:sz="0" w:space="0" w:color="auto"/>
            <w:right w:val="none" w:sz="0" w:space="0" w:color="auto"/>
          </w:divBdr>
        </w:div>
        <w:div w:id="260533298">
          <w:marLeft w:val="0"/>
          <w:marRight w:val="0"/>
          <w:marTop w:val="0"/>
          <w:marBottom w:val="0"/>
          <w:divBdr>
            <w:top w:val="none" w:sz="0" w:space="0" w:color="auto"/>
            <w:left w:val="none" w:sz="0" w:space="0" w:color="auto"/>
            <w:bottom w:val="none" w:sz="0" w:space="0" w:color="auto"/>
            <w:right w:val="none" w:sz="0" w:space="0" w:color="auto"/>
          </w:divBdr>
        </w:div>
        <w:div w:id="501243279">
          <w:marLeft w:val="0"/>
          <w:marRight w:val="0"/>
          <w:marTop w:val="0"/>
          <w:marBottom w:val="0"/>
          <w:divBdr>
            <w:top w:val="none" w:sz="0" w:space="0" w:color="auto"/>
            <w:left w:val="none" w:sz="0" w:space="0" w:color="auto"/>
            <w:bottom w:val="none" w:sz="0" w:space="0" w:color="auto"/>
            <w:right w:val="none" w:sz="0" w:space="0" w:color="auto"/>
          </w:divBdr>
        </w:div>
        <w:div w:id="603001332">
          <w:marLeft w:val="0"/>
          <w:marRight w:val="0"/>
          <w:marTop w:val="0"/>
          <w:marBottom w:val="0"/>
          <w:divBdr>
            <w:top w:val="none" w:sz="0" w:space="0" w:color="auto"/>
            <w:left w:val="none" w:sz="0" w:space="0" w:color="auto"/>
            <w:bottom w:val="none" w:sz="0" w:space="0" w:color="auto"/>
            <w:right w:val="none" w:sz="0" w:space="0" w:color="auto"/>
          </w:divBdr>
        </w:div>
        <w:div w:id="723259024">
          <w:marLeft w:val="0"/>
          <w:marRight w:val="0"/>
          <w:marTop w:val="0"/>
          <w:marBottom w:val="0"/>
          <w:divBdr>
            <w:top w:val="none" w:sz="0" w:space="0" w:color="auto"/>
            <w:left w:val="none" w:sz="0" w:space="0" w:color="auto"/>
            <w:bottom w:val="none" w:sz="0" w:space="0" w:color="auto"/>
            <w:right w:val="none" w:sz="0" w:space="0" w:color="auto"/>
          </w:divBdr>
        </w:div>
        <w:div w:id="882254266">
          <w:marLeft w:val="0"/>
          <w:marRight w:val="0"/>
          <w:marTop w:val="0"/>
          <w:marBottom w:val="0"/>
          <w:divBdr>
            <w:top w:val="none" w:sz="0" w:space="0" w:color="auto"/>
            <w:left w:val="none" w:sz="0" w:space="0" w:color="auto"/>
            <w:bottom w:val="none" w:sz="0" w:space="0" w:color="auto"/>
            <w:right w:val="none" w:sz="0" w:space="0" w:color="auto"/>
          </w:divBdr>
        </w:div>
        <w:div w:id="913323554">
          <w:marLeft w:val="0"/>
          <w:marRight w:val="0"/>
          <w:marTop w:val="0"/>
          <w:marBottom w:val="0"/>
          <w:divBdr>
            <w:top w:val="none" w:sz="0" w:space="0" w:color="auto"/>
            <w:left w:val="none" w:sz="0" w:space="0" w:color="auto"/>
            <w:bottom w:val="none" w:sz="0" w:space="0" w:color="auto"/>
            <w:right w:val="none" w:sz="0" w:space="0" w:color="auto"/>
          </w:divBdr>
        </w:div>
        <w:div w:id="1058821747">
          <w:marLeft w:val="0"/>
          <w:marRight w:val="0"/>
          <w:marTop w:val="0"/>
          <w:marBottom w:val="0"/>
          <w:divBdr>
            <w:top w:val="none" w:sz="0" w:space="0" w:color="auto"/>
            <w:left w:val="none" w:sz="0" w:space="0" w:color="auto"/>
            <w:bottom w:val="none" w:sz="0" w:space="0" w:color="auto"/>
            <w:right w:val="none" w:sz="0" w:space="0" w:color="auto"/>
          </w:divBdr>
        </w:div>
        <w:div w:id="1218928981">
          <w:marLeft w:val="0"/>
          <w:marRight w:val="0"/>
          <w:marTop w:val="0"/>
          <w:marBottom w:val="0"/>
          <w:divBdr>
            <w:top w:val="none" w:sz="0" w:space="0" w:color="auto"/>
            <w:left w:val="none" w:sz="0" w:space="0" w:color="auto"/>
            <w:bottom w:val="none" w:sz="0" w:space="0" w:color="auto"/>
            <w:right w:val="none" w:sz="0" w:space="0" w:color="auto"/>
          </w:divBdr>
        </w:div>
        <w:div w:id="1282423222">
          <w:marLeft w:val="0"/>
          <w:marRight w:val="0"/>
          <w:marTop w:val="0"/>
          <w:marBottom w:val="0"/>
          <w:divBdr>
            <w:top w:val="none" w:sz="0" w:space="0" w:color="auto"/>
            <w:left w:val="none" w:sz="0" w:space="0" w:color="auto"/>
            <w:bottom w:val="none" w:sz="0" w:space="0" w:color="auto"/>
            <w:right w:val="none" w:sz="0" w:space="0" w:color="auto"/>
          </w:divBdr>
        </w:div>
        <w:div w:id="1307010583">
          <w:marLeft w:val="0"/>
          <w:marRight w:val="0"/>
          <w:marTop w:val="0"/>
          <w:marBottom w:val="0"/>
          <w:divBdr>
            <w:top w:val="none" w:sz="0" w:space="0" w:color="auto"/>
            <w:left w:val="none" w:sz="0" w:space="0" w:color="auto"/>
            <w:bottom w:val="none" w:sz="0" w:space="0" w:color="auto"/>
            <w:right w:val="none" w:sz="0" w:space="0" w:color="auto"/>
          </w:divBdr>
        </w:div>
        <w:div w:id="1442140694">
          <w:marLeft w:val="0"/>
          <w:marRight w:val="0"/>
          <w:marTop w:val="0"/>
          <w:marBottom w:val="0"/>
          <w:divBdr>
            <w:top w:val="none" w:sz="0" w:space="0" w:color="auto"/>
            <w:left w:val="none" w:sz="0" w:space="0" w:color="auto"/>
            <w:bottom w:val="none" w:sz="0" w:space="0" w:color="auto"/>
            <w:right w:val="none" w:sz="0" w:space="0" w:color="auto"/>
          </w:divBdr>
        </w:div>
        <w:div w:id="1754232439">
          <w:marLeft w:val="0"/>
          <w:marRight w:val="0"/>
          <w:marTop w:val="0"/>
          <w:marBottom w:val="0"/>
          <w:divBdr>
            <w:top w:val="none" w:sz="0" w:space="0" w:color="auto"/>
            <w:left w:val="none" w:sz="0" w:space="0" w:color="auto"/>
            <w:bottom w:val="none" w:sz="0" w:space="0" w:color="auto"/>
            <w:right w:val="none" w:sz="0" w:space="0" w:color="auto"/>
          </w:divBdr>
        </w:div>
        <w:div w:id="2067945119">
          <w:marLeft w:val="0"/>
          <w:marRight w:val="0"/>
          <w:marTop w:val="0"/>
          <w:marBottom w:val="0"/>
          <w:divBdr>
            <w:top w:val="none" w:sz="0" w:space="0" w:color="auto"/>
            <w:left w:val="none" w:sz="0" w:space="0" w:color="auto"/>
            <w:bottom w:val="none" w:sz="0" w:space="0" w:color="auto"/>
            <w:right w:val="none" w:sz="0" w:space="0" w:color="auto"/>
          </w:divBdr>
        </w:div>
      </w:divsChild>
    </w:div>
    <w:div w:id="766272747">
      <w:bodyDiv w:val="1"/>
      <w:marLeft w:val="0"/>
      <w:marRight w:val="0"/>
      <w:marTop w:val="0"/>
      <w:marBottom w:val="0"/>
      <w:divBdr>
        <w:top w:val="none" w:sz="0" w:space="0" w:color="auto"/>
        <w:left w:val="none" w:sz="0" w:space="0" w:color="auto"/>
        <w:bottom w:val="none" w:sz="0" w:space="0" w:color="auto"/>
        <w:right w:val="none" w:sz="0" w:space="0" w:color="auto"/>
      </w:divBdr>
    </w:div>
    <w:div w:id="840434003">
      <w:bodyDiv w:val="1"/>
      <w:marLeft w:val="0"/>
      <w:marRight w:val="0"/>
      <w:marTop w:val="0"/>
      <w:marBottom w:val="0"/>
      <w:divBdr>
        <w:top w:val="none" w:sz="0" w:space="0" w:color="auto"/>
        <w:left w:val="none" w:sz="0" w:space="0" w:color="auto"/>
        <w:bottom w:val="none" w:sz="0" w:space="0" w:color="auto"/>
        <w:right w:val="none" w:sz="0" w:space="0" w:color="auto"/>
      </w:divBdr>
    </w:div>
    <w:div w:id="875848213">
      <w:bodyDiv w:val="1"/>
      <w:marLeft w:val="0"/>
      <w:marRight w:val="0"/>
      <w:marTop w:val="0"/>
      <w:marBottom w:val="0"/>
      <w:divBdr>
        <w:top w:val="none" w:sz="0" w:space="0" w:color="auto"/>
        <w:left w:val="none" w:sz="0" w:space="0" w:color="auto"/>
        <w:bottom w:val="none" w:sz="0" w:space="0" w:color="auto"/>
        <w:right w:val="none" w:sz="0" w:space="0" w:color="auto"/>
      </w:divBdr>
    </w:div>
    <w:div w:id="890187141">
      <w:bodyDiv w:val="1"/>
      <w:marLeft w:val="0"/>
      <w:marRight w:val="0"/>
      <w:marTop w:val="0"/>
      <w:marBottom w:val="0"/>
      <w:divBdr>
        <w:top w:val="none" w:sz="0" w:space="0" w:color="auto"/>
        <w:left w:val="none" w:sz="0" w:space="0" w:color="auto"/>
        <w:bottom w:val="none" w:sz="0" w:space="0" w:color="auto"/>
        <w:right w:val="none" w:sz="0" w:space="0" w:color="auto"/>
      </w:divBdr>
    </w:div>
    <w:div w:id="907694091">
      <w:bodyDiv w:val="1"/>
      <w:marLeft w:val="0"/>
      <w:marRight w:val="0"/>
      <w:marTop w:val="0"/>
      <w:marBottom w:val="0"/>
      <w:divBdr>
        <w:top w:val="none" w:sz="0" w:space="0" w:color="auto"/>
        <w:left w:val="none" w:sz="0" w:space="0" w:color="auto"/>
        <w:bottom w:val="none" w:sz="0" w:space="0" w:color="auto"/>
        <w:right w:val="none" w:sz="0" w:space="0" w:color="auto"/>
      </w:divBdr>
    </w:div>
    <w:div w:id="911693491">
      <w:bodyDiv w:val="1"/>
      <w:marLeft w:val="0"/>
      <w:marRight w:val="0"/>
      <w:marTop w:val="0"/>
      <w:marBottom w:val="0"/>
      <w:divBdr>
        <w:top w:val="none" w:sz="0" w:space="0" w:color="auto"/>
        <w:left w:val="none" w:sz="0" w:space="0" w:color="auto"/>
        <w:bottom w:val="none" w:sz="0" w:space="0" w:color="auto"/>
        <w:right w:val="none" w:sz="0" w:space="0" w:color="auto"/>
      </w:divBdr>
    </w:div>
    <w:div w:id="916550454">
      <w:bodyDiv w:val="1"/>
      <w:marLeft w:val="0"/>
      <w:marRight w:val="0"/>
      <w:marTop w:val="0"/>
      <w:marBottom w:val="0"/>
      <w:divBdr>
        <w:top w:val="none" w:sz="0" w:space="0" w:color="auto"/>
        <w:left w:val="none" w:sz="0" w:space="0" w:color="auto"/>
        <w:bottom w:val="none" w:sz="0" w:space="0" w:color="auto"/>
        <w:right w:val="none" w:sz="0" w:space="0" w:color="auto"/>
      </w:divBdr>
    </w:div>
    <w:div w:id="927349161">
      <w:bodyDiv w:val="1"/>
      <w:marLeft w:val="0"/>
      <w:marRight w:val="0"/>
      <w:marTop w:val="0"/>
      <w:marBottom w:val="0"/>
      <w:divBdr>
        <w:top w:val="none" w:sz="0" w:space="0" w:color="auto"/>
        <w:left w:val="none" w:sz="0" w:space="0" w:color="auto"/>
        <w:bottom w:val="none" w:sz="0" w:space="0" w:color="auto"/>
        <w:right w:val="none" w:sz="0" w:space="0" w:color="auto"/>
      </w:divBdr>
    </w:div>
    <w:div w:id="979383262">
      <w:bodyDiv w:val="1"/>
      <w:marLeft w:val="0"/>
      <w:marRight w:val="0"/>
      <w:marTop w:val="0"/>
      <w:marBottom w:val="0"/>
      <w:divBdr>
        <w:top w:val="none" w:sz="0" w:space="0" w:color="auto"/>
        <w:left w:val="none" w:sz="0" w:space="0" w:color="auto"/>
        <w:bottom w:val="none" w:sz="0" w:space="0" w:color="auto"/>
        <w:right w:val="none" w:sz="0" w:space="0" w:color="auto"/>
      </w:divBdr>
    </w:div>
    <w:div w:id="1000473951">
      <w:bodyDiv w:val="1"/>
      <w:marLeft w:val="0"/>
      <w:marRight w:val="0"/>
      <w:marTop w:val="0"/>
      <w:marBottom w:val="0"/>
      <w:divBdr>
        <w:top w:val="none" w:sz="0" w:space="0" w:color="auto"/>
        <w:left w:val="none" w:sz="0" w:space="0" w:color="auto"/>
        <w:bottom w:val="none" w:sz="0" w:space="0" w:color="auto"/>
        <w:right w:val="none" w:sz="0" w:space="0" w:color="auto"/>
      </w:divBdr>
    </w:div>
    <w:div w:id="1014649863">
      <w:bodyDiv w:val="1"/>
      <w:marLeft w:val="0"/>
      <w:marRight w:val="0"/>
      <w:marTop w:val="0"/>
      <w:marBottom w:val="0"/>
      <w:divBdr>
        <w:top w:val="none" w:sz="0" w:space="0" w:color="auto"/>
        <w:left w:val="none" w:sz="0" w:space="0" w:color="auto"/>
        <w:bottom w:val="none" w:sz="0" w:space="0" w:color="auto"/>
        <w:right w:val="none" w:sz="0" w:space="0" w:color="auto"/>
      </w:divBdr>
    </w:div>
    <w:div w:id="1037001943">
      <w:bodyDiv w:val="1"/>
      <w:marLeft w:val="0"/>
      <w:marRight w:val="0"/>
      <w:marTop w:val="0"/>
      <w:marBottom w:val="0"/>
      <w:divBdr>
        <w:top w:val="none" w:sz="0" w:space="0" w:color="auto"/>
        <w:left w:val="none" w:sz="0" w:space="0" w:color="auto"/>
        <w:bottom w:val="none" w:sz="0" w:space="0" w:color="auto"/>
        <w:right w:val="none" w:sz="0" w:space="0" w:color="auto"/>
      </w:divBdr>
    </w:div>
    <w:div w:id="1040935088">
      <w:bodyDiv w:val="1"/>
      <w:marLeft w:val="0"/>
      <w:marRight w:val="0"/>
      <w:marTop w:val="0"/>
      <w:marBottom w:val="0"/>
      <w:divBdr>
        <w:top w:val="none" w:sz="0" w:space="0" w:color="auto"/>
        <w:left w:val="none" w:sz="0" w:space="0" w:color="auto"/>
        <w:bottom w:val="none" w:sz="0" w:space="0" w:color="auto"/>
        <w:right w:val="none" w:sz="0" w:space="0" w:color="auto"/>
      </w:divBdr>
      <w:divsChild>
        <w:div w:id="172036750">
          <w:marLeft w:val="0"/>
          <w:marRight w:val="0"/>
          <w:marTop w:val="0"/>
          <w:marBottom w:val="0"/>
          <w:divBdr>
            <w:top w:val="none" w:sz="0" w:space="0" w:color="auto"/>
            <w:left w:val="none" w:sz="0" w:space="0" w:color="auto"/>
            <w:bottom w:val="none" w:sz="0" w:space="0" w:color="auto"/>
            <w:right w:val="none" w:sz="0" w:space="0" w:color="auto"/>
          </w:divBdr>
        </w:div>
        <w:div w:id="240795047">
          <w:marLeft w:val="0"/>
          <w:marRight w:val="0"/>
          <w:marTop w:val="0"/>
          <w:marBottom w:val="0"/>
          <w:divBdr>
            <w:top w:val="none" w:sz="0" w:space="0" w:color="auto"/>
            <w:left w:val="none" w:sz="0" w:space="0" w:color="auto"/>
            <w:bottom w:val="none" w:sz="0" w:space="0" w:color="auto"/>
            <w:right w:val="none" w:sz="0" w:space="0" w:color="auto"/>
          </w:divBdr>
        </w:div>
        <w:div w:id="248390257">
          <w:marLeft w:val="0"/>
          <w:marRight w:val="0"/>
          <w:marTop w:val="0"/>
          <w:marBottom w:val="0"/>
          <w:divBdr>
            <w:top w:val="none" w:sz="0" w:space="0" w:color="auto"/>
            <w:left w:val="none" w:sz="0" w:space="0" w:color="auto"/>
            <w:bottom w:val="none" w:sz="0" w:space="0" w:color="auto"/>
            <w:right w:val="none" w:sz="0" w:space="0" w:color="auto"/>
          </w:divBdr>
        </w:div>
        <w:div w:id="308554282">
          <w:marLeft w:val="0"/>
          <w:marRight w:val="0"/>
          <w:marTop w:val="0"/>
          <w:marBottom w:val="0"/>
          <w:divBdr>
            <w:top w:val="none" w:sz="0" w:space="0" w:color="auto"/>
            <w:left w:val="none" w:sz="0" w:space="0" w:color="auto"/>
            <w:bottom w:val="none" w:sz="0" w:space="0" w:color="auto"/>
            <w:right w:val="none" w:sz="0" w:space="0" w:color="auto"/>
          </w:divBdr>
        </w:div>
        <w:div w:id="315494610">
          <w:marLeft w:val="0"/>
          <w:marRight w:val="0"/>
          <w:marTop w:val="0"/>
          <w:marBottom w:val="0"/>
          <w:divBdr>
            <w:top w:val="none" w:sz="0" w:space="0" w:color="auto"/>
            <w:left w:val="none" w:sz="0" w:space="0" w:color="auto"/>
            <w:bottom w:val="none" w:sz="0" w:space="0" w:color="auto"/>
            <w:right w:val="none" w:sz="0" w:space="0" w:color="auto"/>
          </w:divBdr>
        </w:div>
        <w:div w:id="351538002">
          <w:marLeft w:val="0"/>
          <w:marRight w:val="0"/>
          <w:marTop w:val="0"/>
          <w:marBottom w:val="0"/>
          <w:divBdr>
            <w:top w:val="none" w:sz="0" w:space="0" w:color="auto"/>
            <w:left w:val="none" w:sz="0" w:space="0" w:color="auto"/>
            <w:bottom w:val="none" w:sz="0" w:space="0" w:color="auto"/>
            <w:right w:val="none" w:sz="0" w:space="0" w:color="auto"/>
          </w:divBdr>
        </w:div>
        <w:div w:id="385420024">
          <w:marLeft w:val="0"/>
          <w:marRight w:val="0"/>
          <w:marTop w:val="0"/>
          <w:marBottom w:val="0"/>
          <w:divBdr>
            <w:top w:val="none" w:sz="0" w:space="0" w:color="auto"/>
            <w:left w:val="none" w:sz="0" w:space="0" w:color="auto"/>
            <w:bottom w:val="none" w:sz="0" w:space="0" w:color="auto"/>
            <w:right w:val="none" w:sz="0" w:space="0" w:color="auto"/>
          </w:divBdr>
        </w:div>
        <w:div w:id="529487221">
          <w:marLeft w:val="0"/>
          <w:marRight w:val="0"/>
          <w:marTop w:val="0"/>
          <w:marBottom w:val="0"/>
          <w:divBdr>
            <w:top w:val="none" w:sz="0" w:space="0" w:color="auto"/>
            <w:left w:val="none" w:sz="0" w:space="0" w:color="auto"/>
            <w:bottom w:val="none" w:sz="0" w:space="0" w:color="auto"/>
            <w:right w:val="none" w:sz="0" w:space="0" w:color="auto"/>
          </w:divBdr>
        </w:div>
        <w:div w:id="540825445">
          <w:marLeft w:val="0"/>
          <w:marRight w:val="0"/>
          <w:marTop w:val="0"/>
          <w:marBottom w:val="0"/>
          <w:divBdr>
            <w:top w:val="none" w:sz="0" w:space="0" w:color="auto"/>
            <w:left w:val="none" w:sz="0" w:space="0" w:color="auto"/>
            <w:bottom w:val="none" w:sz="0" w:space="0" w:color="auto"/>
            <w:right w:val="none" w:sz="0" w:space="0" w:color="auto"/>
          </w:divBdr>
        </w:div>
        <w:div w:id="650401859">
          <w:marLeft w:val="0"/>
          <w:marRight w:val="0"/>
          <w:marTop w:val="0"/>
          <w:marBottom w:val="0"/>
          <w:divBdr>
            <w:top w:val="none" w:sz="0" w:space="0" w:color="auto"/>
            <w:left w:val="none" w:sz="0" w:space="0" w:color="auto"/>
            <w:bottom w:val="none" w:sz="0" w:space="0" w:color="auto"/>
            <w:right w:val="none" w:sz="0" w:space="0" w:color="auto"/>
          </w:divBdr>
        </w:div>
        <w:div w:id="923076012">
          <w:marLeft w:val="0"/>
          <w:marRight w:val="0"/>
          <w:marTop w:val="0"/>
          <w:marBottom w:val="0"/>
          <w:divBdr>
            <w:top w:val="none" w:sz="0" w:space="0" w:color="auto"/>
            <w:left w:val="none" w:sz="0" w:space="0" w:color="auto"/>
            <w:bottom w:val="none" w:sz="0" w:space="0" w:color="auto"/>
            <w:right w:val="none" w:sz="0" w:space="0" w:color="auto"/>
          </w:divBdr>
        </w:div>
        <w:div w:id="1099912390">
          <w:marLeft w:val="0"/>
          <w:marRight w:val="0"/>
          <w:marTop w:val="0"/>
          <w:marBottom w:val="0"/>
          <w:divBdr>
            <w:top w:val="none" w:sz="0" w:space="0" w:color="auto"/>
            <w:left w:val="none" w:sz="0" w:space="0" w:color="auto"/>
            <w:bottom w:val="none" w:sz="0" w:space="0" w:color="auto"/>
            <w:right w:val="none" w:sz="0" w:space="0" w:color="auto"/>
          </w:divBdr>
        </w:div>
        <w:div w:id="1154757125">
          <w:marLeft w:val="0"/>
          <w:marRight w:val="0"/>
          <w:marTop w:val="0"/>
          <w:marBottom w:val="0"/>
          <w:divBdr>
            <w:top w:val="none" w:sz="0" w:space="0" w:color="auto"/>
            <w:left w:val="none" w:sz="0" w:space="0" w:color="auto"/>
            <w:bottom w:val="none" w:sz="0" w:space="0" w:color="auto"/>
            <w:right w:val="none" w:sz="0" w:space="0" w:color="auto"/>
          </w:divBdr>
        </w:div>
        <w:div w:id="1167939264">
          <w:marLeft w:val="0"/>
          <w:marRight w:val="0"/>
          <w:marTop w:val="0"/>
          <w:marBottom w:val="0"/>
          <w:divBdr>
            <w:top w:val="none" w:sz="0" w:space="0" w:color="auto"/>
            <w:left w:val="none" w:sz="0" w:space="0" w:color="auto"/>
            <w:bottom w:val="none" w:sz="0" w:space="0" w:color="auto"/>
            <w:right w:val="none" w:sz="0" w:space="0" w:color="auto"/>
          </w:divBdr>
        </w:div>
        <w:div w:id="1225599466">
          <w:marLeft w:val="0"/>
          <w:marRight w:val="0"/>
          <w:marTop w:val="0"/>
          <w:marBottom w:val="0"/>
          <w:divBdr>
            <w:top w:val="none" w:sz="0" w:space="0" w:color="auto"/>
            <w:left w:val="none" w:sz="0" w:space="0" w:color="auto"/>
            <w:bottom w:val="none" w:sz="0" w:space="0" w:color="auto"/>
            <w:right w:val="none" w:sz="0" w:space="0" w:color="auto"/>
          </w:divBdr>
        </w:div>
        <w:div w:id="1290236540">
          <w:marLeft w:val="0"/>
          <w:marRight w:val="0"/>
          <w:marTop w:val="0"/>
          <w:marBottom w:val="0"/>
          <w:divBdr>
            <w:top w:val="none" w:sz="0" w:space="0" w:color="auto"/>
            <w:left w:val="none" w:sz="0" w:space="0" w:color="auto"/>
            <w:bottom w:val="none" w:sz="0" w:space="0" w:color="auto"/>
            <w:right w:val="none" w:sz="0" w:space="0" w:color="auto"/>
          </w:divBdr>
        </w:div>
        <w:div w:id="1402287353">
          <w:marLeft w:val="0"/>
          <w:marRight w:val="0"/>
          <w:marTop w:val="0"/>
          <w:marBottom w:val="0"/>
          <w:divBdr>
            <w:top w:val="none" w:sz="0" w:space="0" w:color="auto"/>
            <w:left w:val="none" w:sz="0" w:space="0" w:color="auto"/>
            <w:bottom w:val="none" w:sz="0" w:space="0" w:color="auto"/>
            <w:right w:val="none" w:sz="0" w:space="0" w:color="auto"/>
          </w:divBdr>
        </w:div>
        <w:div w:id="1439059180">
          <w:marLeft w:val="0"/>
          <w:marRight w:val="0"/>
          <w:marTop w:val="0"/>
          <w:marBottom w:val="0"/>
          <w:divBdr>
            <w:top w:val="none" w:sz="0" w:space="0" w:color="auto"/>
            <w:left w:val="none" w:sz="0" w:space="0" w:color="auto"/>
            <w:bottom w:val="none" w:sz="0" w:space="0" w:color="auto"/>
            <w:right w:val="none" w:sz="0" w:space="0" w:color="auto"/>
          </w:divBdr>
        </w:div>
        <w:div w:id="1499812034">
          <w:marLeft w:val="0"/>
          <w:marRight w:val="0"/>
          <w:marTop w:val="0"/>
          <w:marBottom w:val="0"/>
          <w:divBdr>
            <w:top w:val="none" w:sz="0" w:space="0" w:color="auto"/>
            <w:left w:val="none" w:sz="0" w:space="0" w:color="auto"/>
            <w:bottom w:val="none" w:sz="0" w:space="0" w:color="auto"/>
            <w:right w:val="none" w:sz="0" w:space="0" w:color="auto"/>
          </w:divBdr>
        </w:div>
      </w:divsChild>
    </w:div>
    <w:div w:id="1048644163">
      <w:bodyDiv w:val="1"/>
      <w:marLeft w:val="0"/>
      <w:marRight w:val="0"/>
      <w:marTop w:val="0"/>
      <w:marBottom w:val="0"/>
      <w:divBdr>
        <w:top w:val="none" w:sz="0" w:space="0" w:color="auto"/>
        <w:left w:val="none" w:sz="0" w:space="0" w:color="auto"/>
        <w:bottom w:val="none" w:sz="0" w:space="0" w:color="auto"/>
        <w:right w:val="none" w:sz="0" w:space="0" w:color="auto"/>
      </w:divBdr>
    </w:div>
    <w:div w:id="1051540007">
      <w:bodyDiv w:val="1"/>
      <w:marLeft w:val="0"/>
      <w:marRight w:val="0"/>
      <w:marTop w:val="0"/>
      <w:marBottom w:val="0"/>
      <w:divBdr>
        <w:top w:val="none" w:sz="0" w:space="0" w:color="auto"/>
        <w:left w:val="none" w:sz="0" w:space="0" w:color="auto"/>
        <w:bottom w:val="none" w:sz="0" w:space="0" w:color="auto"/>
        <w:right w:val="none" w:sz="0" w:space="0" w:color="auto"/>
      </w:divBdr>
    </w:div>
    <w:div w:id="1167792680">
      <w:bodyDiv w:val="1"/>
      <w:marLeft w:val="0"/>
      <w:marRight w:val="0"/>
      <w:marTop w:val="0"/>
      <w:marBottom w:val="0"/>
      <w:divBdr>
        <w:top w:val="none" w:sz="0" w:space="0" w:color="auto"/>
        <w:left w:val="none" w:sz="0" w:space="0" w:color="auto"/>
        <w:bottom w:val="none" w:sz="0" w:space="0" w:color="auto"/>
        <w:right w:val="none" w:sz="0" w:space="0" w:color="auto"/>
      </w:divBdr>
    </w:div>
    <w:div w:id="1180780562">
      <w:bodyDiv w:val="1"/>
      <w:marLeft w:val="0"/>
      <w:marRight w:val="0"/>
      <w:marTop w:val="0"/>
      <w:marBottom w:val="0"/>
      <w:divBdr>
        <w:top w:val="none" w:sz="0" w:space="0" w:color="auto"/>
        <w:left w:val="none" w:sz="0" w:space="0" w:color="auto"/>
        <w:bottom w:val="none" w:sz="0" w:space="0" w:color="auto"/>
        <w:right w:val="none" w:sz="0" w:space="0" w:color="auto"/>
      </w:divBdr>
    </w:div>
    <w:div w:id="1183937346">
      <w:bodyDiv w:val="1"/>
      <w:marLeft w:val="0"/>
      <w:marRight w:val="0"/>
      <w:marTop w:val="0"/>
      <w:marBottom w:val="0"/>
      <w:divBdr>
        <w:top w:val="none" w:sz="0" w:space="0" w:color="auto"/>
        <w:left w:val="none" w:sz="0" w:space="0" w:color="auto"/>
        <w:bottom w:val="none" w:sz="0" w:space="0" w:color="auto"/>
        <w:right w:val="none" w:sz="0" w:space="0" w:color="auto"/>
      </w:divBdr>
    </w:div>
    <w:div w:id="1241062688">
      <w:bodyDiv w:val="1"/>
      <w:marLeft w:val="0"/>
      <w:marRight w:val="0"/>
      <w:marTop w:val="0"/>
      <w:marBottom w:val="0"/>
      <w:divBdr>
        <w:top w:val="none" w:sz="0" w:space="0" w:color="auto"/>
        <w:left w:val="none" w:sz="0" w:space="0" w:color="auto"/>
        <w:bottom w:val="none" w:sz="0" w:space="0" w:color="auto"/>
        <w:right w:val="none" w:sz="0" w:space="0" w:color="auto"/>
      </w:divBdr>
    </w:div>
    <w:div w:id="1245728176">
      <w:bodyDiv w:val="1"/>
      <w:marLeft w:val="0"/>
      <w:marRight w:val="0"/>
      <w:marTop w:val="0"/>
      <w:marBottom w:val="0"/>
      <w:divBdr>
        <w:top w:val="none" w:sz="0" w:space="0" w:color="auto"/>
        <w:left w:val="none" w:sz="0" w:space="0" w:color="auto"/>
        <w:bottom w:val="none" w:sz="0" w:space="0" w:color="auto"/>
        <w:right w:val="none" w:sz="0" w:space="0" w:color="auto"/>
      </w:divBdr>
    </w:div>
    <w:div w:id="1277100372">
      <w:bodyDiv w:val="1"/>
      <w:marLeft w:val="0"/>
      <w:marRight w:val="0"/>
      <w:marTop w:val="0"/>
      <w:marBottom w:val="0"/>
      <w:divBdr>
        <w:top w:val="none" w:sz="0" w:space="0" w:color="auto"/>
        <w:left w:val="none" w:sz="0" w:space="0" w:color="auto"/>
        <w:bottom w:val="none" w:sz="0" w:space="0" w:color="auto"/>
        <w:right w:val="none" w:sz="0" w:space="0" w:color="auto"/>
      </w:divBdr>
    </w:div>
    <w:div w:id="1317295083">
      <w:bodyDiv w:val="1"/>
      <w:marLeft w:val="0"/>
      <w:marRight w:val="0"/>
      <w:marTop w:val="0"/>
      <w:marBottom w:val="0"/>
      <w:divBdr>
        <w:top w:val="none" w:sz="0" w:space="0" w:color="auto"/>
        <w:left w:val="none" w:sz="0" w:space="0" w:color="auto"/>
        <w:bottom w:val="none" w:sz="0" w:space="0" w:color="auto"/>
        <w:right w:val="none" w:sz="0" w:space="0" w:color="auto"/>
      </w:divBdr>
    </w:div>
    <w:div w:id="1332877135">
      <w:bodyDiv w:val="1"/>
      <w:marLeft w:val="0"/>
      <w:marRight w:val="0"/>
      <w:marTop w:val="0"/>
      <w:marBottom w:val="0"/>
      <w:divBdr>
        <w:top w:val="none" w:sz="0" w:space="0" w:color="auto"/>
        <w:left w:val="none" w:sz="0" w:space="0" w:color="auto"/>
        <w:bottom w:val="none" w:sz="0" w:space="0" w:color="auto"/>
        <w:right w:val="none" w:sz="0" w:space="0" w:color="auto"/>
      </w:divBdr>
    </w:div>
    <w:div w:id="1335917082">
      <w:bodyDiv w:val="1"/>
      <w:marLeft w:val="0"/>
      <w:marRight w:val="0"/>
      <w:marTop w:val="0"/>
      <w:marBottom w:val="0"/>
      <w:divBdr>
        <w:top w:val="none" w:sz="0" w:space="0" w:color="auto"/>
        <w:left w:val="none" w:sz="0" w:space="0" w:color="auto"/>
        <w:bottom w:val="none" w:sz="0" w:space="0" w:color="auto"/>
        <w:right w:val="none" w:sz="0" w:space="0" w:color="auto"/>
      </w:divBdr>
    </w:div>
    <w:div w:id="1344548053">
      <w:bodyDiv w:val="1"/>
      <w:marLeft w:val="0"/>
      <w:marRight w:val="0"/>
      <w:marTop w:val="0"/>
      <w:marBottom w:val="0"/>
      <w:divBdr>
        <w:top w:val="none" w:sz="0" w:space="0" w:color="auto"/>
        <w:left w:val="none" w:sz="0" w:space="0" w:color="auto"/>
        <w:bottom w:val="none" w:sz="0" w:space="0" w:color="auto"/>
        <w:right w:val="none" w:sz="0" w:space="0" w:color="auto"/>
      </w:divBdr>
    </w:div>
    <w:div w:id="1370182803">
      <w:bodyDiv w:val="1"/>
      <w:marLeft w:val="0"/>
      <w:marRight w:val="0"/>
      <w:marTop w:val="0"/>
      <w:marBottom w:val="0"/>
      <w:divBdr>
        <w:top w:val="none" w:sz="0" w:space="0" w:color="auto"/>
        <w:left w:val="none" w:sz="0" w:space="0" w:color="auto"/>
        <w:bottom w:val="none" w:sz="0" w:space="0" w:color="auto"/>
        <w:right w:val="none" w:sz="0" w:space="0" w:color="auto"/>
      </w:divBdr>
    </w:div>
    <w:div w:id="1381321512">
      <w:bodyDiv w:val="1"/>
      <w:marLeft w:val="0"/>
      <w:marRight w:val="0"/>
      <w:marTop w:val="0"/>
      <w:marBottom w:val="0"/>
      <w:divBdr>
        <w:top w:val="none" w:sz="0" w:space="0" w:color="auto"/>
        <w:left w:val="none" w:sz="0" w:space="0" w:color="auto"/>
        <w:bottom w:val="none" w:sz="0" w:space="0" w:color="auto"/>
        <w:right w:val="none" w:sz="0" w:space="0" w:color="auto"/>
      </w:divBdr>
    </w:div>
    <w:div w:id="1392117255">
      <w:bodyDiv w:val="1"/>
      <w:marLeft w:val="0"/>
      <w:marRight w:val="0"/>
      <w:marTop w:val="0"/>
      <w:marBottom w:val="0"/>
      <w:divBdr>
        <w:top w:val="none" w:sz="0" w:space="0" w:color="auto"/>
        <w:left w:val="none" w:sz="0" w:space="0" w:color="auto"/>
        <w:bottom w:val="none" w:sz="0" w:space="0" w:color="auto"/>
        <w:right w:val="none" w:sz="0" w:space="0" w:color="auto"/>
      </w:divBdr>
    </w:div>
    <w:div w:id="1392657120">
      <w:bodyDiv w:val="1"/>
      <w:marLeft w:val="0"/>
      <w:marRight w:val="0"/>
      <w:marTop w:val="0"/>
      <w:marBottom w:val="0"/>
      <w:divBdr>
        <w:top w:val="none" w:sz="0" w:space="0" w:color="auto"/>
        <w:left w:val="none" w:sz="0" w:space="0" w:color="auto"/>
        <w:bottom w:val="none" w:sz="0" w:space="0" w:color="auto"/>
        <w:right w:val="none" w:sz="0" w:space="0" w:color="auto"/>
      </w:divBdr>
      <w:divsChild>
        <w:div w:id="887491243">
          <w:marLeft w:val="0"/>
          <w:marRight w:val="0"/>
          <w:marTop w:val="0"/>
          <w:marBottom w:val="0"/>
          <w:divBdr>
            <w:top w:val="none" w:sz="0" w:space="0" w:color="auto"/>
            <w:left w:val="none" w:sz="0" w:space="0" w:color="auto"/>
            <w:bottom w:val="none" w:sz="0" w:space="0" w:color="auto"/>
            <w:right w:val="none" w:sz="0" w:space="0" w:color="auto"/>
          </w:divBdr>
        </w:div>
        <w:div w:id="1586067526">
          <w:marLeft w:val="0"/>
          <w:marRight w:val="0"/>
          <w:marTop w:val="0"/>
          <w:marBottom w:val="0"/>
          <w:divBdr>
            <w:top w:val="none" w:sz="0" w:space="0" w:color="auto"/>
            <w:left w:val="none" w:sz="0" w:space="0" w:color="auto"/>
            <w:bottom w:val="none" w:sz="0" w:space="0" w:color="auto"/>
            <w:right w:val="none" w:sz="0" w:space="0" w:color="auto"/>
          </w:divBdr>
        </w:div>
      </w:divsChild>
    </w:div>
    <w:div w:id="1394740418">
      <w:bodyDiv w:val="1"/>
      <w:marLeft w:val="0"/>
      <w:marRight w:val="0"/>
      <w:marTop w:val="0"/>
      <w:marBottom w:val="0"/>
      <w:divBdr>
        <w:top w:val="none" w:sz="0" w:space="0" w:color="auto"/>
        <w:left w:val="none" w:sz="0" w:space="0" w:color="auto"/>
        <w:bottom w:val="none" w:sz="0" w:space="0" w:color="auto"/>
        <w:right w:val="none" w:sz="0" w:space="0" w:color="auto"/>
      </w:divBdr>
    </w:div>
    <w:div w:id="1402873580">
      <w:bodyDiv w:val="1"/>
      <w:marLeft w:val="0"/>
      <w:marRight w:val="0"/>
      <w:marTop w:val="0"/>
      <w:marBottom w:val="0"/>
      <w:divBdr>
        <w:top w:val="none" w:sz="0" w:space="0" w:color="auto"/>
        <w:left w:val="none" w:sz="0" w:space="0" w:color="auto"/>
        <w:bottom w:val="none" w:sz="0" w:space="0" w:color="auto"/>
        <w:right w:val="none" w:sz="0" w:space="0" w:color="auto"/>
      </w:divBdr>
      <w:divsChild>
        <w:div w:id="1422406508">
          <w:marLeft w:val="0"/>
          <w:marRight w:val="0"/>
          <w:marTop w:val="0"/>
          <w:marBottom w:val="0"/>
          <w:divBdr>
            <w:top w:val="none" w:sz="0" w:space="0" w:color="auto"/>
            <w:left w:val="none" w:sz="0" w:space="0" w:color="auto"/>
            <w:bottom w:val="single" w:sz="8" w:space="1" w:color="auto"/>
            <w:right w:val="none" w:sz="0" w:space="0" w:color="auto"/>
          </w:divBdr>
        </w:div>
      </w:divsChild>
    </w:div>
    <w:div w:id="1405831446">
      <w:bodyDiv w:val="1"/>
      <w:marLeft w:val="0"/>
      <w:marRight w:val="0"/>
      <w:marTop w:val="0"/>
      <w:marBottom w:val="0"/>
      <w:divBdr>
        <w:top w:val="none" w:sz="0" w:space="0" w:color="auto"/>
        <w:left w:val="none" w:sz="0" w:space="0" w:color="auto"/>
        <w:bottom w:val="none" w:sz="0" w:space="0" w:color="auto"/>
        <w:right w:val="none" w:sz="0" w:space="0" w:color="auto"/>
      </w:divBdr>
    </w:div>
    <w:div w:id="1423138990">
      <w:bodyDiv w:val="1"/>
      <w:marLeft w:val="0"/>
      <w:marRight w:val="0"/>
      <w:marTop w:val="0"/>
      <w:marBottom w:val="0"/>
      <w:divBdr>
        <w:top w:val="none" w:sz="0" w:space="0" w:color="auto"/>
        <w:left w:val="none" w:sz="0" w:space="0" w:color="auto"/>
        <w:bottom w:val="none" w:sz="0" w:space="0" w:color="auto"/>
        <w:right w:val="none" w:sz="0" w:space="0" w:color="auto"/>
      </w:divBdr>
    </w:div>
    <w:div w:id="1425300557">
      <w:bodyDiv w:val="1"/>
      <w:marLeft w:val="0"/>
      <w:marRight w:val="0"/>
      <w:marTop w:val="0"/>
      <w:marBottom w:val="0"/>
      <w:divBdr>
        <w:top w:val="none" w:sz="0" w:space="0" w:color="auto"/>
        <w:left w:val="none" w:sz="0" w:space="0" w:color="auto"/>
        <w:bottom w:val="none" w:sz="0" w:space="0" w:color="auto"/>
        <w:right w:val="none" w:sz="0" w:space="0" w:color="auto"/>
      </w:divBdr>
    </w:div>
    <w:div w:id="1446969678">
      <w:bodyDiv w:val="1"/>
      <w:marLeft w:val="0"/>
      <w:marRight w:val="0"/>
      <w:marTop w:val="0"/>
      <w:marBottom w:val="0"/>
      <w:divBdr>
        <w:top w:val="none" w:sz="0" w:space="0" w:color="auto"/>
        <w:left w:val="none" w:sz="0" w:space="0" w:color="auto"/>
        <w:bottom w:val="none" w:sz="0" w:space="0" w:color="auto"/>
        <w:right w:val="none" w:sz="0" w:space="0" w:color="auto"/>
      </w:divBdr>
    </w:div>
    <w:div w:id="1513183002">
      <w:bodyDiv w:val="1"/>
      <w:marLeft w:val="0"/>
      <w:marRight w:val="0"/>
      <w:marTop w:val="0"/>
      <w:marBottom w:val="0"/>
      <w:divBdr>
        <w:top w:val="none" w:sz="0" w:space="0" w:color="auto"/>
        <w:left w:val="none" w:sz="0" w:space="0" w:color="auto"/>
        <w:bottom w:val="none" w:sz="0" w:space="0" w:color="auto"/>
        <w:right w:val="none" w:sz="0" w:space="0" w:color="auto"/>
      </w:divBdr>
    </w:div>
    <w:div w:id="1520704506">
      <w:bodyDiv w:val="1"/>
      <w:marLeft w:val="0"/>
      <w:marRight w:val="0"/>
      <w:marTop w:val="0"/>
      <w:marBottom w:val="0"/>
      <w:divBdr>
        <w:top w:val="none" w:sz="0" w:space="0" w:color="auto"/>
        <w:left w:val="none" w:sz="0" w:space="0" w:color="auto"/>
        <w:bottom w:val="none" w:sz="0" w:space="0" w:color="auto"/>
        <w:right w:val="none" w:sz="0" w:space="0" w:color="auto"/>
      </w:divBdr>
    </w:div>
    <w:div w:id="1540362109">
      <w:bodyDiv w:val="1"/>
      <w:marLeft w:val="0"/>
      <w:marRight w:val="0"/>
      <w:marTop w:val="0"/>
      <w:marBottom w:val="0"/>
      <w:divBdr>
        <w:top w:val="none" w:sz="0" w:space="0" w:color="auto"/>
        <w:left w:val="none" w:sz="0" w:space="0" w:color="auto"/>
        <w:bottom w:val="none" w:sz="0" w:space="0" w:color="auto"/>
        <w:right w:val="none" w:sz="0" w:space="0" w:color="auto"/>
      </w:divBdr>
    </w:div>
    <w:div w:id="1555703981">
      <w:bodyDiv w:val="1"/>
      <w:marLeft w:val="0"/>
      <w:marRight w:val="0"/>
      <w:marTop w:val="0"/>
      <w:marBottom w:val="0"/>
      <w:divBdr>
        <w:top w:val="none" w:sz="0" w:space="0" w:color="auto"/>
        <w:left w:val="none" w:sz="0" w:space="0" w:color="auto"/>
        <w:bottom w:val="none" w:sz="0" w:space="0" w:color="auto"/>
        <w:right w:val="none" w:sz="0" w:space="0" w:color="auto"/>
      </w:divBdr>
    </w:div>
    <w:div w:id="1563441819">
      <w:bodyDiv w:val="1"/>
      <w:marLeft w:val="0"/>
      <w:marRight w:val="0"/>
      <w:marTop w:val="0"/>
      <w:marBottom w:val="0"/>
      <w:divBdr>
        <w:top w:val="none" w:sz="0" w:space="0" w:color="auto"/>
        <w:left w:val="none" w:sz="0" w:space="0" w:color="auto"/>
        <w:bottom w:val="none" w:sz="0" w:space="0" w:color="auto"/>
        <w:right w:val="none" w:sz="0" w:space="0" w:color="auto"/>
      </w:divBdr>
    </w:div>
    <w:div w:id="1576545066">
      <w:bodyDiv w:val="1"/>
      <w:marLeft w:val="0"/>
      <w:marRight w:val="0"/>
      <w:marTop w:val="0"/>
      <w:marBottom w:val="0"/>
      <w:divBdr>
        <w:top w:val="none" w:sz="0" w:space="0" w:color="auto"/>
        <w:left w:val="none" w:sz="0" w:space="0" w:color="auto"/>
        <w:bottom w:val="none" w:sz="0" w:space="0" w:color="auto"/>
        <w:right w:val="none" w:sz="0" w:space="0" w:color="auto"/>
      </w:divBdr>
    </w:div>
    <w:div w:id="1588492601">
      <w:bodyDiv w:val="1"/>
      <w:marLeft w:val="0"/>
      <w:marRight w:val="0"/>
      <w:marTop w:val="0"/>
      <w:marBottom w:val="0"/>
      <w:divBdr>
        <w:top w:val="none" w:sz="0" w:space="0" w:color="auto"/>
        <w:left w:val="none" w:sz="0" w:space="0" w:color="auto"/>
        <w:bottom w:val="none" w:sz="0" w:space="0" w:color="auto"/>
        <w:right w:val="none" w:sz="0" w:space="0" w:color="auto"/>
      </w:divBdr>
    </w:div>
    <w:div w:id="1624070651">
      <w:bodyDiv w:val="1"/>
      <w:marLeft w:val="0"/>
      <w:marRight w:val="0"/>
      <w:marTop w:val="0"/>
      <w:marBottom w:val="0"/>
      <w:divBdr>
        <w:top w:val="none" w:sz="0" w:space="0" w:color="auto"/>
        <w:left w:val="none" w:sz="0" w:space="0" w:color="auto"/>
        <w:bottom w:val="none" w:sz="0" w:space="0" w:color="auto"/>
        <w:right w:val="none" w:sz="0" w:space="0" w:color="auto"/>
      </w:divBdr>
    </w:div>
    <w:div w:id="1656107745">
      <w:bodyDiv w:val="1"/>
      <w:marLeft w:val="0"/>
      <w:marRight w:val="0"/>
      <w:marTop w:val="0"/>
      <w:marBottom w:val="0"/>
      <w:divBdr>
        <w:top w:val="none" w:sz="0" w:space="0" w:color="auto"/>
        <w:left w:val="none" w:sz="0" w:space="0" w:color="auto"/>
        <w:bottom w:val="none" w:sz="0" w:space="0" w:color="auto"/>
        <w:right w:val="none" w:sz="0" w:space="0" w:color="auto"/>
      </w:divBdr>
    </w:div>
    <w:div w:id="1676110438">
      <w:bodyDiv w:val="1"/>
      <w:marLeft w:val="0"/>
      <w:marRight w:val="0"/>
      <w:marTop w:val="0"/>
      <w:marBottom w:val="0"/>
      <w:divBdr>
        <w:top w:val="none" w:sz="0" w:space="0" w:color="auto"/>
        <w:left w:val="none" w:sz="0" w:space="0" w:color="auto"/>
        <w:bottom w:val="none" w:sz="0" w:space="0" w:color="auto"/>
        <w:right w:val="none" w:sz="0" w:space="0" w:color="auto"/>
      </w:divBdr>
    </w:div>
    <w:div w:id="1683360028">
      <w:bodyDiv w:val="1"/>
      <w:marLeft w:val="0"/>
      <w:marRight w:val="0"/>
      <w:marTop w:val="0"/>
      <w:marBottom w:val="0"/>
      <w:divBdr>
        <w:top w:val="none" w:sz="0" w:space="0" w:color="auto"/>
        <w:left w:val="none" w:sz="0" w:space="0" w:color="auto"/>
        <w:bottom w:val="none" w:sz="0" w:space="0" w:color="auto"/>
        <w:right w:val="none" w:sz="0" w:space="0" w:color="auto"/>
      </w:divBdr>
    </w:div>
    <w:div w:id="1690134515">
      <w:bodyDiv w:val="1"/>
      <w:marLeft w:val="0"/>
      <w:marRight w:val="0"/>
      <w:marTop w:val="0"/>
      <w:marBottom w:val="0"/>
      <w:divBdr>
        <w:top w:val="none" w:sz="0" w:space="0" w:color="auto"/>
        <w:left w:val="none" w:sz="0" w:space="0" w:color="auto"/>
        <w:bottom w:val="none" w:sz="0" w:space="0" w:color="auto"/>
        <w:right w:val="none" w:sz="0" w:space="0" w:color="auto"/>
      </w:divBdr>
    </w:div>
    <w:div w:id="1699507711">
      <w:bodyDiv w:val="1"/>
      <w:marLeft w:val="0"/>
      <w:marRight w:val="0"/>
      <w:marTop w:val="0"/>
      <w:marBottom w:val="0"/>
      <w:divBdr>
        <w:top w:val="none" w:sz="0" w:space="0" w:color="auto"/>
        <w:left w:val="none" w:sz="0" w:space="0" w:color="auto"/>
        <w:bottom w:val="none" w:sz="0" w:space="0" w:color="auto"/>
        <w:right w:val="none" w:sz="0" w:space="0" w:color="auto"/>
      </w:divBdr>
    </w:div>
    <w:div w:id="1716274581">
      <w:bodyDiv w:val="1"/>
      <w:marLeft w:val="0"/>
      <w:marRight w:val="0"/>
      <w:marTop w:val="0"/>
      <w:marBottom w:val="0"/>
      <w:divBdr>
        <w:top w:val="none" w:sz="0" w:space="0" w:color="auto"/>
        <w:left w:val="none" w:sz="0" w:space="0" w:color="auto"/>
        <w:bottom w:val="none" w:sz="0" w:space="0" w:color="auto"/>
        <w:right w:val="none" w:sz="0" w:space="0" w:color="auto"/>
      </w:divBdr>
    </w:div>
    <w:div w:id="1727795772">
      <w:bodyDiv w:val="1"/>
      <w:marLeft w:val="0"/>
      <w:marRight w:val="0"/>
      <w:marTop w:val="0"/>
      <w:marBottom w:val="0"/>
      <w:divBdr>
        <w:top w:val="none" w:sz="0" w:space="0" w:color="auto"/>
        <w:left w:val="none" w:sz="0" w:space="0" w:color="auto"/>
        <w:bottom w:val="none" w:sz="0" w:space="0" w:color="auto"/>
        <w:right w:val="none" w:sz="0" w:space="0" w:color="auto"/>
      </w:divBdr>
    </w:div>
    <w:div w:id="1736856871">
      <w:bodyDiv w:val="1"/>
      <w:marLeft w:val="0"/>
      <w:marRight w:val="0"/>
      <w:marTop w:val="0"/>
      <w:marBottom w:val="0"/>
      <w:divBdr>
        <w:top w:val="none" w:sz="0" w:space="0" w:color="auto"/>
        <w:left w:val="none" w:sz="0" w:space="0" w:color="auto"/>
        <w:bottom w:val="none" w:sz="0" w:space="0" w:color="auto"/>
        <w:right w:val="none" w:sz="0" w:space="0" w:color="auto"/>
      </w:divBdr>
    </w:div>
    <w:div w:id="1741561212">
      <w:bodyDiv w:val="1"/>
      <w:marLeft w:val="0"/>
      <w:marRight w:val="0"/>
      <w:marTop w:val="0"/>
      <w:marBottom w:val="0"/>
      <w:divBdr>
        <w:top w:val="none" w:sz="0" w:space="0" w:color="auto"/>
        <w:left w:val="none" w:sz="0" w:space="0" w:color="auto"/>
        <w:bottom w:val="none" w:sz="0" w:space="0" w:color="auto"/>
        <w:right w:val="none" w:sz="0" w:space="0" w:color="auto"/>
      </w:divBdr>
    </w:div>
    <w:div w:id="1778520486">
      <w:bodyDiv w:val="1"/>
      <w:marLeft w:val="0"/>
      <w:marRight w:val="0"/>
      <w:marTop w:val="0"/>
      <w:marBottom w:val="0"/>
      <w:divBdr>
        <w:top w:val="none" w:sz="0" w:space="0" w:color="auto"/>
        <w:left w:val="none" w:sz="0" w:space="0" w:color="auto"/>
        <w:bottom w:val="none" w:sz="0" w:space="0" w:color="auto"/>
        <w:right w:val="none" w:sz="0" w:space="0" w:color="auto"/>
      </w:divBdr>
      <w:divsChild>
        <w:div w:id="177038610">
          <w:marLeft w:val="0"/>
          <w:marRight w:val="0"/>
          <w:marTop w:val="0"/>
          <w:marBottom w:val="0"/>
          <w:divBdr>
            <w:top w:val="none" w:sz="0" w:space="0" w:color="auto"/>
            <w:left w:val="none" w:sz="0" w:space="0" w:color="auto"/>
            <w:bottom w:val="none" w:sz="0" w:space="0" w:color="auto"/>
            <w:right w:val="none" w:sz="0" w:space="0" w:color="auto"/>
          </w:divBdr>
        </w:div>
        <w:div w:id="256525775">
          <w:marLeft w:val="0"/>
          <w:marRight w:val="0"/>
          <w:marTop w:val="0"/>
          <w:marBottom w:val="0"/>
          <w:divBdr>
            <w:top w:val="none" w:sz="0" w:space="0" w:color="auto"/>
            <w:left w:val="none" w:sz="0" w:space="0" w:color="auto"/>
            <w:bottom w:val="none" w:sz="0" w:space="0" w:color="auto"/>
            <w:right w:val="none" w:sz="0" w:space="0" w:color="auto"/>
          </w:divBdr>
        </w:div>
        <w:div w:id="300699541">
          <w:marLeft w:val="0"/>
          <w:marRight w:val="0"/>
          <w:marTop w:val="0"/>
          <w:marBottom w:val="0"/>
          <w:divBdr>
            <w:top w:val="none" w:sz="0" w:space="0" w:color="auto"/>
            <w:left w:val="none" w:sz="0" w:space="0" w:color="auto"/>
            <w:bottom w:val="none" w:sz="0" w:space="0" w:color="auto"/>
            <w:right w:val="none" w:sz="0" w:space="0" w:color="auto"/>
          </w:divBdr>
        </w:div>
        <w:div w:id="336620488">
          <w:marLeft w:val="0"/>
          <w:marRight w:val="0"/>
          <w:marTop w:val="0"/>
          <w:marBottom w:val="0"/>
          <w:divBdr>
            <w:top w:val="none" w:sz="0" w:space="0" w:color="auto"/>
            <w:left w:val="none" w:sz="0" w:space="0" w:color="auto"/>
            <w:bottom w:val="none" w:sz="0" w:space="0" w:color="auto"/>
            <w:right w:val="none" w:sz="0" w:space="0" w:color="auto"/>
          </w:divBdr>
        </w:div>
        <w:div w:id="469905734">
          <w:marLeft w:val="0"/>
          <w:marRight w:val="0"/>
          <w:marTop w:val="0"/>
          <w:marBottom w:val="0"/>
          <w:divBdr>
            <w:top w:val="none" w:sz="0" w:space="0" w:color="auto"/>
            <w:left w:val="none" w:sz="0" w:space="0" w:color="auto"/>
            <w:bottom w:val="none" w:sz="0" w:space="0" w:color="auto"/>
            <w:right w:val="none" w:sz="0" w:space="0" w:color="auto"/>
          </w:divBdr>
        </w:div>
        <w:div w:id="476459827">
          <w:marLeft w:val="0"/>
          <w:marRight w:val="0"/>
          <w:marTop w:val="0"/>
          <w:marBottom w:val="0"/>
          <w:divBdr>
            <w:top w:val="none" w:sz="0" w:space="0" w:color="auto"/>
            <w:left w:val="none" w:sz="0" w:space="0" w:color="auto"/>
            <w:bottom w:val="none" w:sz="0" w:space="0" w:color="auto"/>
            <w:right w:val="none" w:sz="0" w:space="0" w:color="auto"/>
          </w:divBdr>
        </w:div>
        <w:div w:id="492183709">
          <w:marLeft w:val="0"/>
          <w:marRight w:val="0"/>
          <w:marTop w:val="0"/>
          <w:marBottom w:val="0"/>
          <w:divBdr>
            <w:top w:val="none" w:sz="0" w:space="0" w:color="auto"/>
            <w:left w:val="none" w:sz="0" w:space="0" w:color="auto"/>
            <w:bottom w:val="none" w:sz="0" w:space="0" w:color="auto"/>
            <w:right w:val="none" w:sz="0" w:space="0" w:color="auto"/>
          </w:divBdr>
        </w:div>
        <w:div w:id="533688195">
          <w:marLeft w:val="0"/>
          <w:marRight w:val="0"/>
          <w:marTop w:val="0"/>
          <w:marBottom w:val="0"/>
          <w:divBdr>
            <w:top w:val="none" w:sz="0" w:space="0" w:color="auto"/>
            <w:left w:val="none" w:sz="0" w:space="0" w:color="auto"/>
            <w:bottom w:val="none" w:sz="0" w:space="0" w:color="auto"/>
            <w:right w:val="none" w:sz="0" w:space="0" w:color="auto"/>
          </w:divBdr>
        </w:div>
        <w:div w:id="687292916">
          <w:marLeft w:val="0"/>
          <w:marRight w:val="0"/>
          <w:marTop w:val="0"/>
          <w:marBottom w:val="0"/>
          <w:divBdr>
            <w:top w:val="none" w:sz="0" w:space="0" w:color="auto"/>
            <w:left w:val="none" w:sz="0" w:space="0" w:color="auto"/>
            <w:bottom w:val="none" w:sz="0" w:space="0" w:color="auto"/>
            <w:right w:val="none" w:sz="0" w:space="0" w:color="auto"/>
          </w:divBdr>
        </w:div>
        <w:div w:id="717970934">
          <w:marLeft w:val="0"/>
          <w:marRight w:val="0"/>
          <w:marTop w:val="0"/>
          <w:marBottom w:val="0"/>
          <w:divBdr>
            <w:top w:val="none" w:sz="0" w:space="0" w:color="auto"/>
            <w:left w:val="none" w:sz="0" w:space="0" w:color="auto"/>
            <w:bottom w:val="none" w:sz="0" w:space="0" w:color="auto"/>
            <w:right w:val="none" w:sz="0" w:space="0" w:color="auto"/>
          </w:divBdr>
        </w:div>
        <w:div w:id="778332438">
          <w:marLeft w:val="0"/>
          <w:marRight w:val="0"/>
          <w:marTop w:val="0"/>
          <w:marBottom w:val="0"/>
          <w:divBdr>
            <w:top w:val="none" w:sz="0" w:space="0" w:color="auto"/>
            <w:left w:val="none" w:sz="0" w:space="0" w:color="auto"/>
            <w:bottom w:val="none" w:sz="0" w:space="0" w:color="auto"/>
            <w:right w:val="none" w:sz="0" w:space="0" w:color="auto"/>
          </w:divBdr>
        </w:div>
        <w:div w:id="1159730939">
          <w:marLeft w:val="0"/>
          <w:marRight w:val="0"/>
          <w:marTop w:val="0"/>
          <w:marBottom w:val="0"/>
          <w:divBdr>
            <w:top w:val="none" w:sz="0" w:space="0" w:color="auto"/>
            <w:left w:val="none" w:sz="0" w:space="0" w:color="auto"/>
            <w:bottom w:val="none" w:sz="0" w:space="0" w:color="auto"/>
            <w:right w:val="none" w:sz="0" w:space="0" w:color="auto"/>
          </w:divBdr>
        </w:div>
        <w:div w:id="1160731622">
          <w:marLeft w:val="0"/>
          <w:marRight w:val="0"/>
          <w:marTop w:val="0"/>
          <w:marBottom w:val="0"/>
          <w:divBdr>
            <w:top w:val="none" w:sz="0" w:space="0" w:color="auto"/>
            <w:left w:val="none" w:sz="0" w:space="0" w:color="auto"/>
            <w:bottom w:val="none" w:sz="0" w:space="0" w:color="auto"/>
            <w:right w:val="none" w:sz="0" w:space="0" w:color="auto"/>
          </w:divBdr>
        </w:div>
        <w:div w:id="1306007145">
          <w:marLeft w:val="0"/>
          <w:marRight w:val="0"/>
          <w:marTop w:val="0"/>
          <w:marBottom w:val="0"/>
          <w:divBdr>
            <w:top w:val="none" w:sz="0" w:space="0" w:color="auto"/>
            <w:left w:val="none" w:sz="0" w:space="0" w:color="auto"/>
            <w:bottom w:val="none" w:sz="0" w:space="0" w:color="auto"/>
            <w:right w:val="none" w:sz="0" w:space="0" w:color="auto"/>
          </w:divBdr>
        </w:div>
        <w:div w:id="1335063546">
          <w:marLeft w:val="0"/>
          <w:marRight w:val="0"/>
          <w:marTop w:val="0"/>
          <w:marBottom w:val="0"/>
          <w:divBdr>
            <w:top w:val="none" w:sz="0" w:space="0" w:color="auto"/>
            <w:left w:val="none" w:sz="0" w:space="0" w:color="auto"/>
            <w:bottom w:val="none" w:sz="0" w:space="0" w:color="auto"/>
            <w:right w:val="none" w:sz="0" w:space="0" w:color="auto"/>
          </w:divBdr>
        </w:div>
        <w:div w:id="1407024070">
          <w:marLeft w:val="0"/>
          <w:marRight w:val="0"/>
          <w:marTop w:val="0"/>
          <w:marBottom w:val="0"/>
          <w:divBdr>
            <w:top w:val="none" w:sz="0" w:space="0" w:color="auto"/>
            <w:left w:val="none" w:sz="0" w:space="0" w:color="auto"/>
            <w:bottom w:val="none" w:sz="0" w:space="0" w:color="auto"/>
            <w:right w:val="none" w:sz="0" w:space="0" w:color="auto"/>
          </w:divBdr>
        </w:div>
        <w:div w:id="1442457420">
          <w:marLeft w:val="0"/>
          <w:marRight w:val="0"/>
          <w:marTop w:val="0"/>
          <w:marBottom w:val="0"/>
          <w:divBdr>
            <w:top w:val="none" w:sz="0" w:space="0" w:color="auto"/>
            <w:left w:val="none" w:sz="0" w:space="0" w:color="auto"/>
            <w:bottom w:val="none" w:sz="0" w:space="0" w:color="auto"/>
            <w:right w:val="none" w:sz="0" w:space="0" w:color="auto"/>
          </w:divBdr>
        </w:div>
        <w:div w:id="1631327899">
          <w:marLeft w:val="0"/>
          <w:marRight w:val="0"/>
          <w:marTop w:val="0"/>
          <w:marBottom w:val="0"/>
          <w:divBdr>
            <w:top w:val="none" w:sz="0" w:space="0" w:color="auto"/>
            <w:left w:val="none" w:sz="0" w:space="0" w:color="auto"/>
            <w:bottom w:val="none" w:sz="0" w:space="0" w:color="auto"/>
            <w:right w:val="none" w:sz="0" w:space="0" w:color="auto"/>
          </w:divBdr>
        </w:div>
        <w:div w:id="2027900361">
          <w:marLeft w:val="0"/>
          <w:marRight w:val="0"/>
          <w:marTop w:val="0"/>
          <w:marBottom w:val="0"/>
          <w:divBdr>
            <w:top w:val="none" w:sz="0" w:space="0" w:color="auto"/>
            <w:left w:val="none" w:sz="0" w:space="0" w:color="auto"/>
            <w:bottom w:val="none" w:sz="0" w:space="0" w:color="auto"/>
            <w:right w:val="none" w:sz="0" w:space="0" w:color="auto"/>
          </w:divBdr>
        </w:div>
      </w:divsChild>
    </w:div>
    <w:div w:id="1794205108">
      <w:bodyDiv w:val="1"/>
      <w:marLeft w:val="0"/>
      <w:marRight w:val="0"/>
      <w:marTop w:val="0"/>
      <w:marBottom w:val="0"/>
      <w:divBdr>
        <w:top w:val="none" w:sz="0" w:space="0" w:color="auto"/>
        <w:left w:val="none" w:sz="0" w:space="0" w:color="auto"/>
        <w:bottom w:val="none" w:sz="0" w:space="0" w:color="auto"/>
        <w:right w:val="none" w:sz="0" w:space="0" w:color="auto"/>
      </w:divBdr>
    </w:div>
    <w:div w:id="1816414437">
      <w:bodyDiv w:val="1"/>
      <w:marLeft w:val="0"/>
      <w:marRight w:val="0"/>
      <w:marTop w:val="0"/>
      <w:marBottom w:val="0"/>
      <w:divBdr>
        <w:top w:val="none" w:sz="0" w:space="0" w:color="auto"/>
        <w:left w:val="none" w:sz="0" w:space="0" w:color="auto"/>
        <w:bottom w:val="none" w:sz="0" w:space="0" w:color="auto"/>
        <w:right w:val="none" w:sz="0" w:space="0" w:color="auto"/>
      </w:divBdr>
    </w:div>
    <w:div w:id="1821849087">
      <w:bodyDiv w:val="1"/>
      <w:marLeft w:val="0"/>
      <w:marRight w:val="0"/>
      <w:marTop w:val="0"/>
      <w:marBottom w:val="0"/>
      <w:divBdr>
        <w:top w:val="none" w:sz="0" w:space="0" w:color="auto"/>
        <w:left w:val="none" w:sz="0" w:space="0" w:color="auto"/>
        <w:bottom w:val="none" w:sz="0" w:space="0" w:color="auto"/>
        <w:right w:val="none" w:sz="0" w:space="0" w:color="auto"/>
      </w:divBdr>
    </w:div>
    <w:div w:id="1829902072">
      <w:bodyDiv w:val="1"/>
      <w:marLeft w:val="0"/>
      <w:marRight w:val="0"/>
      <w:marTop w:val="0"/>
      <w:marBottom w:val="0"/>
      <w:divBdr>
        <w:top w:val="none" w:sz="0" w:space="0" w:color="auto"/>
        <w:left w:val="none" w:sz="0" w:space="0" w:color="auto"/>
        <w:bottom w:val="none" w:sz="0" w:space="0" w:color="auto"/>
        <w:right w:val="none" w:sz="0" w:space="0" w:color="auto"/>
      </w:divBdr>
    </w:div>
    <w:div w:id="1852331454">
      <w:bodyDiv w:val="1"/>
      <w:marLeft w:val="0"/>
      <w:marRight w:val="0"/>
      <w:marTop w:val="0"/>
      <w:marBottom w:val="0"/>
      <w:divBdr>
        <w:top w:val="none" w:sz="0" w:space="0" w:color="auto"/>
        <w:left w:val="none" w:sz="0" w:space="0" w:color="auto"/>
        <w:bottom w:val="none" w:sz="0" w:space="0" w:color="auto"/>
        <w:right w:val="none" w:sz="0" w:space="0" w:color="auto"/>
      </w:divBdr>
    </w:div>
    <w:div w:id="1865744739">
      <w:bodyDiv w:val="1"/>
      <w:marLeft w:val="0"/>
      <w:marRight w:val="0"/>
      <w:marTop w:val="0"/>
      <w:marBottom w:val="0"/>
      <w:divBdr>
        <w:top w:val="none" w:sz="0" w:space="0" w:color="auto"/>
        <w:left w:val="none" w:sz="0" w:space="0" w:color="auto"/>
        <w:bottom w:val="none" w:sz="0" w:space="0" w:color="auto"/>
        <w:right w:val="none" w:sz="0" w:space="0" w:color="auto"/>
      </w:divBdr>
    </w:div>
    <w:div w:id="1904565280">
      <w:bodyDiv w:val="1"/>
      <w:marLeft w:val="0"/>
      <w:marRight w:val="0"/>
      <w:marTop w:val="0"/>
      <w:marBottom w:val="0"/>
      <w:divBdr>
        <w:top w:val="none" w:sz="0" w:space="0" w:color="auto"/>
        <w:left w:val="none" w:sz="0" w:space="0" w:color="auto"/>
        <w:bottom w:val="none" w:sz="0" w:space="0" w:color="auto"/>
        <w:right w:val="none" w:sz="0" w:space="0" w:color="auto"/>
      </w:divBdr>
    </w:div>
    <w:div w:id="1947733337">
      <w:bodyDiv w:val="1"/>
      <w:marLeft w:val="0"/>
      <w:marRight w:val="0"/>
      <w:marTop w:val="0"/>
      <w:marBottom w:val="0"/>
      <w:divBdr>
        <w:top w:val="none" w:sz="0" w:space="0" w:color="auto"/>
        <w:left w:val="none" w:sz="0" w:space="0" w:color="auto"/>
        <w:bottom w:val="none" w:sz="0" w:space="0" w:color="auto"/>
        <w:right w:val="none" w:sz="0" w:space="0" w:color="auto"/>
      </w:divBdr>
    </w:div>
    <w:div w:id="1958831474">
      <w:bodyDiv w:val="1"/>
      <w:marLeft w:val="0"/>
      <w:marRight w:val="0"/>
      <w:marTop w:val="0"/>
      <w:marBottom w:val="0"/>
      <w:divBdr>
        <w:top w:val="none" w:sz="0" w:space="0" w:color="auto"/>
        <w:left w:val="none" w:sz="0" w:space="0" w:color="auto"/>
        <w:bottom w:val="none" w:sz="0" w:space="0" w:color="auto"/>
        <w:right w:val="none" w:sz="0" w:space="0" w:color="auto"/>
      </w:divBdr>
    </w:div>
    <w:div w:id="1974096033">
      <w:bodyDiv w:val="1"/>
      <w:marLeft w:val="0"/>
      <w:marRight w:val="0"/>
      <w:marTop w:val="0"/>
      <w:marBottom w:val="0"/>
      <w:divBdr>
        <w:top w:val="none" w:sz="0" w:space="0" w:color="auto"/>
        <w:left w:val="none" w:sz="0" w:space="0" w:color="auto"/>
        <w:bottom w:val="none" w:sz="0" w:space="0" w:color="auto"/>
        <w:right w:val="none" w:sz="0" w:space="0" w:color="auto"/>
      </w:divBdr>
    </w:div>
    <w:div w:id="2004234507">
      <w:bodyDiv w:val="1"/>
      <w:marLeft w:val="0"/>
      <w:marRight w:val="0"/>
      <w:marTop w:val="0"/>
      <w:marBottom w:val="0"/>
      <w:divBdr>
        <w:top w:val="none" w:sz="0" w:space="0" w:color="auto"/>
        <w:left w:val="none" w:sz="0" w:space="0" w:color="auto"/>
        <w:bottom w:val="none" w:sz="0" w:space="0" w:color="auto"/>
        <w:right w:val="none" w:sz="0" w:space="0" w:color="auto"/>
      </w:divBdr>
    </w:div>
    <w:div w:id="2009095180">
      <w:bodyDiv w:val="1"/>
      <w:marLeft w:val="0"/>
      <w:marRight w:val="0"/>
      <w:marTop w:val="0"/>
      <w:marBottom w:val="0"/>
      <w:divBdr>
        <w:top w:val="none" w:sz="0" w:space="0" w:color="auto"/>
        <w:left w:val="none" w:sz="0" w:space="0" w:color="auto"/>
        <w:bottom w:val="none" w:sz="0" w:space="0" w:color="auto"/>
        <w:right w:val="none" w:sz="0" w:space="0" w:color="auto"/>
      </w:divBdr>
    </w:div>
    <w:div w:id="2049573145">
      <w:bodyDiv w:val="1"/>
      <w:marLeft w:val="0"/>
      <w:marRight w:val="0"/>
      <w:marTop w:val="0"/>
      <w:marBottom w:val="0"/>
      <w:divBdr>
        <w:top w:val="none" w:sz="0" w:space="0" w:color="auto"/>
        <w:left w:val="none" w:sz="0" w:space="0" w:color="auto"/>
        <w:bottom w:val="none" w:sz="0" w:space="0" w:color="auto"/>
        <w:right w:val="none" w:sz="0" w:space="0" w:color="auto"/>
      </w:divBdr>
    </w:div>
    <w:div w:id="2077431732">
      <w:bodyDiv w:val="1"/>
      <w:marLeft w:val="0"/>
      <w:marRight w:val="0"/>
      <w:marTop w:val="0"/>
      <w:marBottom w:val="0"/>
      <w:divBdr>
        <w:top w:val="none" w:sz="0" w:space="0" w:color="auto"/>
        <w:left w:val="none" w:sz="0" w:space="0" w:color="auto"/>
        <w:bottom w:val="none" w:sz="0" w:space="0" w:color="auto"/>
        <w:right w:val="none" w:sz="0" w:space="0" w:color="auto"/>
      </w:divBdr>
    </w:div>
    <w:div w:id="2101442109">
      <w:bodyDiv w:val="1"/>
      <w:marLeft w:val="0"/>
      <w:marRight w:val="0"/>
      <w:marTop w:val="0"/>
      <w:marBottom w:val="0"/>
      <w:divBdr>
        <w:top w:val="none" w:sz="0" w:space="0" w:color="auto"/>
        <w:left w:val="none" w:sz="0" w:space="0" w:color="auto"/>
        <w:bottom w:val="none" w:sz="0" w:space="0" w:color="auto"/>
        <w:right w:val="none" w:sz="0" w:space="0" w:color="auto"/>
      </w:divBdr>
    </w:div>
    <w:div w:id="21421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9872B.C93A1270"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rc.org.uk/auditorsresponsibiliti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Tenant Satisfaction Survey Results 2023/24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'[Charter Indicator Response Sheet Wheatley Housing Group - Combined %s TSS 2023_24 (for Annual report).xlsx]WH South'!$C$1</c:f>
              <c:strCache>
                <c:ptCount val="1"/>
                <c:pt idx="0">
                  <c:v>WH South 2023/24</c:v>
                </c:pt>
              </c:strCache>
            </c:strRef>
          </c:tx>
          <c:spPr>
            <a:solidFill>
              <a:schemeClr val="accent2">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'[Charter Indicator Response Sheet Wheatley Housing Group - Combined %s TSS 2023_24 (for Annual report).xlsx]WH South'!$B$2:$B$7</c:f>
              <c:strCache>
                <c:ptCount val="6"/>
                <c:pt idx="0">
                  <c:v>Overall service</c:v>
                </c:pt>
                <c:pt idx="1">
                  <c:v>Keeping informed</c:v>
                </c:pt>
                <c:pt idx="2">
                  <c:v>Opportunities to participate</c:v>
                </c:pt>
                <c:pt idx="3">
                  <c:v>Quality of home</c:v>
                </c:pt>
                <c:pt idx="4">
                  <c:v>Management of neighbourhood</c:v>
                </c:pt>
                <c:pt idx="5">
                  <c:v>Value for money</c:v>
                </c:pt>
              </c:strCache>
            </c:strRef>
          </c:cat>
          <c:val>
            <c:numRef>
              <c:f>'[Charter Indicator Response Sheet Wheatley Housing Group - Combined %s TSS 2023_24 (for Annual report).xlsx]WH South'!$C$2:$C$7</c:f>
              <c:numCache>
                <c:formatCode>0%</c:formatCode>
                <c:ptCount val="6"/>
                <c:pt idx="0">
                  <c:v>0.87839999999999996</c:v>
                </c:pt>
                <c:pt idx="1">
                  <c:v>0.96489999999999998</c:v>
                </c:pt>
                <c:pt idx="2">
                  <c:v>0.97299999999999998</c:v>
                </c:pt>
                <c:pt idx="3">
                  <c:v>0.88649999999999995</c:v>
                </c:pt>
                <c:pt idx="4">
                  <c:v>0.9486</c:v>
                </c:pt>
                <c:pt idx="5">
                  <c:v>0.95140000000000002</c:v>
                </c:pt>
              </c:numCache>
            </c:numRef>
          </c:val>
          <c:extLst>
            <c:ext xmlns:c16="http://schemas.microsoft.com/office/drawing/2014/chart" uri="{C3380CC4-5D6E-409C-BE32-E72D297353CC}">
              <c16:uniqueId val="{00000000-E5FD-4E73-9F3B-17584049D8E5}"/>
            </c:ext>
          </c:extLst>
        </c:ser>
        <c:ser>
          <c:idx val="1"/>
          <c:order val="1"/>
          <c:tx>
            <c:strRef>
              <c:f>'[Charter Indicator Response Sheet Wheatley Housing Group - Combined %s TSS 2023_24 (for Annual report).xlsx]Group totals'!$D$1</c:f>
              <c:strCache>
                <c:ptCount val="1"/>
                <c:pt idx="0">
                  <c:v>Total number of interviewees </c:v>
                </c:pt>
              </c:strCache>
            </c:strRef>
          </c:tx>
          <c:spPr>
            <a:solidFill>
              <a:schemeClr val="accent2">
                <a:shade val="86000"/>
              </a:schemeClr>
            </a:solidFill>
            <a:ln>
              <a:noFill/>
            </a:ln>
            <a:effectLst/>
          </c:spPr>
          <c:invertIfNegative val="0"/>
          <c:cat>
            <c:strRef>
              <c:f>'[Charter Indicator Response Sheet Wheatley Housing Group - Combined %s TSS 2023_24 (for Annual report).xlsx]Group totals'!$B$2:$B$7</c:f>
              <c:strCache>
                <c:ptCount val="6"/>
                <c:pt idx="0">
                  <c:v>Overall service</c:v>
                </c:pt>
                <c:pt idx="1">
                  <c:v>Keeping informed</c:v>
                </c:pt>
                <c:pt idx="2">
                  <c:v>Opportunities to participate</c:v>
                </c:pt>
                <c:pt idx="3">
                  <c:v>Quality of home</c:v>
                </c:pt>
                <c:pt idx="4">
                  <c:v>Management of neighbourhood</c:v>
                </c:pt>
                <c:pt idx="5">
                  <c:v>Value for money</c:v>
                </c:pt>
              </c:strCache>
            </c:strRef>
          </c:cat>
          <c:val>
            <c:numRef>
              <c:f>'[Charter Indicator Response Sheet Wheatley Housing Group - Combined %s TSS 2023_24 (for Annual report).xlsx]Group totals'!$D$2:$D$7</c:f>
            </c:numRef>
          </c:val>
          <c:extLst>
            <c:ext xmlns:c16="http://schemas.microsoft.com/office/drawing/2014/chart" uri="{C3380CC4-5D6E-409C-BE32-E72D297353CC}">
              <c16:uniqueId val="{00000001-E5FD-4E73-9F3B-17584049D8E5}"/>
            </c:ext>
          </c:extLst>
        </c:ser>
        <c:ser>
          <c:idx val="2"/>
          <c:order val="2"/>
          <c:tx>
            <c:strRef>
              <c:f>'[Charter Indicator Response Sheet Wheatley Housing Group - Combined %s TSS 2023_24 (for Annual report).xlsx]Group totals'!$E$1</c:f>
              <c:strCache>
                <c:ptCount val="1"/>
              </c:strCache>
            </c:strRef>
          </c:tx>
          <c:spPr>
            <a:solidFill>
              <a:schemeClr val="accent2">
                <a:tint val="86000"/>
              </a:schemeClr>
            </a:solidFill>
            <a:ln>
              <a:noFill/>
            </a:ln>
            <a:effectLst/>
          </c:spPr>
          <c:invertIfNegative val="0"/>
          <c:cat>
            <c:strRef>
              <c:f>'[Charter Indicator Response Sheet Wheatley Housing Group - Combined %s TSS 2023_24 (for Annual report).xlsx]Group totals'!$B$2:$B$7</c:f>
              <c:strCache>
                <c:ptCount val="6"/>
                <c:pt idx="0">
                  <c:v>Overall service</c:v>
                </c:pt>
                <c:pt idx="1">
                  <c:v>Keeping informed</c:v>
                </c:pt>
                <c:pt idx="2">
                  <c:v>Opportunities to participate</c:v>
                </c:pt>
                <c:pt idx="3">
                  <c:v>Quality of home</c:v>
                </c:pt>
                <c:pt idx="4">
                  <c:v>Management of neighbourhood</c:v>
                </c:pt>
                <c:pt idx="5">
                  <c:v>Value for money</c:v>
                </c:pt>
              </c:strCache>
            </c:strRef>
          </c:cat>
          <c:val>
            <c:numRef>
              <c:f>'[Charter Indicator Response Sheet Wheatley Housing Group - Combined %s TSS 2023_24 (for Annual report).xlsx]Group totals'!$E$2:$E$7</c:f>
            </c:numRef>
          </c:val>
          <c:extLst>
            <c:ext xmlns:c16="http://schemas.microsoft.com/office/drawing/2014/chart" uri="{C3380CC4-5D6E-409C-BE32-E72D297353CC}">
              <c16:uniqueId val="{00000002-E5FD-4E73-9F3B-17584049D8E5}"/>
            </c:ext>
          </c:extLst>
        </c:ser>
        <c:ser>
          <c:idx val="3"/>
          <c:order val="3"/>
          <c:tx>
            <c:strRef>
              <c:f>'[Charter Indicator Response Sheet Wheatley Housing Group - Combined %s TSS 2023_24 (for Annual report).xlsx]WH South'!$F$1</c:f>
              <c:strCache>
                <c:ptCount val="1"/>
                <c:pt idx="0">
                  <c:v>Scotland's Housing Network Member Average 2023/24 (119 RSLs and LAs)</c:v>
                </c:pt>
              </c:strCache>
            </c:strRef>
          </c:tx>
          <c:spPr>
            <a:solidFill>
              <a:schemeClr val="accent2">
                <a:tint val="58000"/>
              </a:schemeClr>
            </a:solidFill>
            <a:ln>
              <a:noFill/>
            </a:ln>
            <a:effectLst/>
          </c:spPr>
          <c:invertIfNegative val="0"/>
          <c:cat>
            <c:strRef>
              <c:f>'[Charter Indicator Response Sheet Wheatley Housing Group - Combined %s TSS 2023_24 (for Annual report).xlsx]WH South'!$B$2:$B$7</c:f>
              <c:strCache>
                <c:ptCount val="6"/>
                <c:pt idx="0">
                  <c:v>Overall service</c:v>
                </c:pt>
                <c:pt idx="1">
                  <c:v>Keeping informed</c:v>
                </c:pt>
                <c:pt idx="2">
                  <c:v>Opportunities to participate</c:v>
                </c:pt>
                <c:pt idx="3">
                  <c:v>Quality of home</c:v>
                </c:pt>
                <c:pt idx="4">
                  <c:v>Management of neighbourhood</c:v>
                </c:pt>
                <c:pt idx="5">
                  <c:v>Value for money</c:v>
                </c:pt>
              </c:strCache>
            </c:strRef>
          </c:cat>
          <c:val>
            <c:numRef>
              <c:f>'[Charter Indicator Response Sheet Wheatley Housing Group - Combined %s TSS 2023_24 (for Annual report).xlsx]WH South'!$F$2:$F$7</c:f>
              <c:numCache>
                <c:formatCode>0.00%</c:formatCode>
                <c:ptCount val="6"/>
                <c:pt idx="0">
                  <c:v>0.86180000000000001</c:v>
                </c:pt>
                <c:pt idx="1">
                  <c:v>0.89890000000000003</c:v>
                </c:pt>
                <c:pt idx="2">
                  <c:v>0.86709999999999998</c:v>
                </c:pt>
                <c:pt idx="3">
                  <c:v>0.83730000000000004</c:v>
                </c:pt>
                <c:pt idx="4">
                  <c:v>0.84540000000000004</c:v>
                </c:pt>
                <c:pt idx="5">
                  <c:v>0.81110000000000004</c:v>
                </c:pt>
              </c:numCache>
            </c:numRef>
          </c:val>
          <c:extLst>
            <c:ext xmlns:c16="http://schemas.microsoft.com/office/drawing/2014/chart" uri="{C3380CC4-5D6E-409C-BE32-E72D297353CC}">
              <c16:uniqueId val="{00000003-E5FD-4E73-9F3B-17584049D8E5}"/>
            </c:ext>
          </c:extLst>
        </c:ser>
        <c:dLbls>
          <c:showLegendKey val="0"/>
          <c:showVal val="0"/>
          <c:showCatName val="0"/>
          <c:showSerName val="0"/>
          <c:showPercent val="0"/>
          <c:showBubbleSize val="0"/>
        </c:dLbls>
        <c:gapWidth val="219"/>
        <c:overlap val="-27"/>
        <c:axId val="1429031808"/>
        <c:axId val="1429032288"/>
      </c:barChart>
      <c:catAx>
        <c:axId val="142903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032288"/>
        <c:crosses val="autoZero"/>
        <c:auto val="1"/>
        <c:lblAlgn val="ctr"/>
        <c:lblOffset val="100"/>
        <c:noMultiLvlLbl val="0"/>
      </c:catAx>
      <c:valAx>
        <c:axId val="14290322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03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udit Papers" ma:contentTypeID="0x01010093AACE41D6F26849B66B5093A9ACD4A91A00E9DF1132EFA8614490E91AC1968DF980" ma:contentTypeVersion="22" ma:contentTypeDescription="Create a new document." ma:contentTypeScope="" ma:versionID="d84a7fc43f695002fdc3176d3b0bb303">
  <xsd:schema xmlns:xsd="http://www.w3.org/2001/XMLSchema" xmlns:xs="http://www.w3.org/2001/XMLSchema" xmlns:p="http://schemas.microsoft.com/office/2006/metadata/properties" xmlns:ns2="d6b93ee5-5886-4f27-aac3-8abaaf83812d" xmlns:ns3="5de9ecde-88b7-437d-95dd-d6e3200f1026" xmlns:ns4="bc241719-71b1-4d23-9a4f-d355d6ecec9d" targetNamespace="http://schemas.microsoft.com/office/2006/metadata/properties" ma:root="true" ma:fieldsID="983c02dd9543633c6f01b651ed7bde28" ns2:_="" ns3:_="" ns4:_="">
    <xsd:import namespace="d6b93ee5-5886-4f27-aac3-8abaaf83812d"/>
    <xsd:import namespace="5de9ecde-88b7-437d-95dd-d6e3200f1026"/>
    <xsd:import namespace="bc241719-71b1-4d23-9a4f-d355d6ecec9d"/>
    <xsd:element name="properties">
      <xsd:complexType>
        <xsd:sequence>
          <xsd:element name="documentManagement">
            <xsd:complexType>
              <xsd:all>
                <xsd:element ref="ns2:TaxCatchAll" minOccurs="0"/>
                <xsd:element ref="ns2:TaxCatchAllLabel" minOccurs="0"/>
                <xsd:element ref="ns3:gf3b4ea557db43bd995bd96701877e19" minOccurs="0"/>
                <xsd:element ref="ns3:h286f4f000a74a79b9de7e076d4f3030" minOccurs="0"/>
                <xsd:element ref="ns3:l4c1120c6332441185521cae2e628372" minOccurs="0"/>
                <xsd:element ref="ns3:j418406633a34d0d96353f79ffa9a3d8" minOccurs="0"/>
                <xsd:element ref="ns2:j027b40c20804eb29088ca9a059193db" minOccurs="0"/>
                <xsd:element ref="ns2:Classification"/>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93ee5-5886-4f27-aac3-8abaaf83812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a64a26c-d568-4c19-942c-c7bfeb3effe8}" ma:internalName="TaxCatchAll" ma:showField="CatchAllData"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a64a26c-d568-4c19-942c-c7bfeb3effe8}" ma:internalName="TaxCatchAllLabel" ma:readOnly="true" ma:showField="CatchAllDataLabel" ma:web="d6b93ee5-5886-4f27-aac3-8abaaf83812d">
      <xsd:complexType>
        <xsd:complexContent>
          <xsd:extension base="dms:MultiChoiceLookup">
            <xsd:sequence>
              <xsd:element name="Value" type="dms:Lookup" maxOccurs="unbounded" minOccurs="0" nillable="true"/>
            </xsd:sequence>
          </xsd:extension>
        </xsd:complexContent>
      </xsd:complexType>
    </xsd:element>
    <xsd:element name="j027b40c20804eb29088ca9a059193db" ma:index="18" nillable="true" ma:taxonomy="true" ma:internalName="j027b40c20804eb29088ca9a059193db" ma:taxonomyFieldName="Subsidiary" ma:displayName="Subsidiary" ma:default="" ma:fieldId="{3027b40c-2080-4eb2-9088-ca9a059193db}" ma:taxonomyMulti="true" ma:sspId="ce2f4bff-1d78-4f14-bf13-aeeabb3b1f0d" ma:termSetId="b68903ea-1a31-435d-9244-0ffc58479da1" ma:anchorId="00000000-0000-0000-0000-000000000000" ma:open="false" ma:isKeyword="false">
      <xsd:complexType>
        <xsd:sequence>
          <xsd:element ref="pc:Terms" minOccurs="0" maxOccurs="1"/>
        </xsd:sequence>
      </xsd:complexType>
    </xsd:element>
    <xsd:element name="Classification" ma:index="20" ma:displayName="Classification" ma:default="Internal" ma:format="Dropdown" ma:internalName="Classification" ma:readOnly="false">
      <xsd:simpleType>
        <xsd:restriction base="dms:Choice">
          <xsd:enumeration value="Public"/>
          <xsd:enumeration value="Internal"/>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5de9ecde-88b7-437d-95dd-d6e3200f1026" elementFormDefault="qualified">
    <xsd:import namespace="http://schemas.microsoft.com/office/2006/documentManagement/types"/>
    <xsd:import namespace="http://schemas.microsoft.com/office/infopath/2007/PartnerControls"/>
    <xsd:element name="gf3b4ea557db43bd995bd96701877e19" ma:index="10" ma:taxonomy="true" ma:internalName="gf3b4ea557db43bd995bd96701877e19" ma:taxonomyFieldName="TFCategory" ma:displayName="Content Category" ma:default="" ma:fieldId="{0f3b4ea5-57db-43bd-995b-d96701877e19}" ma:taxonomyMulti="true" ma:sspId="ce2f4bff-1d78-4f14-bf13-aeeabb3b1f0d" ma:termSetId="dc79af26-6131-46eb-88b7-f712e6c53db9" ma:anchorId="00000000-0000-0000-0000-000000000000" ma:open="false" ma:isKeyword="false">
      <xsd:complexType>
        <xsd:sequence>
          <xsd:element ref="pc:Terms" minOccurs="0" maxOccurs="1"/>
        </xsd:sequence>
      </xsd:complexType>
    </xsd:element>
    <xsd:element name="h286f4f000a74a79b9de7e076d4f3030" ma:index="12" ma:taxonomy="true" ma:internalName="h286f4f000a74a79b9de7e076d4f3030" ma:taxonomyFieldName="TFFinancialYear" ma:displayName="Financial Year" ma:default="" ma:fieldId="{1286f4f0-00a7-4a79-b9de-7e076d4f3030}" ma:sspId="ce2f4bff-1d78-4f14-bf13-aeeabb3b1f0d" ma:termSetId="6e3385ad-f7a6-4027-820d-bba587f8baa1" ma:anchorId="00000000-0000-0000-0000-000000000000" ma:open="false" ma:isKeyword="false">
      <xsd:complexType>
        <xsd:sequence>
          <xsd:element ref="pc:Terms" minOccurs="0" maxOccurs="1"/>
        </xsd:sequence>
      </xsd:complexType>
    </xsd:element>
    <xsd:element name="l4c1120c6332441185521cae2e628372" ma:index="14" ma:taxonomy="true" ma:internalName="l4c1120c6332441185521cae2e628372" ma:taxonomyFieldName="TFPeriod" ma:displayName="Period" ma:default="" ma:fieldId="{54c1120c-6332-4411-8552-1cae2e628372}" ma:sspId="ce2f4bff-1d78-4f14-bf13-aeeabb3b1f0d" ma:termSetId="9f21a9c3-5731-46a1-9820-9c19e49671ed" ma:anchorId="00000000-0000-0000-0000-000000000000" ma:open="false" ma:isKeyword="false">
      <xsd:complexType>
        <xsd:sequence>
          <xsd:element ref="pc:Terms" minOccurs="0" maxOccurs="1"/>
        </xsd:sequence>
      </xsd:complexType>
    </xsd:element>
    <xsd:element name="j418406633a34d0d96353f79ffa9a3d8" ma:index="16" ma:taxonomy="true" ma:internalName="j418406633a34d0d96353f79ffa9a3d8" ma:taxonomyFieldName="TFTeam" ma:displayName="Team" ma:default="" ma:fieldId="{34184066-33a3-4d0d-9635-3f79ffa9a3d8}" ma:sspId="ce2f4bff-1d78-4f14-bf13-aeeabb3b1f0d" ma:termSetId="53e2e290-da30-4b0e-8f80-8767cc54644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41719-71b1-4d23-9a4f-d355d6ecec9d" elementFormDefault="qualified">
    <xsd:import namespace="http://schemas.microsoft.com/office/2006/documentManagement/types"/>
    <xsd:import namespace="http://schemas.microsoft.com/office/infopath/2007/PartnerControls"/>
    <xsd:element name="lcf76f155ced4ddcb4097134ff3c332f" ma:index="2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d6b93ee5-5886-4f27-aac3-8abaaf83812d">Internal</Classification>
    <gf3b4ea557db43bd995bd96701877e19 xmlns="5de9ecde-88b7-437d-95dd-d6e3200f1026">
      <Terms xmlns="http://schemas.microsoft.com/office/infopath/2007/PartnerControls">
        <TermInfo xmlns="http://schemas.microsoft.com/office/infopath/2007/PartnerControls">
          <TermName xmlns="http://schemas.microsoft.com/office/infopath/2007/PartnerControls">Statuatory Accounts</TermName>
          <TermId xmlns="http://schemas.microsoft.com/office/infopath/2007/PartnerControls">dc0fd20d-bd46-47b9-8da5-1301d46a5de1</TermId>
        </TermInfo>
      </Terms>
    </gf3b4ea557db43bd995bd96701877e19>
    <j418406633a34d0d96353f79ffa9a3d8 xmlns="5de9ecde-88b7-437d-95dd-d6e3200f1026">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c276e5ec-fee8-4109-aeec-491efead9751</TermId>
        </TermInfo>
      </Terms>
    </j418406633a34d0d96353f79ffa9a3d8>
    <l4c1120c6332441185521cae2e628372 xmlns="5de9ecde-88b7-437d-95dd-d6e3200f1026">
      <Terms xmlns="http://schemas.microsoft.com/office/infopath/2007/PartnerControls">
        <TermInfo xmlns="http://schemas.microsoft.com/office/infopath/2007/PartnerControls">
          <TermName xmlns="http://schemas.microsoft.com/office/infopath/2007/PartnerControls">Q4</TermName>
          <TermId xmlns="http://schemas.microsoft.com/office/infopath/2007/PartnerControls">233cbcc3-62cd-4d5d-890d-8d298d14a343</TermId>
        </TermInfo>
      </Terms>
    </l4c1120c6332441185521cae2e628372>
    <h286f4f000a74a79b9de7e076d4f3030 xmlns="5de9ecde-88b7-437d-95dd-d6e3200f1026">
      <Terms xmlns="http://schemas.microsoft.com/office/infopath/2007/PartnerControls">
        <TermInfo xmlns="http://schemas.microsoft.com/office/infopath/2007/PartnerControls">
          <TermName xmlns="http://schemas.microsoft.com/office/infopath/2007/PartnerControls">2019-2020</TermName>
          <TermId xmlns="http://schemas.microsoft.com/office/infopath/2007/PartnerControls">524f256a-fcc6-425c-8b66-7e78fbd17c87</TermId>
        </TermInfo>
      </Terms>
    </h286f4f000a74a79b9de7e076d4f3030>
    <j027b40c20804eb29088ca9a059193db xmlns="d6b93ee5-5886-4f27-aac3-8abaaf83812d">
      <Terms xmlns="http://schemas.microsoft.com/office/infopath/2007/PartnerControls"/>
    </j027b40c20804eb29088ca9a059193db>
    <TaxCatchAll xmlns="d6b93ee5-5886-4f27-aac3-8abaaf83812d">
      <Value>6</Value>
      <Value>52</Value>
      <Value>30</Value>
      <Value>22</Value>
    </TaxCatchAll>
    <lcf76f155ced4ddcb4097134ff3c332f xmlns="bc241719-71b1-4d23-9a4f-d355d6ecec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F039B3B-6970-4A61-8B7B-EFCAD4AE7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93ee5-5886-4f27-aac3-8abaaf83812d"/>
    <ds:schemaRef ds:uri="5de9ecde-88b7-437d-95dd-d6e3200f1026"/>
    <ds:schemaRef ds:uri="bc241719-71b1-4d23-9a4f-d355d6ece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1201C-46EA-4041-BADD-648E96801A16}">
  <ds:schemaRefs>
    <ds:schemaRef ds:uri="http://schemas.microsoft.com/office/2006/metadata/properties"/>
    <ds:schemaRef ds:uri="5de9ecde-88b7-437d-95dd-d6e3200f1026"/>
    <ds:schemaRef ds:uri="http://purl.org/dc/elements/1.1/"/>
    <ds:schemaRef ds:uri="d6b93ee5-5886-4f27-aac3-8abaaf83812d"/>
    <ds:schemaRef ds:uri="http://schemas.microsoft.com/office/2006/documentManagement/types"/>
    <ds:schemaRef ds:uri="http://schemas.microsoft.com/office/infopath/2007/PartnerControls"/>
    <ds:schemaRef ds:uri="http://schemas.openxmlformats.org/package/2006/metadata/core-properties"/>
    <ds:schemaRef ds:uri="bc241719-71b1-4d23-9a4f-d355d6ecec9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6ECC5E6-95A8-47DC-8559-35BD81B2F312}">
  <ds:schemaRefs>
    <ds:schemaRef ds:uri="http://schemas.openxmlformats.org/officeDocument/2006/bibliography"/>
  </ds:schemaRefs>
</ds:datastoreItem>
</file>

<file path=customXml/itemProps4.xml><?xml version="1.0" encoding="utf-8"?>
<ds:datastoreItem xmlns:ds="http://schemas.openxmlformats.org/officeDocument/2006/customXml" ds:itemID="{3D1EB45F-AA7C-45E7-A70F-AECB2AA70DB9}">
  <ds:schemaRefs>
    <ds:schemaRef ds:uri="http://schemas.microsoft.com/sharepoint/v3/contenttype/forms"/>
  </ds:schemaRefs>
</ds:datastoreItem>
</file>

<file path=customXml/itemProps5.xml><?xml version="1.0" encoding="utf-8"?>
<ds:datastoreItem xmlns:ds="http://schemas.openxmlformats.org/officeDocument/2006/customXml" ds:itemID="{7EFCC34E-A53F-4DCD-9849-6022C3C865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12176</Words>
  <Characters>69211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Financial statements</vt:lpstr>
    </vt:vector>
  </TitlesOfParts>
  <Company>gha</Company>
  <LinksUpToDate>false</LinksUpToDate>
  <CharactersWithSpaces>81225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dc:title>
  <dc:subject/>
  <dc:creator>doolane</dc:creator>
  <cp:keywords/>
  <cp:lastModifiedBy>Morrison, Louise</cp:lastModifiedBy>
  <cp:revision>9</cp:revision>
  <cp:lastPrinted>2024-06-18T16:15:00Z</cp:lastPrinted>
  <dcterms:created xsi:type="dcterms:W3CDTF">2024-09-03T10:30:00Z</dcterms:created>
  <dcterms:modified xsi:type="dcterms:W3CDTF">2024-09-03T11:09:00Z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f3b4ea557db43bd995bd96701877e19">
    <vt:lpwstr>Statuatory Accounts|dc0fd20d-bd46-47b9-8da5-1301d46a5de1</vt:lpwstr>
  </property>
  <property fmtid="{D5CDD505-2E9C-101B-9397-08002B2CF9AE}" pid="3" name="j418406633a34d0d96353f79ffa9a3d8">
    <vt:lpwstr>Finance|c276e5ec-fee8-4109-aeec-491efead9751</vt:lpwstr>
  </property>
  <property fmtid="{D5CDD505-2E9C-101B-9397-08002B2CF9AE}" pid="4" name="l4c1120c6332441185521cae2e628372">
    <vt:lpwstr>Q4|233cbcc3-62cd-4d5d-890d-8d298d14a343</vt:lpwstr>
  </property>
  <property fmtid="{D5CDD505-2E9C-101B-9397-08002B2CF9AE}" pid="5" name="h286f4f000a74a79b9de7e076d4f3030">
    <vt:lpwstr>2019-2020|524f256a-fcc6-425c-8b66-7e78fbd17c87</vt:lpwstr>
  </property>
  <property fmtid="{D5CDD505-2E9C-101B-9397-08002B2CF9AE}" pid="6" name="j027b40c20804eb29088ca9a059193db">
    <vt:lpwstr/>
  </property>
  <property fmtid="{D5CDD505-2E9C-101B-9397-08002B2CF9AE}" pid="7" name="TaxCatchAll">
    <vt:lpwstr>6;#Finance|c276e5ec-fee8-4109-aeec-491efead9751;#52;#Statuatory Accounts|dc0fd20d-bd46-47b9-8da5-1301d46a5de1;#30;#Q4|233cbcc3-62cd-4d5d-890d-8d298d14a343;#22;#2019-2020|524f256a-fcc6-425c-8b66-7e78fbd17c87</vt:lpwstr>
  </property>
  <property fmtid="{D5CDD505-2E9C-101B-9397-08002B2CF9AE}" pid="8" name="ContentTypeId">
    <vt:lpwstr>0x01010093AACE41D6F26849B66B5093A9ACD4A91A00E9DF1132EFA8614490E91AC1968DF980</vt:lpwstr>
  </property>
  <property fmtid="{D5CDD505-2E9C-101B-9397-08002B2CF9AE}" pid="9" name="TFPeriod">
    <vt:lpwstr>30;#Q4|233cbcc3-62cd-4d5d-890d-8d298d14a343</vt:lpwstr>
  </property>
  <property fmtid="{D5CDD505-2E9C-101B-9397-08002B2CF9AE}" pid="10" name="Subsidiary">
    <vt:lpwstr/>
  </property>
  <property fmtid="{D5CDD505-2E9C-101B-9397-08002B2CF9AE}" pid="11" name="TFTeam">
    <vt:lpwstr>6;#Finance|c276e5ec-fee8-4109-aeec-491efead9751</vt:lpwstr>
  </property>
  <property fmtid="{D5CDD505-2E9C-101B-9397-08002B2CF9AE}" pid="12" name="TFFinancialYear">
    <vt:lpwstr>22;#2019-2020|524f256a-fcc6-425c-8b66-7e78fbd17c87</vt:lpwstr>
  </property>
  <property fmtid="{D5CDD505-2E9C-101B-9397-08002B2CF9AE}" pid="13" name="TFCategory">
    <vt:lpwstr>52;#Statuatory Accounts|dc0fd20d-bd46-47b9-8da5-1301d46a5de1</vt:lpwstr>
  </property>
  <property fmtid="{D5CDD505-2E9C-101B-9397-08002B2CF9AE}" pid="14" name="PBCListName">
    <vt:lpwstr>DGHP</vt:lpwstr>
  </property>
  <property fmtid="{D5CDD505-2E9C-101B-9397-08002B2CF9AE}" pid="15" name="TFProtectiveMarking">
    <vt:lpwstr/>
  </property>
  <property fmtid="{D5CDD505-2E9C-101B-9397-08002B2CF9AE}" pid="16" name="p907fcff381649fb9ab51fd24d691a63">
    <vt:lpwstr/>
  </property>
  <property fmtid="{D5CDD505-2E9C-101B-9397-08002B2CF9AE}" pid="17" name="ff4941179aef45328b6e8cdc813e3f53">
    <vt:lpwstr/>
  </property>
  <property fmtid="{D5CDD505-2E9C-101B-9397-08002B2CF9AE}" pid="18" name="TFAudience">
    <vt:lpwstr/>
  </property>
  <property fmtid="{D5CDD505-2E9C-101B-9397-08002B2CF9AE}" pid="19" name="MSIP_Label_334729c2-3f68-4e12-90dd-9e3da17c6ff0_Enabled">
    <vt:lpwstr>True</vt:lpwstr>
  </property>
  <property fmtid="{D5CDD505-2E9C-101B-9397-08002B2CF9AE}" pid="20" name="MSIP_Label_334729c2-3f68-4e12-90dd-9e3da17c6ff0_SiteId">
    <vt:lpwstr>d79c5c49-dff0-41b1-85ec-b283b53a503d</vt:lpwstr>
  </property>
  <property fmtid="{D5CDD505-2E9C-101B-9397-08002B2CF9AE}" pid="21" name="MSIP_Label_334729c2-3f68-4e12-90dd-9e3da17c6ff0_Owner">
    <vt:lpwstr>Ruth.Hewitt@gha.org.uk</vt:lpwstr>
  </property>
  <property fmtid="{D5CDD505-2E9C-101B-9397-08002B2CF9AE}" pid="22" name="MSIP_Label_334729c2-3f68-4e12-90dd-9e3da17c6ff0_SetDate">
    <vt:lpwstr>2021-05-14T16:13:26.8566081Z</vt:lpwstr>
  </property>
  <property fmtid="{D5CDD505-2E9C-101B-9397-08002B2CF9AE}" pid="23" name="MSIP_Label_334729c2-3f68-4e12-90dd-9e3da17c6ff0_Name">
    <vt:lpwstr>Internal</vt:lpwstr>
  </property>
  <property fmtid="{D5CDD505-2E9C-101B-9397-08002B2CF9AE}" pid="24" name="MSIP_Label_334729c2-3f68-4e12-90dd-9e3da17c6ff0_Application">
    <vt:lpwstr>Microsoft Azure Information Protection</vt:lpwstr>
  </property>
  <property fmtid="{D5CDD505-2E9C-101B-9397-08002B2CF9AE}" pid="25" name="MSIP_Label_334729c2-3f68-4e12-90dd-9e3da17c6ff0_Extended_MSFT_Method">
    <vt:lpwstr>Automatic</vt:lpwstr>
  </property>
  <property fmtid="{D5CDD505-2E9C-101B-9397-08002B2CF9AE}" pid="26" name="Classification">
    <vt:lpwstr>Internal</vt:lpwstr>
  </property>
  <property fmtid="{D5CDD505-2E9C-101B-9397-08002B2CF9AE}" pid="27" name="MediaServiceImageTags">
    <vt:lpwstr/>
  </property>
  <property fmtid="{D5CDD505-2E9C-101B-9397-08002B2CF9AE}" pid="28" name="SharedWithUsers">
    <vt:lpwstr>2439;#Morrison, Louise;#2685;#Widiastuti, Elisabeth;#1385;#Brown, Lyndsay;#3562;#Dryden, Lindsey;#2882;#Callan, Amy;#3032;#Hubbert, James;#40;#Turnock, Pauline</vt:lpwstr>
  </property>
</Properties>
</file>